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更新：2026-10-01T10:13:56+08:00。本册按实际实验整理，原始运行记录单独保存。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r>
        <w:br w:type="page"/>
      </w:r>
    </w:p>
    <w:p>
      <w:pPr>
        <w:pStyle w:val="Heading1"/>
      </w:pPr>
      <w:r>
        <w:t>E09：从 1k 到 10k，模型学到的是格式还是任务？</w:t>
      </w:r>
    </w:p>
    <w:p>
      <w:r>
        <w:t>这轮用了 1,000 条训练轨迹，完整 dev 通过 350/500；原模型加固定示例为 355/500。调用轮相差 +18 条，不调用轮相差 -23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0.14626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14,502 个回复单元，共 638,598 个监督 token；最长 2034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9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E09-1：E09-R09，训练 300 个点、完整 dev 4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E09-R05 通过 350/500；调用轮为 474/568，不调用轮为 276/360。是否比原模型好，要在相同条件下逐项比较。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E09-R05 通过 350/500，与原模型相差 -5 条，即 -1.0 个百分点。调用轮相差 +18 条，不调用轮相差 -23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1,000 条训练轨迹，完整 dev 通过 350/500；调用轮为 474/568，不调用轮为 276/360。loss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