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更新：2026-10-02T08:58:17+08:00。本册按实际实验整理，原始运行记录单独保存。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410/500；调用轮为 492/568，不调用轮为 338/360。loss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410/500；原模型加固定示例为 355/500。调用轮相差 +36 条，不调用轮相差 +39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断点恢复后训练与完整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0.09707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运行中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5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E09-1：E09-R15，逐步训练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E09-R13 通过 410/500；调用轮为 492/568，不调用轮为 338/360。是否比原模型好，要在相同条件下逐项比较。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338/360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E09-R13 通过 410/500，与原模型相差 +55 条，即 +11.0 个百分点。调用轮相差 +36 条，不调用轮相差 +39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experiments/E09/notes.md；experiments/E09/runs/E09-R13.json；.local/archive/E09/E09-R13.zip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