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更新：2026-10-01T13:39:03+08:00。本册按实际实验整理，原始运行记录单独保存。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5,000 条训练轨迹，完整 dev 通过 406/500；原模型加固定示例为 355/500。调用轮相差 +26 条，不调用轮相差 +43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1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E09-1：E09-R11，训练 93 个点、完整 dev 1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E09-R09 通过 406/500；调用轮为 482/568，不调用轮为 342/360。是否比原模型好，要在相同条件下逐项比较。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E09-R09 通过 406/500，与原模型相差 +51 条，即 +10.2 个百分点。调用轮相差 +26 条，不调用轮相差 +43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次调用用于构造错误候选。模型调用数仍为 0，八个原型只属于训练区，正式的 1,000 条轨迹和独立 dev、test 还没有完成。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已经得到可追溯的原型训练格式，正式 1,000 条有效轨迹和领域训练还要继续完成。本轮只调用 tokenizer，未初始化 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目前两批共16个训练模板族，各有一条已验证参考过程。所有任务仍在train；正式1,000条有效训练记录、独立dev/test和模型迁移评测继续分别验收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后续dev/test另建模板和仓库族；当前没有冻结这两个任务集，也没有让教师接触它们。</w:t>
      </w:r>
    </w:p>
    <w:p>
      <w:r>
        <w:t>E14-R08 已实际处理384/1000个场景，其中384条参考通过，0条失败；已记录1320次工具调用和96次错误返回。整轮还在继续，失败保留在原目标分母。每条过程使用独立容器，执行结束核对最终文件，再移除本轮容器；本阶段没有调用模型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5,000 条训练轨迹，完整 dev 通过 406/500；调用轮为 482/568，不调用轮为 342/360。loss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