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更新：2026-10-01T14:21:04+08:00。本册按实际实验整理，原始运行记录单独保存。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5,000 条训练轨迹，完整 dev 通过 406/500；调用轮为 482/568，不调用轮为 342/360。loss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5,000 条训练轨迹，完整 dev 通过 406/500；原模型加固定示例为 355/500。调用轮相差 +26 条，不调用轮相差 +43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0.14920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1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E09-1：E09-R11，训练 300 个点、完整 dev 4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E09-R09 通过 406/500；调用轮为 482/568，不调用轮为 342/360。是否比原模型好，要在相同条件下逐项比较。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E09-R09 通过 406/500，与原模型相差 +51 条，即 +10.2 个百分点。调用轮相差 +26 条，不调用轮相差 +43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