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更新：2026-10-02T06:18:24+08:00。本册按实际实验整理，原始运行记录单独保存。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410/500；调用轮为 492/568，不调用轮为 338/360。loss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410/500；原模型加固定示例为 355/500。调用轮相差 +36 条，不调用轮相差 +39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1300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0.11576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E09-1：E09-R15，逐步训练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E09-R13 通过 410/500；调用轮为 492/568，不调用轮为 338/360。是否比原模型好，要在相同条件下逐项比较。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E09-R13 通过 410/500，与原模型相差 +55 条，即 +11.0 个百分点。调用轮相差 +36 条，不调用轮相差 +39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