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更新：2026-10-02T08:18:25+08:00。本册按实际实验整理，原始运行记录单独保存。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410/500；调用轮为 492/568，不调用轮为 338/360。loss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410/500；原模型加固定示例为 355/500。调用轮相差 +36 条，不调用轮相差 +39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断点恢复后训练与完整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2800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运行中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5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E09-1：E09-R15，逐步训练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E09-R13 通过 410/500；调用轮为 492/568，不调用轮为 338/360。是否比原模型好，要在相同条件下逐项比较。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410/500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338/360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E09-R13 通过 410/500，与原模型相差 +55 条，即 +11.0 个百分点。调用轮相差 +36 条，不调用轮相差 +39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experiments/E09/notes.md；experiments/E09/runs/E09-R13.json；.local/archive/E09/E09-R13.zip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