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更新：2026-10-01T16:47:40+08:00。本册按实际实验整理，原始运行记录单独保存。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5,000 条训练轨迹，完整 dev 通过 406/500；调用轮为 482/568，不调用轮为 342/360。loss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5,000 条训练轨迹，完整 dev 通过 406/500；原模型加固定示例为 355/500。调用轮相差 +26 条，不调用轮相差 +43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0.12072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1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E09-1：E09-R11，训练 1200 个点、完整 dev 12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E09-R09 通过 406/500；调用轮为 482/568，不调用轮为 342/360。是否比原模型好，要在相同条件下逐项比较。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E09-R09 通过 406/500，与原模型相差 +51 条，即 +10.2 个百分点。调用轮相差 +26 条，不调用轮相差 +43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