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更新：2026-10-01T18:17:08+08:00。本册按实际实验整理，原始运行记录单独保存。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5,000 条训练轨迹，完整 dev 通过 406/500；调用轮为 482/568，不调用轮为 342/360。loss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5,000 条训练轨迹，完整 dev 通过 406/500；原模型加固定示例为 355/500。调用轮相差 +26 条，不调用轮相差 +43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0.10573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1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E09-1：E09-R11，训练 2100 个点、完整 dev 22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E09-R09 通过 406/500；调用轮为 482/568，不调用轮为 342/360。是否比原模型好，要在相同条件下逐项比较。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E09-R09 通过 406/500，与原模型相差 +51 条，即 +10.2 个百分点。调用轮相差 +26 条，不调用轮相差 +43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