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更新：2026-10-02T04:58:31+08:00。本册按实际实验整理，原始运行记录单独保存。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410/500；调用轮为 492/568，不调用轮为 338/360。loss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410/500；原模型加固定示例为 355/500。调用轮相差 +36 条，不调用轮相差 +39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0.14880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运行中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E09-R13 通过 410/500；调用轮为 492/568，不调用轮为 338/360。是否比原模型好，要在相同条件下逐项比较。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E09-R13 通过 410/500，与原模型相差 +55 条，即 +11.0 个百分点。调用轮相差 +36 条，不调用轮相差 +39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