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BC91E5E"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CD28FF">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6A177A6D" w:rsidR="00AD0E95" w:rsidRPr="00AD0E95" w:rsidRDefault="0071197E" w:rsidP="00974DFF">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p>
    <w:p w14:paraId="75E20B27" w14:textId="0A23D550" w:rsidR="00AD0E95" w:rsidRDefault="00D80F34" w:rsidP="00990722">
      <w:pPr>
        <w:rPr>
          <w:lang w:val="en-US"/>
        </w:rPr>
      </w:pPr>
      <w:r>
        <w:rPr>
          <w:lang w:val="en-US"/>
        </w:rPr>
        <w:tab/>
      </w:r>
      <w:r w:rsidR="007C3302">
        <w:rPr>
          <w:lang w:val="en-US"/>
        </w:rPr>
        <w:t xml:space="preserve">Tahun </w:t>
      </w:r>
      <w:r w:rsidRPr="00567BDB">
        <w:rPr>
          <w:lang w:val="en-US"/>
        </w:rPr>
        <w:t>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w:t>
      </w:r>
      <w:r w:rsidR="00F22CC4" w:rsidRPr="00567BDB">
        <w:rPr>
          <w:lang w:val="en-US"/>
        </w:rPr>
        <w:t xml:space="preserve">(LSTM) </w:t>
      </w:r>
      <w:r w:rsidRPr="00567BDB">
        <w:rPr>
          <w:lang w:val="en-US"/>
        </w:rPr>
        <w:t xml:space="preserve">dengan mekanisme </w:t>
      </w:r>
      <w:r w:rsidRPr="00567BDB">
        <w:rPr>
          <w:i/>
          <w:iCs/>
          <w:lang w:val="en-US"/>
        </w:rPr>
        <w:t>attention</w:t>
      </w:r>
      <w:r w:rsidRPr="00567BDB">
        <w:rPr>
          <w:lang w:val="en-US"/>
        </w:rPr>
        <w:t xml:space="preserve">. Dengan nama </w:t>
      </w:r>
      <w:r w:rsidRPr="00567BDB">
        <w:rPr>
          <w:i/>
          <w:iCs/>
          <w:lang w:val="en-US"/>
        </w:rPr>
        <w:t>Temporal Fusion Transformers</w:t>
      </w:r>
      <w:r w:rsidRPr="00567BDB">
        <w:rPr>
          <w:lang w:val="en-US"/>
        </w:rPr>
        <w:t xml:space="preserve"> </w:t>
      </w:r>
      <w:r w:rsidR="009850FB">
        <w:rPr>
          <w:lang w:val="en-US"/>
        </w:rPr>
        <w:t xml:space="preserve">(TFT) </w:t>
      </w:r>
      <w:r w:rsidRPr="00567BDB">
        <w:rPr>
          <w:lang w:val="en-US"/>
        </w:rPr>
        <w:t xml:space="preserve">yang </w:t>
      </w:r>
      <w:r w:rsidR="00AD0E95" w:rsidRPr="00567BDB">
        <w:rPr>
          <w:lang w:val="en-US"/>
        </w:rPr>
        <w:t>memiliki arsitektur sebagai berikut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13B246A3">
            <wp:extent cx="4352081" cy="23717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821" cy="2375442"/>
                    </a:xfrm>
                    <a:prstGeom prst="rect">
                      <a:avLst/>
                    </a:prstGeom>
                    <a:noFill/>
                    <a:ln>
                      <a:noFill/>
                    </a:ln>
                  </pic:spPr>
                </pic:pic>
              </a:graphicData>
            </a:graphic>
          </wp:inline>
        </w:drawing>
      </w:r>
    </w:p>
    <w:p w14:paraId="4875CA07" w14:textId="3CD96AA6"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CD28FF">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318067F7" w:rsidR="00974DFF" w:rsidRDefault="00974DFF" w:rsidP="00990722">
      <w:pPr>
        <w:rPr>
          <w:lang w:val="en-US"/>
        </w:rPr>
      </w:pPr>
      <w:r>
        <w:rPr>
          <w:lang w:val="en-US"/>
        </w:rPr>
        <w:lastRenderedPageBreak/>
        <w:tab/>
      </w:r>
      <w:r w:rsidR="00F22CC4">
        <w:rPr>
          <w:lang w:val="en-US"/>
        </w:rPr>
        <w:t xml:space="preserve">Model </w:t>
      </w:r>
      <w:r w:rsidR="009850FB">
        <w:rPr>
          <w:lang w:val="en-US"/>
        </w:rPr>
        <w:t>TFT</w:t>
      </w:r>
      <w:r w:rsidR="00F22CC4">
        <w:rPr>
          <w:lang w:val="en-US"/>
        </w:rPr>
        <w:t xml:space="preserve"> mendapatkan performa yang bagus pada peramalan deret waktu 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pemilihan variabel untuk meminimalisir kontribusi variabel yang tidak berperan signifikan saat pelatihan model.</w:t>
      </w:r>
    </w:p>
    <w:p w14:paraId="26213A2F" w14:textId="63F54D8B" w:rsidR="00E754A0" w:rsidRPr="00E754A0" w:rsidRDefault="00E754A0" w:rsidP="00990722">
      <w:pPr>
        <w:rPr>
          <w:lang w:val="en-US"/>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 TFT dapat </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3BA87AE"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C150F6">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rsidR="00C150F6">
        <w:fldChar w:fldCharType="separate"/>
      </w:r>
      <w:r w:rsidR="00C150F6" w:rsidRPr="00C150F6">
        <w:t>[16]</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C150F6">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rsidR="00A545DB">
        <w:fldChar w:fldCharType="separate"/>
      </w:r>
      <w:r w:rsidR="00C150F6" w:rsidRPr="00C150F6">
        <w:t>[17]</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12D09AB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CD28FF">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w:t>
            </w:r>
            <w:r w:rsidRPr="00E41900">
              <w:rPr>
                <w:rFonts w:ascii="Calibri" w:hAnsi="Calibri" w:cs="Calibri"/>
                <w:color w:val="000000"/>
                <w:sz w:val="22"/>
                <w:lang w:eastAsia="en-GB"/>
              </w:rPr>
              <w:lastRenderedPageBreak/>
              <w:t>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1991A79F"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C150F6">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[18]","plainTextFormattedCitation":"[18]","previouslyFormattedCitation":"[18]"},"properties":{"noteIndex":0},"schema":"https://github.com/citation-style-language/schema/raw/master/csl-citation.json"}</w:instrText>
      </w:r>
      <w:r w:rsidR="00F15A21">
        <w:rPr>
          <w:i/>
          <w:iCs/>
          <w:lang w:val="en-US"/>
        </w:rPr>
        <w:fldChar w:fldCharType="separate"/>
      </w:r>
      <w:r w:rsidR="00C150F6" w:rsidRPr="00C150F6">
        <w:rPr>
          <w:iCs/>
          <w:lang w:val="en-US"/>
        </w:rPr>
        <w:t>[18]</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C150F6">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[19]","plainTextFormattedCitation":"[19]","previouslyFormattedCitation":"[19]"},"properties":{"noteIndex":0},"schema":"https://github.com/citation-style-language/schema/raw/master/csl-citation.json"}</w:instrText>
      </w:r>
      <w:r w:rsidR="00FD5A2D">
        <w:rPr>
          <w:lang w:val="en-US"/>
        </w:rPr>
        <w:fldChar w:fldCharType="separate"/>
      </w:r>
      <w:r w:rsidR="00C150F6" w:rsidRPr="00C150F6">
        <w:rPr>
          <w:lang w:val="en-US"/>
        </w:rPr>
        <w:t>[19]</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8C6744">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[20]","plainTextFormattedCitation":"[20]","previouslyFormattedCitation":"[20]"},"properties":{"noteIndex":0},"schema":"https://github.com/citation-style-language/schema/raw/master/csl-citation.json"}</w:instrText>
      </w:r>
      <w:r w:rsidR="00C150F6">
        <w:rPr>
          <w:lang w:val="en-US"/>
        </w:rPr>
        <w:fldChar w:fldCharType="separate"/>
      </w:r>
      <w:r w:rsidR="00C150F6" w:rsidRPr="00C150F6">
        <w:rPr>
          <w:lang w:val="en-US"/>
        </w:rPr>
        <w:t>[20]</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7044C1">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[21]","plainTextFormattedCitation":"[21]","previouslyFormattedCitation":"[21]"},"properties":{"noteIndex":0},"schema":"https://github.com/citation-style-language/schema/raw/master/csl-citation.json"}</w:instrText>
      </w:r>
      <w:r w:rsidR="008C6744">
        <w:rPr>
          <w:lang w:val="en-US"/>
        </w:rPr>
        <w:fldChar w:fldCharType="separate"/>
      </w:r>
      <w:r w:rsidR="008C6744" w:rsidRPr="008C6744">
        <w:rPr>
          <w:lang w:val="en-US"/>
        </w:rPr>
        <w:t>[21]</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8C6744">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[22]","plainTextFormattedCitation":"[22]","previouslyFormattedCitation":"[22]"},"properties":{"noteIndex":0},"schema":"https://github.com/citation-style-language/schema/raw/master/csl-citation.json"}</w:instrText>
      </w:r>
      <w:r w:rsidR="00FD5A2D">
        <w:rPr>
          <w:lang w:val="en-US"/>
        </w:rPr>
        <w:fldChar w:fldCharType="separate"/>
      </w:r>
      <w:r w:rsidR="008C6744" w:rsidRPr="008C6744">
        <w:rPr>
          <w:lang w:val="en-US"/>
        </w:rPr>
        <w:t>[22]</w:t>
      </w:r>
      <w:r w:rsidR="00FD5A2D">
        <w:rPr>
          <w:lang w:val="en-US"/>
        </w:rPr>
        <w:fldChar w:fldCharType="end"/>
      </w:r>
    </w:p>
    <w:p w14:paraId="00FD6F9B" w14:textId="08D2647A"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462AAB">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[23]","plainTextFormattedCitation":"[23]","previouslyFormattedCitation":"[23]"},"properties":{"noteIndex":0},"schema":"https://github.com/citation-style-language/schema/raw/master/csl-citation.json"}</w:instrText>
      </w:r>
      <w:r w:rsidR="007044C1">
        <w:rPr>
          <w:lang w:val="en-US"/>
        </w:rPr>
        <w:fldChar w:fldCharType="separate"/>
      </w:r>
      <w:r w:rsidR="007044C1" w:rsidRPr="007044C1">
        <w:rPr>
          <w:lang w:val="en-US"/>
        </w:rPr>
        <w:t>[23]</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4413E98C"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462AAB">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[24]","plainTextFormattedCitation":"[24]","previouslyFormattedCitation":"[24]"},"properties":{"noteIndex":0},"schema":"https://github.com/citation-style-language/schema/raw/master/csl-citation.json"}</w:instrText>
      </w:r>
      <w:r w:rsidR="00E52A79">
        <w:fldChar w:fldCharType="separate"/>
      </w:r>
      <w:r w:rsidRPr="007044C1">
        <w:t>[24]</w:t>
      </w:r>
      <w:r w:rsidR="00E52A79">
        <w:fldChar w:fldCharType="end"/>
      </w:r>
    </w:p>
    <w:p w14:paraId="5D550104" w14:textId="77777777" w:rsidR="00BB16F6" w:rsidRDefault="00BB16F6" w:rsidP="001F088F"/>
    <w:p w14:paraId="2114D564" w14:textId="06EEBC94" w:rsidR="00BB16F6" w:rsidRDefault="00BB16F6" w:rsidP="00BB16F6">
      <w:pPr>
        <w:pStyle w:val="Caption"/>
        <w:keepNext/>
      </w:pPr>
      <w:r>
        <w:t xml:space="preserve">Tabel </w:t>
      </w:r>
      <w:r>
        <w:fldChar w:fldCharType="begin"/>
      </w:r>
      <w:r>
        <w:instrText xml:space="preserve"> SEQ Tabel \* ARABIC </w:instrText>
      </w:r>
      <w:r>
        <w:fldChar w:fldCharType="separate"/>
      </w:r>
      <w:r w:rsidR="00CD28FF">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E0A36FF" w:rsidR="00706A53" w:rsidRDefault="00BB16F6" w:rsidP="00BB16F6">
      <w:pPr>
        <w:pStyle w:val="Caption"/>
      </w:pPr>
      <w:r>
        <w:t xml:space="preserve">Gambar </w:t>
      </w:r>
      <w:r>
        <w:fldChar w:fldCharType="begin"/>
      </w:r>
      <w:r>
        <w:instrText xml:space="preserve"> SEQ Gambar \* ARABIC </w:instrText>
      </w:r>
      <w:r>
        <w:fldChar w:fldCharType="separate"/>
      </w:r>
      <w:r w:rsidR="00CD28FF">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D00EB18"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462AAB">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[25]","plainTextFormattedCitation":"[25]","previouslyFormattedCitation":"[25]"},"properties":{"noteIndex":0},"schema":"https://github.com/citation-style-language/schema/raw/master/csl-citation.json"}</w:instrText>
      </w:r>
      <w:r w:rsidR="005D28AD">
        <w:rPr>
          <w:lang w:val="en-US"/>
        </w:rPr>
        <w:fldChar w:fldCharType="separate"/>
      </w:r>
      <w:r w:rsidR="007044C1" w:rsidRPr="007044C1">
        <w:rPr>
          <w:lang w:val="en-US"/>
        </w:rPr>
        <w:t>[25]</w:t>
      </w:r>
      <w:r w:rsidR="005D28AD">
        <w:rPr>
          <w:lang w:val="en-US"/>
        </w:rPr>
        <w:fldChar w:fldCharType="end"/>
      </w:r>
      <w:r w:rsidR="00062A9E">
        <w:rPr>
          <w:lang w:val="en-US"/>
        </w:rPr>
        <w:t xml:space="preserve"> Analisis akurasi model paling akurat </w:t>
      </w:r>
      <w:r w:rsidR="00062A9E">
        <w:rPr>
          <w:lang w:val="en-US"/>
        </w:rPr>
        <w:lastRenderedPageBreak/>
        <w:t>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7C1806">
        <w:tc>
          <w:tcPr>
            <w:tcW w:w="7933" w:type="dxa"/>
            <w:vAlign w:val="center"/>
          </w:tcPr>
          <w:p w14:paraId="52733042" w14:textId="003A5FEB" w:rsidR="00A66D58" w:rsidRPr="00B46056" w:rsidRDefault="00E57D40" w:rsidP="007C1806">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29ACC00E"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8B0F08">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[26]","plainTextFormattedCitation":"[26]"},"properties":{"noteIndex":0},"schema":"https://github.com/citation-style-language/schema/raw/master/csl-citation.json"}</w:instrText>
      </w:r>
      <w:r w:rsidR="008B0F08">
        <w:rPr>
          <w:szCs w:val="20"/>
          <w:lang w:val="en-US"/>
        </w:rPr>
        <w:fldChar w:fldCharType="separate"/>
      </w:r>
      <w:r w:rsidR="008B0F08" w:rsidRPr="008B0F08">
        <w:rPr>
          <w:szCs w:val="20"/>
          <w:lang w:val="en-US"/>
        </w:rPr>
        <w:t>[26]</w:t>
      </w:r>
      <w:r w:rsidR="008B0F08">
        <w:rPr>
          <w:szCs w:val="20"/>
          <w:lang w:val="en-US"/>
        </w:rPr>
        <w:fldChar w:fldCharType="end"/>
      </w:r>
    </w:p>
    <w:p w14:paraId="75E7BE80" w14:textId="470BF527"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8B0F08">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[27]","plainTextFormattedCitation":"[27]","previouslyFormattedCitation":"[26]"},"properties":{"noteIndex":0},"schema":"https://github.com/citation-style-language/schema/raw/master/csl-citation.json"}</w:instrText>
      </w:r>
      <w:r w:rsidR="005D28AD">
        <w:rPr>
          <w:lang w:val="en-US"/>
        </w:rPr>
        <w:fldChar w:fldCharType="separate"/>
      </w:r>
      <w:r w:rsidR="008B0F08" w:rsidRPr="008B0F08">
        <w:rPr>
          <w:lang w:val="en-US"/>
        </w:rPr>
        <w:t>[27]</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8B0F08">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[28]","plainTextFormattedCitation":"[28]","previouslyFormattedCitation":"[27]"},"properties":{"noteIndex":0},"schema":"https://github.com/citation-style-language/schema/raw/master/csl-citation.json"}</w:instrText>
      </w:r>
      <w:r w:rsidR="005D28AD">
        <w:rPr>
          <w:lang w:val="en-US"/>
        </w:rPr>
        <w:fldChar w:fldCharType="separate"/>
      </w:r>
      <w:r w:rsidR="008B0F08" w:rsidRPr="008B0F08">
        <w:rPr>
          <w:lang w:val="en-US"/>
        </w:rPr>
        <w:t>[28]</w:t>
      </w:r>
      <w:r w:rsidR="005D28AD">
        <w:rPr>
          <w:lang w:val="en-US"/>
        </w:rPr>
        <w:fldChar w:fldCharType="end"/>
      </w:r>
    </w:p>
    <w:p w14:paraId="3F4D47BA" w14:textId="6CA7DAAA"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8B0F08">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[29]","plainTextFormattedCitation":"[29]","previouslyFormattedCitation":"[28]"},"properties":{"noteIndex":0},"schema":"https://github.com/citation-style-language/schema/raw/master/csl-citation.json"}</w:instrText>
      </w:r>
      <w:r>
        <w:fldChar w:fldCharType="separate"/>
      </w:r>
      <w:r w:rsidR="008B0F08" w:rsidRPr="008B0F08">
        <w:t>[29]</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8B0F08">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[30]","plainTextFormattedCitation":"[30]","previouslyFormattedCitation":"[29]"},"properties":{"noteIndex":0},"schema":"https://github.com/citation-style-language/schema/raw/master/csl-citation.json"}</w:instrText>
      </w:r>
      <w:r w:rsidR="00462AAB">
        <w:rPr>
          <w:lang w:val="en-US"/>
        </w:rPr>
        <w:fldChar w:fldCharType="separate"/>
      </w:r>
      <w:r w:rsidR="008B0F08" w:rsidRPr="008B0F08">
        <w:rPr>
          <w:lang w:val="en-US"/>
        </w:rPr>
        <w:t>[30]</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7C1806">
        <w:tc>
          <w:tcPr>
            <w:tcW w:w="7933" w:type="dxa"/>
            <w:vAlign w:val="center"/>
          </w:tcPr>
          <w:p w14:paraId="77B7B391" w14:textId="17844BA3" w:rsidR="00AC541F" w:rsidRPr="00B46056" w:rsidRDefault="00E57D40"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0FF56137"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8B0F08">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[31]","plainTextFormattedCitation":"[31]","previouslyFormattedCitation":"[30]"},"properties":{"noteIndex":0},"schema":"https://github.com/citation-style-language/schema/raw/master/csl-citation.json"}</w:instrText>
      </w:r>
      <w:r>
        <w:rPr>
          <w:szCs w:val="20"/>
          <w:lang w:val="en-US"/>
        </w:rPr>
        <w:fldChar w:fldCharType="separate"/>
      </w:r>
      <w:r w:rsidR="008B0F08" w:rsidRPr="008B0F08">
        <w:rPr>
          <w:szCs w:val="20"/>
          <w:lang w:val="en-US"/>
        </w:rPr>
        <w:t>[31]</w:t>
      </w:r>
      <w:r>
        <w:rPr>
          <w:szCs w:val="20"/>
          <w:lang w:val="en-US"/>
        </w:rPr>
        <w:fldChar w:fldCharType="end"/>
      </w:r>
    </w:p>
    <w:p w14:paraId="4E8AC65C" w14:textId="04798C38" w:rsidR="00567BDB" w:rsidRDefault="00B409A2" w:rsidP="00567BDB">
      <w:pPr>
        <w:ind w:firstLine="720"/>
        <w:rPr>
          <w:lang w:val="en-US"/>
        </w:rPr>
      </w:pPr>
      <w:r>
        <w:rPr>
          <w:lang w:val="en-US" w:eastAsia="en-GB"/>
        </w:rPr>
        <w:t>Tes Augmented Dickey-Fuller</w:t>
      </w:r>
      <w:r w:rsidR="00D355D8">
        <w:rPr>
          <w:lang w:val="en-US" w:eastAsia="en-GB"/>
        </w:rPr>
        <w:fldChar w:fldCharType="begin" w:fldLock="1"/>
      </w:r>
      <w:r w:rsidR="008B0F08">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[32]","plainTextFormattedCitation":"[32]","previouslyFormattedCitation":"[31]"},"properties":{"noteIndex":0},"schema":"https://github.com/citation-style-language/schema/raw/master/csl-citation.json"}</w:instrText>
      </w:r>
      <w:r w:rsidR="00D355D8">
        <w:rPr>
          <w:lang w:val="en-US" w:eastAsia="en-GB"/>
        </w:rPr>
        <w:fldChar w:fldCharType="separate"/>
      </w:r>
      <w:r w:rsidR="008B0F08" w:rsidRPr="008B0F08">
        <w:rPr>
          <w:lang w:val="en-US" w:eastAsia="en-GB"/>
        </w:rPr>
        <w:t>[32]</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8B0F08">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sidR="00A05210">
        <w:rPr>
          <w:lang w:val="en-US" w:eastAsia="en-GB"/>
        </w:rPr>
        <w:fldChar w:fldCharType="separate"/>
      </w:r>
      <w:r w:rsidR="008B0F08" w:rsidRPr="008B0F08">
        <w:rPr>
          <w:lang w:val="en-US" w:eastAsia="en-GB"/>
        </w:rPr>
        <w:t>[33]</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7C1806">
        <w:tc>
          <w:tcPr>
            <w:tcW w:w="7933" w:type="dxa"/>
            <w:vAlign w:val="center"/>
          </w:tcPr>
          <w:p w14:paraId="7635BF6C" w14:textId="7E9309E9" w:rsidR="003B14B3" w:rsidRPr="00B46056" w:rsidRDefault="00E57D40"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045C6D4" w:rsidR="00A05210" w:rsidRDefault="003C4034" w:rsidP="00567BDB">
      <w:pPr>
        <w:ind w:firstLine="720"/>
        <w:rPr>
          <w:lang w:val="en-US"/>
        </w:rPr>
      </w:pPr>
      <w:r>
        <w:rPr>
          <w:lang w:val="en-US"/>
        </w:rPr>
        <w:lastRenderedPageBreak/>
        <w:t>N</w:t>
      </w:r>
      <w:r w:rsidR="00A05210">
        <w:rPr>
          <w:lang w:val="en-US"/>
        </w:rPr>
        <w:t xml:space="preserve">ormalisasi data </w:t>
      </w:r>
      <w:r>
        <w:rPr>
          <w:lang w:val="en-US"/>
        </w:rPr>
        <w:t>juga dilakukan guna meningkatkan performa model</w:t>
      </w:r>
      <w:r>
        <w:rPr>
          <w:lang w:val="en-US"/>
        </w:rPr>
        <w:fldChar w:fldCharType="begin" w:fldLock="1"/>
      </w:r>
      <w:r w:rsidR="008B0F08">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Pr>
          <w:lang w:val="en-US"/>
        </w:rPr>
        <w:fldChar w:fldCharType="separate"/>
      </w:r>
      <w:r w:rsidR="008B0F08" w:rsidRPr="008B0F08">
        <w:rPr>
          <w:lang w:val="en-US"/>
        </w:rPr>
        <w:t>[33]</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E57D40"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62798DCF" w:rsidR="00BB16F6" w:rsidRDefault="00BB16F6" w:rsidP="00BB16F6">
      <w:pPr>
        <w:pStyle w:val="Caption"/>
        <w:keepNext/>
      </w:pPr>
      <w:r>
        <w:t xml:space="preserve">Tabel </w:t>
      </w:r>
      <w:r>
        <w:fldChar w:fldCharType="begin"/>
      </w:r>
      <w:r>
        <w:instrText xml:space="preserve"> SEQ Tabel \* ARABIC </w:instrText>
      </w:r>
      <w:r>
        <w:fldChar w:fldCharType="separate"/>
      </w:r>
      <w:r w:rsidR="00CD28FF">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7C1806">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7C180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7C1806">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7C1806">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7C1806">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w:lastRenderedPageBreak/>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Symmetric Mean Absolute Percentage Error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7C1806">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7C1806">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7C1806">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B18C53D" w:rsidR="00BB16F6" w:rsidRDefault="00BB16F6" w:rsidP="00BB16F6">
      <w:pPr>
        <w:pStyle w:val="Caption"/>
        <w:keepNext/>
      </w:pPr>
      <w:r>
        <w:t xml:space="preserve">Tabel </w:t>
      </w:r>
      <w:r>
        <w:fldChar w:fldCharType="begin"/>
      </w:r>
      <w:r>
        <w:instrText xml:space="preserve"> SEQ Tabel \* ARABIC </w:instrText>
      </w:r>
      <w:r>
        <w:fldChar w:fldCharType="separate"/>
      </w:r>
      <w:r w:rsidR="00CD28FF">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lastRenderedPageBreak/>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03FE0208"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506A9D20" w:rsidR="008C141C" w:rsidRDefault="008C141C" w:rsidP="008C141C">
      <w:pPr>
        <w:pStyle w:val="Caption"/>
        <w:keepNext/>
      </w:pPr>
      <w:r>
        <w:t xml:space="preserve">Tabel </w:t>
      </w:r>
      <w:r>
        <w:fldChar w:fldCharType="begin"/>
      </w:r>
      <w:r>
        <w:instrText xml:space="preserve"> SEQ Tabel \* ARABIC </w:instrText>
      </w:r>
      <w:r>
        <w:fldChar w:fldCharType="separate"/>
      </w:r>
      <w:r w:rsidR="00CD28FF">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A66D58">
        <w:rPr>
          <w:lang w:val="en-US"/>
        </w:rPr>
        <w:t xml:space="preserve">(Model dapat diakses melalui </w:t>
      </w:r>
      <w:hyperlink r:id="rId15"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3B0B5203" w:rsidR="00B87F29" w:rsidRDefault="00BB16F6" w:rsidP="00BB16F6">
      <w:pPr>
        <w:pStyle w:val="Caption"/>
      </w:pPr>
      <w:r>
        <w:t xml:space="preserve">Gambar </w:t>
      </w:r>
      <w:r>
        <w:fldChar w:fldCharType="begin"/>
      </w:r>
      <w:r>
        <w:instrText xml:space="preserve"> SEQ Gambar \* ARABIC </w:instrText>
      </w:r>
      <w:r>
        <w:fldChar w:fldCharType="separate"/>
      </w:r>
      <w:r w:rsidR="00CD28FF">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6E67EE8A" w:rsidR="00BB16F6" w:rsidRDefault="00BB16F6" w:rsidP="00BB16F6">
      <w:pPr>
        <w:pStyle w:val="Caption"/>
        <w:keepNext/>
      </w:pPr>
      <w:r>
        <w:t xml:space="preserve">Tabel </w:t>
      </w:r>
      <w:r>
        <w:fldChar w:fldCharType="begin"/>
      </w:r>
      <w:r>
        <w:instrText xml:space="preserve"> SEQ Tabel \* ARABIC </w:instrText>
      </w:r>
      <w:r>
        <w:fldChar w:fldCharType="separate"/>
      </w:r>
      <w:r w:rsidR="00CD28FF">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2EEAFFF4"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w:t>
      </w:r>
      <w:r w:rsidR="007C3302">
        <w:rPr>
          <w:lang w:val="en-US"/>
        </w:rPr>
        <w:t xml:space="preserve">yang telah dilatih </w:t>
      </w:r>
      <w:r>
        <w:rPr>
          <w:lang w:val="en-US"/>
        </w:rPr>
        <w:t xml:space="preserve">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0CA1299B"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5E81549F"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383A00CA"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DCE88FC"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6C644FEB"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CD28FF">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4EBAF72"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sepuluh persen 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w:t>
      </w:r>
      <w:r>
        <w:rPr>
          <w:lang w:eastAsia="en-GB"/>
        </w:rPr>
        <w:lastRenderedPageBreak/>
        <w:t xml:space="preserve">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r w:rsidR="008B0F08">
        <w:rPr>
          <w:lang w:val="en-US" w:eastAsia="en-GB"/>
        </w:rPr>
        <w:t xml:space="preserve"> </w:t>
      </w:r>
      <w:r w:rsidR="002B2FAF">
        <w:rPr>
          <w:lang w:val="en-US" w:eastAsia="en-GB"/>
        </w:rPr>
        <w:t>Maka didapatkan data sebagai berikut</w:t>
      </w:r>
      <w:r w:rsidR="004733A2">
        <w:rPr>
          <w:lang w:val="en-US" w:eastAsia="en-GB"/>
        </w:rPr>
        <w:t xml:space="preserve"> </w:t>
      </w: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7FCF1882"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t>11</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7FB30B21" w:rsidR="00CD28FF" w:rsidRDefault="00CD28FF" w:rsidP="00CD28FF">
      <w:pPr>
        <w:pStyle w:val="Caption"/>
        <w:keepNext/>
      </w:pPr>
      <w:r>
        <w:t xml:space="preserve">Tabel </w:t>
      </w:r>
      <w:r>
        <w:fldChar w:fldCharType="begin"/>
      </w:r>
      <w:r>
        <w:instrText xml:space="preserve"> SEQ Tabel \* ARABIC </w:instrText>
      </w:r>
      <w:r>
        <w:fldChar w:fldCharType="separate"/>
      </w:r>
      <w:r>
        <w:t>7</w:t>
      </w:r>
      <w:r>
        <w:fldChar w:fldCharType="end"/>
      </w:r>
      <w:r>
        <w:rPr>
          <w:lang w:val="en-US"/>
        </w:rPr>
        <w:t xml:space="preserve">. </w:t>
      </w:r>
      <w:r>
        <w:rPr>
          <w:b w:val="0"/>
          <w:bCs w:val="0"/>
          <w:lang w:val="en-US"/>
        </w:rPr>
        <w:t>Hasil Peramalan</w:t>
      </w:r>
    </w:p>
    <w:tbl>
      <w:tblPr>
        <w:tblW w:w="6535" w:type="dxa"/>
        <w:jc w:val="center"/>
        <w:tblLayout w:type="fixed"/>
        <w:tblLook w:val="04A0" w:firstRow="1" w:lastRow="0" w:firstColumn="1" w:lastColumn="0" w:noHBand="0" w:noVBand="1"/>
      </w:tblPr>
      <w:tblGrid>
        <w:gridCol w:w="2047"/>
        <w:gridCol w:w="1496"/>
        <w:gridCol w:w="1496"/>
        <w:gridCol w:w="1496"/>
      </w:tblGrid>
      <w:tr w:rsidR="00A8492D" w:rsidRPr="00AB3394" w14:paraId="07E8231D" w14:textId="77777777" w:rsidTr="00927AA6">
        <w:trPr>
          <w:jc w:val="center"/>
        </w:trPr>
        <w:tc>
          <w:tcPr>
            <w:tcW w:w="2047"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8492D" w:rsidRPr="00AB3394" w14:paraId="505AD719" w14:textId="77777777" w:rsidTr="00927AA6">
        <w:trPr>
          <w:jc w:val="center"/>
        </w:trPr>
        <w:tc>
          <w:tcPr>
            <w:tcW w:w="2047" w:type="dxa"/>
            <w:tcBorders>
              <w:top w:val="single" w:sz="4" w:space="0" w:color="auto"/>
            </w:tcBorders>
          </w:tcPr>
          <w:p w14:paraId="6F97CA20" w14:textId="007EC666" w:rsidR="00A8492D" w:rsidRPr="00927AA6" w:rsidRDefault="00927AA6" w:rsidP="00A8492D">
            <w:pPr>
              <w:contextualSpacing w:val="0"/>
              <w:jc w:val="center"/>
              <w:rPr>
                <w:color w:val="0D0D0D"/>
                <w:sz w:val="20"/>
                <w:szCs w:val="20"/>
                <w:lang w:val="en-US"/>
              </w:rPr>
            </w:pPr>
            <w:r>
              <w:rPr>
                <w:rFonts w:ascii="Calibri" w:hAnsi="Calibri" w:cs="Calibri"/>
                <w:b/>
                <w:bCs/>
                <w:sz w:val="22"/>
                <w:lang w:val="en-US"/>
              </w:rPr>
              <w:t>Trend, Volume</w:t>
            </w:r>
          </w:p>
        </w:tc>
        <w:tc>
          <w:tcPr>
            <w:tcW w:w="1496" w:type="dxa"/>
            <w:tcBorders>
              <w:top w:val="single" w:sz="4" w:space="0" w:color="auto"/>
            </w:tcBorders>
            <w:vAlign w:val="bottom"/>
          </w:tcPr>
          <w:p w14:paraId="2D322F7A" w14:textId="2654D91C" w:rsidR="00A8492D" w:rsidRPr="00AB3394" w:rsidRDefault="00A8492D" w:rsidP="00A8492D">
            <w:pPr>
              <w:contextualSpacing w:val="0"/>
              <w:jc w:val="center"/>
              <w:rPr>
                <w:color w:val="0D0D0D"/>
                <w:sz w:val="20"/>
                <w:szCs w:val="20"/>
                <w:lang w:val="en-US"/>
              </w:rPr>
            </w:pPr>
            <w:r>
              <w:rPr>
                <w:rFonts w:ascii="Calibri" w:hAnsi="Calibri" w:cs="Calibri"/>
                <w:color w:val="000000"/>
                <w:sz w:val="22"/>
              </w:rPr>
              <w:t>0,026628969</w:t>
            </w:r>
          </w:p>
        </w:tc>
        <w:tc>
          <w:tcPr>
            <w:tcW w:w="1496" w:type="dxa"/>
            <w:tcBorders>
              <w:top w:val="single" w:sz="4" w:space="0" w:color="auto"/>
            </w:tcBorders>
            <w:vAlign w:val="bottom"/>
          </w:tcPr>
          <w:p w14:paraId="79542CEA" w14:textId="18FA22D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3,105957061</w:t>
            </w:r>
          </w:p>
        </w:tc>
        <w:tc>
          <w:tcPr>
            <w:tcW w:w="1496" w:type="dxa"/>
            <w:tcBorders>
              <w:top w:val="single" w:sz="4" w:space="0" w:color="auto"/>
            </w:tcBorders>
            <w:vAlign w:val="bottom"/>
          </w:tcPr>
          <w:p w14:paraId="2D4C05CB" w14:textId="7BA1C4B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3,153245524</w:t>
            </w:r>
          </w:p>
        </w:tc>
      </w:tr>
      <w:tr w:rsidR="00A8492D" w:rsidRPr="00AB3394" w14:paraId="3A242F4B" w14:textId="77777777" w:rsidTr="00927AA6">
        <w:trPr>
          <w:jc w:val="center"/>
        </w:trPr>
        <w:tc>
          <w:tcPr>
            <w:tcW w:w="2047" w:type="dxa"/>
          </w:tcPr>
          <w:p w14:paraId="47FAA995" w14:textId="4CD0C8FC"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Sentiment, Volume</w:t>
            </w:r>
          </w:p>
        </w:tc>
        <w:tc>
          <w:tcPr>
            <w:tcW w:w="1496" w:type="dxa"/>
            <w:vAlign w:val="bottom"/>
          </w:tcPr>
          <w:p w14:paraId="76488840" w14:textId="53990D3A"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0,026632864</w:t>
            </w:r>
          </w:p>
        </w:tc>
        <w:tc>
          <w:tcPr>
            <w:tcW w:w="1496" w:type="dxa"/>
            <w:vAlign w:val="bottom"/>
          </w:tcPr>
          <w:p w14:paraId="579FF842" w14:textId="7B9058C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3,104559891</w:t>
            </w:r>
          </w:p>
        </w:tc>
        <w:tc>
          <w:tcPr>
            <w:tcW w:w="1496" w:type="dxa"/>
            <w:vAlign w:val="bottom"/>
          </w:tcPr>
          <w:p w14:paraId="2F03E34E" w14:textId="3474D0D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3,140440211</w:t>
            </w:r>
          </w:p>
        </w:tc>
      </w:tr>
      <w:tr w:rsidR="00A8492D" w:rsidRPr="00AB3394" w14:paraId="5E641340" w14:textId="77777777" w:rsidTr="00927AA6">
        <w:trPr>
          <w:jc w:val="center"/>
        </w:trPr>
        <w:tc>
          <w:tcPr>
            <w:tcW w:w="2047" w:type="dxa"/>
          </w:tcPr>
          <w:p w14:paraId="1937152F" w14:textId="7880E12B"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Trend, Sentiment</w:t>
            </w:r>
          </w:p>
        </w:tc>
        <w:tc>
          <w:tcPr>
            <w:tcW w:w="1496" w:type="dxa"/>
            <w:vAlign w:val="bottom"/>
          </w:tcPr>
          <w:p w14:paraId="713463BE" w14:textId="65672A4F"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0,026111608</w:t>
            </w:r>
          </w:p>
        </w:tc>
        <w:tc>
          <w:tcPr>
            <w:tcW w:w="1496" w:type="dxa"/>
            <w:vAlign w:val="bottom"/>
          </w:tcPr>
          <w:p w14:paraId="01E36EA8" w14:textId="3D32732C"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3,089146689</w:t>
            </w:r>
          </w:p>
        </w:tc>
        <w:tc>
          <w:tcPr>
            <w:tcW w:w="1496" w:type="dxa"/>
            <w:vAlign w:val="bottom"/>
          </w:tcPr>
          <w:p w14:paraId="0D18D59C" w14:textId="6D9C9BC7"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3,128474951</w:t>
            </w:r>
          </w:p>
        </w:tc>
      </w:tr>
      <w:tr w:rsidR="00A8492D" w:rsidRPr="00AB3394" w14:paraId="77D288ED" w14:textId="77777777" w:rsidTr="00927AA6">
        <w:trPr>
          <w:jc w:val="center"/>
        </w:trPr>
        <w:tc>
          <w:tcPr>
            <w:tcW w:w="2047" w:type="dxa"/>
          </w:tcPr>
          <w:p w14:paraId="40435605" w14:textId="0E6B2987"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Price</w:t>
            </w:r>
          </w:p>
        </w:tc>
        <w:tc>
          <w:tcPr>
            <w:tcW w:w="1496" w:type="dxa"/>
            <w:vAlign w:val="bottom"/>
          </w:tcPr>
          <w:p w14:paraId="7247D39B" w14:textId="2806B20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0,026521269</w:t>
            </w:r>
          </w:p>
        </w:tc>
        <w:tc>
          <w:tcPr>
            <w:tcW w:w="1496" w:type="dxa"/>
            <w:vAlign w:val="bottom"/>
          </w:tcPr>
          <w:p w14:paraId="488DE0B0" w14:textId="4E1D27F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3,112354875</w:t>
            </w:r>
          </w:p>
        </w:tc>
        <w:tc>
          <w:tcPr>
            <w:tcW w:w="1496" w:type="dxa"/>
            <w:vAlign w:val="bottom"/>
          </w:tcPr>
          <w:p w14:paraId="05F191B0" w14:textId="00CF5622"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3,144031391</w:t>
            </w:r>
          </w:p>
        </w:tc>
      </w:tr>
      <w:tr w:rsidR="00A8492D" w:rsidRPr="00AB3394" w14:paraId="03C884AB" w14:textId="77777777" w:rsidTr="00927AA6">
        <w:trPr>
          <w:jc w:val="center"/>
        </w:trPr>
        <w:tc>
          <w:tcPr>
            <w:tcW w:w="2047" w:type="dxa"/>
          </w:tcPr>
          <w:p w14:paraId="4CBA7069" w14:textId="2C965A1A"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Sentiment</w:t>
            </w:r>
          </w:p>
        </w:tc>
        <w:tc>
          <w:tcPr>
            <w:tcW w:w="1496" w:type="dxa"/>
            <w:vAlign w:val="bottom"/>
          </w:tcPr>
          <w:p w14:paraId="27774F94" w14:textId="710E5E37"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0,026579861</w:t>
            </w:r>
          </w:p>
        </w:tc>
        <w:tc>
          <w:tcPr>
            <w:tcW w:w="1496" w:type="dxa"/>
            <w:vAlign w:val="bottom"/>
          </w:tcPr>
          <w:p w14:paraId="273495AB" w14:textId="4F416305"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3,090767749</w:t>
            </w:r>
          </w:p>
        </w:tc>
        <w:tc>
          <w:tcPr>
            <w:tcW w:w="1496" w:type="dxa"/>
            <w:vAlign w:val="bottom"/>
          </w:tcPr>
          <w:p w14:paraId="275E7DBD" w14:textId="1A80A2CA" w:rsidR="00A8492D" w:rsidRPr="00A8492D" w:rsidRDefault="00A8492D" w:rsidP="00A8492D">
            <w:pPr>
              <w:contextualSpacing w:val="0"/>
              <w:jc w:val="center"/>
              <w:rPr>
                <w:rFonts w:ascii="Calibri" w:hAnsi="Calibri" w:cs="Calibri"/>
                <w:b/>
                <w:bCs/>
                <w:color w:val="000000"/>
                <w:sz w:val="22"/>
              </w:rPr>
            </w:pPr>
            <w:r w:rsidRPr="00A8492D">
              <w:rPr>
                <w:rFonts w:ascii="Calibri" w:hAnsi="Calibri" w:cs="Calibri"/>
                <w:b/>
                <w:bCs/>
                <w:color w:val="000000"/>
                <w:sz w:val="22"/>
              </w:rPr>
              <w:t>3,120422177</w:t>
            </w:r>
          </w:p>
        </w:tc>
      </w:tr>
      <w:tr w:rsidR="00A8492D" w:rsidRPr="00AB3394" w14:paraId="453FAE27" w14:textId="77777777" w:rsidTr="00927AA6">
        <w:trPr>
          <w:jc w:val="center"/>
        </w:trPr>
        <w:tc>
          <w:tcPr>
            <w:tcW w:w="2047" w:type="dxa"/>
          </w:tcPr>
          <w:p w14:paraId="57AFF6F6" w14:textId="2268462B"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Trend</w:t>
            </w:r>
          </w:p>
        </w:tc>
        <w:tc>
          <w:tcPr>
            <w:tcW w:w="1496" w:type="dxa"/>
            <w:vAlign w:val="bottom"/>
          </w:tcPr>
          <w:p w14:paraId="14A22D69" w14:textId="037A4253"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0,026404707</w:t>
            </w:r>
          </w:p>
        </w:tc>
        <w:tc>
          <w:tcPr>
            <w:tcW w:w="1496" w:type="dxa"/>
            <w:vAlign w:val="bottom"/>
          </w:tcPr>
          <w:p w14:paraId="2CB4DA28" w14:textId="044F1FF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3,109871782</w:t>
            </w:r>
          </w:p>
        </w:tc>
        <w:tc>
          <w:tcPr>
            <w:tcW w:w="1496" w:type="dxa"/>
            <w:vAlign w:val="bottom"/>
          </w:tcPr>
          <w:p w14:paraId="3121EF2C" w14:textId="6A899726"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3,138121217</w:t>
            </w:r>
          </w:p>
        </w:tc>
      </w:tr>
      <w:tr w:rsidR="00A8492D" w:rsidRPr="00AB3394" w14:paraId="1DCFD713" w14:textId="77777777" w:rsidTr="00927AA6">
        <w:trPr>
          <w:jc w:val="center"/>
        </w:trPr>
        <w:tc>
          <w:tcPr>
            <w:tcW w:w="2047" w:type="dxa"/>
            <w:tcBorders>
              <w:bottom w:val="single" w:sz="4" w:space="0" w:color="auto"/>
            </w:tcBorders>
          </w:tcPr>
          <w:p w14:paraId="1C938944" w14:textId="517687D5"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Volume</w:t>
            </w:r>
          </w:p>
        </w:tc>
        <w:tc>
          <w:tcPr>
            <w:tcW w:w="1496" w:type="dxa"/>
            <w:tcBorders>
              <w:bottom w:val="single" w:sz="4" w:space="0" w:color="auto"/>
            </w:tcBorders>
            <w:vAlign w:val="bottom"/>
          </w:tcPr>
          <w:p w14:paraId="6305AD00" w14:textId="18CF4E0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0,026508139</w:t>
            </w:r>
          </w:p>
        </w:tc>
        <w:tc>
          <w:tcPr>
            <w:tcW w:w="1496" w:type="dxa"/>
            <w:tcBorders>
              <w:bottom w:val="single" w:sz="4" w:space="0" w:color="auto"/>
            </w:tcBorders>
            <w:vAlign w:val="bottom"/>
          </w:tcPr>
          <w:p w14:paraId="6BCAB4C9" w14:textId="63F15A9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3,101709299</w:t>
            </w:r>
          </w:p>
        </w:tc>
        <w:tc>
          <w:tcPr>
            <w:tcW w:w="1496" w:type="dxa"/>
            <w:tcBorders>
              <w:bottom w:val="single" w:sz="4" w:space="0" w:color="auto"/>
            </w:tcBorders>
            <w:vAlign w:val="bottom"/>
          </w:tcPr>
          <w:p w14:paraId="5A86706A" w14:textId="3D2CB92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3,129670024</w:t>
            </w:r>
          </w:p>
        </w:tc>
      </w:tr>
    </w:tbl>
    <w:p w14:paraId="33C678B3" w14:textId="77777777" w:rsidR="00064BA0" w:rsidRDefault="00064BA0" w:rsidP="004733A2">
      <w:pPr>
        <w:rPr>
          <w:lang w:val="en-US" w:eastAsia="en-GB"/>
        </w:rPr>
      </w:pPr>
    </w:p>
    <w:p w14:paraId="2D0546AB" w14:textId="50512791" w:rsidR="003D47A0" w:rsidRDefault="00064BA0" w:rsidP="0083046D">
      <w:pPr>
        <w:rPr>
          <w:lang w:val="en-US" w:eastAsia="en-GB"/>
        </w:rPr>
      </w:pPr>
      <w:r>
        <w:rPr>
          <w:lang w:val="en-US" w:eastAsia="en-GB"/>
        </w:rPr>
        <w:tab/>
        <w:t xml:space="preserve">Berdasarkan tabel 7, dapat disimpulkan bahwa model </w:t>
      </w:r>
      <w:r w:rsidR="00BD53AA">
        <w:rPr>
          <w:lang w:val="en-US" w:eastAsia="en-GB"/>
        </w:rPr>
        <w:t>TFT</w:t>
      </w:r>
      <w:r>
        <w:rPr>
          <w:lang w:val="en-US" w:eastAsia="en-GB"/>
        </w:rPr>
        <w:t xml:space="preserve"> sendiri sudah mendapatkan hasil yang sangat memuaskan yaitu memiliki </w:t>
      </w:r>
      <w:r w:rsidR="00DF7B26">
        <w:rPr>
          <w:lang w:val="en-US" w:eastAsia="en-GB"/>
        </w:rPr>
        <w:t xml:space="preserve">nilai </w:t>
      </w:r>
      <w:r>
        <w:rPr>
          <w:lang w:val="en-US" w:eastAsia="en-GB"/>
        </w:rPr>
        <w:t xml:space="preserve">RMSE </w:t>
      </w:r>
      <w:r w:rsidR="00DF7B26">
        <w:rPr>
          <w:lang w:val="en-US" w:eastAsia="en-GB"/>
        </w:rPr>
        <w:t xml:space="preserve">sekitar </w:t>
      </w:r>
      <w:r>
        <w:rPr>
          <w:lang w:val="en-US" w:eastAsia="en-GB"/>
        </w:rPr>
        <w:t>0.026</w:t>
      </w:r>
      <w:r w:rsidR="00DF7B26">
        <w:rPr>
          <w:lang w:val="en-US" w:eastAsia="en-GB"/>
        </w:rPr>
        <w:t xml:space="preserve"> baik dimasukan variable seperti trend, volume, ataupun sentiment</w:t>
      </w:r>
      <w:r>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DF7B26">
        <w:rPr>
          <w:lang w:val="en-US" w:eastAsia="en-GB"/>
        </w:rPr>
        <w:t xml:space="preserve"> </w:t>
      </w:r>
    </w:p>
    <w:p w14:paraId="21CF8725" w14:textId="77777777" w:rsidR="00E754A0" w:rsidRPr="00CF3FE5" w:rsidRDefault="00E754A0" w:rsidP="0083046D">
      <w:pPr>
        <w:rPr>
          <w:lang w:val="en-US" w:eastAsia="en-GB"/>
        </w:rPr>
      </w:pPr>
    </w:p>
    <w:p w14:paraId="4F3E5407" w14:textId="7D3E5240" w:rsidR="00AC65A7" w:rsidRDefault="00AC65A7">
      <w:pPr>
        <w:contextualSpacing w:val="0"/>
        <w:jc w:val="left"/>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 xml:space="preserve">0.67, oleh karena itu </w:t>
      </w:r>
      <w:r w:rsidR="00842860">
        <w:rPr>
          <w:lang w:val="en-US"/>
        </w:rPr>
        <w:lastRenderedPageBreak/>
        <w:t>disimpulkan data latih yang banyak bukan berarti akan menghasilkan model yang terbaik akan tetapi kualitas dari data latih itu juga harus diperhatian (yang dalam penelitian kali ini adalah BLEU score.</w:t>
      </w:r>
    </w:p>
    <w:p w14:paraId="093BEBB7" w14:textId="0B1CD7D0" w:rsidR="00924109" w:rsidRPr="00051570" w:rsidRDefault="00051570" w:rsidP="00051570">
      <w:pPr>
        <w:ind w:firstLine="426"/>
        <w:rPr>
          <w:lang w:val="en-US"/>
        </w:rPr>
      </w:pPr>
      <w:r>
        <w:rPr>
          <w:lang w:val="en-US"/>
        </w:rPr>
        <w:t>Peramalan harga bitcoin juga membuahkan peningkatan pada model, dengan peningkatan sebesar 0.0004 dalam RMSE, 0.023 dalam sMAPE, dan 0.015 dalam MAPE.</w:t>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66891ADF" w14:textId="78ED122B" w:rsidR="008B0F08" w:rsidRPr="008B0F08" w:rsidRDefault="002D669C" w:rsidP="008B0F08">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8B0F08" w:rsidRPr="008B0F08">
        <w:rPr>
          <w:szCs w:val="24"/>
        </w:rPr>
        <w:t>[1]</w:t>
      </w:r>
      <w:r w:rsidR="008B0F08" w:rsidRPr="008B0F08">
        <w:rPr>
          <w:szCs w:val="24"/>
        </w:rPr>
        <w:tab/>
        <w:t xml:space="preserve">L. Zhao, “The function and impact of cryptocurrency and data technology in the context of financial technology: introduction to the issue,” </w:t>
      </w:r>
      <w:r w:rsidR="008B0F08" w:rsidRPr="008B0F08">
        <w:rPr>
          <w:i/>
          <w:iCs/>
          <w:szCs w:val="24"/>
        </w:rPr>
        <w:t>Financ. Innov.</w:t>
      </w:r>
      <w:r w:rsidR="008B0F08" w:rsidRPr="008B0F08">
        <w:rPr>
          <w:szCs w:val="24"/>
        </w:rPr>
        <w:t>, vol. 7, no. 1, 2021, doi: 10.1186/s40854-021-00301-w.</w:t>
      </w:r>
    </w:p>
    <w:p w14:paraId="34D8D8A5" w14:textId="77777777" w:rsidR="008B0F08" w:rsidRPr="008B0F08" w:rsidRDefault="008B0F08" w:rsidP="008B0F08">
      <w:pPr>
        <w:widowControl w:val="0"/>
        <w:autoSpaceDE w:val="0"/>
        <w:autoSpaceDN w:val="0"/>
        <w:adjustRightInd w:val="0"/>
        <w:ind w:left="640" w:hanging="640"/>
        <w:rPr>
          <w:szCs w:val="24"/>
        </w:rPr>
      </w:pPr>
      <w:r w:rsidRPr="008B0F08">
        <w:rPr>
          <w:szCs w:val="24"/>
        </w:rPr>
        <w:t>[2]</w:t>
      </w:r>
      <w:r w:rsidRPr="008B0F08">
        <w:rPr>
          <w:szCs w:val="24"/>
        </w:rPr>
        <w:tab/>
        <w:t xml:space="preserve">A. H. Al-Nefaie and T. H. H. Aldhyani, “Bitcoin Price Forecasting and Trading: Data Analytics Approaches,” </w:t>
      </w:r>
      <w:r w:rsidRPr="008B0F08">
        <w:rPr>
          <w:i/>
          <w:iCs/>
          <w:szCs w:val="24"/>
        </w:rPr>
        <w:t>Electron.</w:t>
      </w:r>
      <w:r w:rsidRPr="008B0F08">
        <w:rPr>
          <w:szCs w:val="24"/>
        </w:rPr>
        <w:t>, vol. 11, no. 24, 2022, doi: 10.3390/electronics11244088.</w:t>
      </w:r>
    </w:p>
    <w:p w14:paraId="7DFC008A" w14:textId="77777777" w:rsidR="008B0F08" w:rsidRPr="008B0F08" w:rsidRDefault="008B0F08" w:rsidP="008B0F08">
      <w:pPr>
        <w:widowControl w:val="0"/>
        <w:autoSpaceDE w:val="0"/>
        <w:autoSpaceDN w:val="0"/>
        <w:adjustRightInd w:val="0"/>
        <w:ind w:left="640" w:hanging="640"/>
        <w:rPr>
          <w:szCs w:val="24"/>
        </w:rPr>
      </w:pPr>
      <w:r w:rsidRPr="008B0F08">
        <w:rPr>
          <w:szCs w:val="24"/>
        </w:rPr>
        <w:t>[3]</w:t>
      </w:r>
      <w:r w:rsidRPr="008B0F08">
        <w:rPr>
          <w:szCs w:val="24"/>
        </w:rPr>
        <w:tab/>
        <w:t xml:space="preserve">U. Rahardja, Q. Aini, E. Purnamaharahap, and R. Raihan, “GOOD, BAD AND DARK BITCOIN: A Systematic Literature Review,” </w:t>
      </w:r>
      <w:r w:rsidRPr="008B0F08">
        <w:rPr>
          <w:i/>
          <w:iCs/>
          <w:szCs w:val="24"/>
        </w:rPr>
        <w:t>Aptisi Trans. Technopreneursh.</w:t>
      </w:r>
      <w:r w:rsidRPr="008B0F08">
        <w:rPr>
          <w:szCs w:val="24"/>
        </w:rPr>
        <w:t>, vol. 3, no. 2, pp. 1–5, 2021, doi: 10.34306/att.v3i2.175.</w:t>
      </w:r>
    </w:p>
    <w:p w14:paraId="47AD9CBA" w14:textId="77777777" w:rsidR="008B0F08" w:rsidRPr="008B0F08" w:rsidRDefault="008B0F08" w:rsidP="008B0F08">
      <w:pPr>
        <w:widowControl w:val="0"/>
        <w:autoSpaceDE w:val="0"/>
        <w:autoSpaceDN w:val="0"/>
        <w:adjustRightInd w:val="0"/>
        <w:ind w:left="640" w:hanging="640"/>
        <w:rPr>
          <w:szCs w:val="24"/>
        </w:rPr>
      </w:pPr>
      <w:r w:rsidRPr="008B0F08">
        <w:rPr>
          <w:szCs w:val="24"/>
        </w:rPr>
        <w:t>[4]</w:t>
      </w:r>
      <w:r w:rsidRPr="008B0F08">
        <w:rPr>
          <w:szCs w:val="24"/>
        </w:rPr>
        <w:tab/>
        <w:t xml:space="preserve">D. Higdon, J. Nelson, and J. Ibarra, JuanAbraham, “Cryptocurrency price prediction using tweet volumes and sentiment analysis,” </w:t>
      </w:r>
      <w:r w:rsidRPr="008B0F08">
        <w:rPr>
          <w:i/>
          <w:iCs/>
          <w:szCs w:val="24"/>
        </w:rPr>
        <w:t>SMU Data Sci. Rev.</w:t>
      </w:r>
      <w:r w:rsidRPr="008B0F08">
        <w:rPr>
          <w:szCs w:val="24"/>
        </w:rPr>
        <w:t>, vol. 1, no. 3, p. 1, 2018.</w:t>
      </w:r>
    </w:p>
    <w:p w14:paraId="6A62694E" w14:textId="77777777" w:rsidR="008B0F08" w:rsidRPr="008B0F08" w:rsidRDefault="008B0F08" w:rsidP="008B0F08">
      <w:pPr>
        <w:widowControl w:val="0"/>
        <w:autoSpaceDE w:val="0"/>
        <w:autoSpaceDN w:val="0"/>
        <w:adjustRightInd w:val="0"/>
        <w:ind w:left="640" w:hanging="640"/>
        <w:rPr>
          <w:szCs w:val="24"/>
        </w:rPr>
      </w:pPr>
      <w:r w:rsidRPr="008B0F08">
        <w:rPr>
          <w:szCs w:val="24"/>
        </w:rPr>
        <w:t>[5]</w:t>
      </w:r>
      <w:r w:rsidRPr="008B0F08">
        <w:rPr>
          <w:szCs w:val="24"/>
        </w:rPr>
        <w:tab/>
        <w:t xml:space="preserve">M. A. Nasir, T. L. D. Huynh, S. P. Nguyen, and D. Duong, “Forecasting cryptocurrency returns and volume using search engines,” </w:t>
      </w:r>
      <w:r w:rsidRPr="008B0F08">
        <w:rPr>
          <w:i/>
          <w:iCs/>
          <w:szCs w:val="24"/>
        </w:rPr>
        <w:t>Financ. Innov.</w:t>
      </w:r>
      <w:r w:rsidRPr="008B0F08">
        <w:rPr>
          <w:szCs w:val="24"/>
        </w:rPr>
        <w:t>, vol. 5, no. 1, 2019, doi: 10.1186/s40854-018-0119-8.</w:t>
      </w:r>
    </w:p>
    <w:p w14:paraId="5C6EB817" w14:textId="77777777" w:rsidR="008B0F08" w:rsidRPr="008B0F08" w:rsidRDefault="008B0F08" w:rsidP="008B0F08">
      <w:pPr>
        <w:widowControl w:val="0"/>
        <w:autoSpaceDE w:val="0"/>
        <w:autoSpaceDN w:val="0"/>
        <w:adjustRightInd w:val="0"/>
        <w:ind w:left="640" w:hanging="640"/>
        <w:rPr>
          <w:szCs w:val="24"/>
        </w:rPr>
      </w:pPr>
      <w:r w:rsidRPr="008B0F08">
        <w:rPr>
          <w:szCs w:val="24"/>
        </w:rPr>
        <w:t>[6]</w:t>
      </w:r>
      <w:r w:rsidRPr="008B0F08">
        <w:rPr>
          <w:szCs w:val="24"/>
        </w:rPr>
        <w:tab/>
        <w:t xml:space="preserve">S. Alghamdi, S. Alqethami, T. Alsubait, and H. Alhakami, “Cryptocurrency Price Prediction using Forecasting and Sentiment Analysis,” </w:t>
      </w:r>
      <w:r w:rsidRPr="008B0F08">
        <w:rPr>
          <w:i/>
          <w:iCs/>
          <w:szCs w:val="24"/>
        </w:rPr>
        <w:t>Int. J. Adv. Comput. Sci. Appl.</w:t>
      </w:r>
      <w:r w:rsidRPr="008B0F08">
        <w:rPr>
          <w:szCs w:val="24"/>
        </w:rPr>
        <w:t>, vol. 13, no. 10, pp. 891–900, 2022, doi: 10.14569/IJACSA.2022.01310105.</w:t>
      </w:r>
    </w:p>
    <w:p w14:paraId="1E9933A2" w14:textId="77777777" w:rsidR="008B0F08" w:rsidRPr="008B0F08" w:rsidRDefault="008B0F08" w:rsidP="008B0F08">
      <w:pPr>
        <w:widowControl w:val="0"/>
        <w:autoSpaceDE w:val="0"/>
        <w:autoSpaceDN w:val="0"/>
        <w:adjustRightInd w:val="0"/>
        <w:ind w:left="640" w:hanging="640"/>
        <w:rPr>
          <w:szCs w:val="24"/>
        </w:rPr>
      </w:pPr>
      <w:r w:rsidRPr="008B0F08">
        <w:rPr>
          <w:szCs w:val="24"/>
        </w:rPr>
        <w:t>[7]</w:t>
      </w:r>
      <w:r w:rsidRPr="008B0F08">
        <w:rPr>
          <w:szCs w:val="24"/>
        </w:rPr>
        <w:tab/>
        <w:t xml:space="preserve">A. Vaswani </w:t>
      </w:r>
      <w:r w:rsidRPr="008B0F08">
        <w:rPr>
          <w:i/>
          <w:iCs/>
          <w:szCs w:val="24"/>
        </w:rPr>
        <w:t>et al.</w:t>
      </w:r>
      <w:r w:rsidRPr="008B0F08">
        <w:rPr>
          <w:szCs w:val="24"/>
        </w:rPr>
        <w:t xml:space="preserve">, “Attention is all you need,” </w:t>
      </w:r>
      <w:r w:rsidRPr="008B0F08">
        <w:rPr>
          <w:i/>
          <w:iCs/>
          <w:szCs w:val="24"/>
        </w:rPr>
        <w:t>Adv. Neural Inf. Process. Syst.</w:t>
      </w:r>
      <w:r w:rsidRPr="008B0F08">
        <w:rPr>
          <w:szCs w:val="24"/>
        </w:rPr>
        <w:t>, vol. 2017-Decem, no. Nips, pp. 5999–6009, 2017.</w:t>
      </w:r>
    </w:p>
    <w:p w14:paraId="765E8931" w14:textId="77777777" w:rsidR="008B0F08" w:rsidRPr="008B0F08" w:rsidRDefault="008B0F08" w:rsidP="008B0F08">
      <w:pPr>
        <w:widowControl w:val="0"/>
        <w:autoSpaceDE w:val="0"/>
        <w:autoSpaceDN w:val="0"/>
        <w:adjustRightInd w:val="0"/>
        <w:ind w:left="640" w:hanging="640"/>
        <w:rPr>
          <w:szCs w:val="24"/>
        </w:rPr>
      </w:pPr>
      <w:r w:rsidRPr="008B0F08">
        <w:rPr>
          <w:szCs w:val="24"/>
        </w:rPr>
        <w:t>[8]</w:t>
      </w:r>
      <w:r w:rsidRPr="008B0F08">
        <w:rPr>
          <w:szCs w:val="24"/>
        </w:rPr>
        <w:tab/>
        <w:t xml:space="preserve">G. Zerveas, S. Jayaraman, D. Patel, A. Bhamidipaty, and C. Eickhoff, “A Transformer-based Framework for Multivariate Time Series Representation </w:t>
      </w:r>
      <w:r w:rsidRPr="008B0F08">
        <w:rPr>
          <w:szCs w:val="24"/>
        </w:rPr>
        <w:lastRenderedPageBreak/>
        <w:t xml:space="preserve">Learning,” </w:t>
      </w:r>
      <w:r w:rsidRPr="008B0F08">
        <w:rPr>
          <w:i/>
          <w:iCs/>
          <w:szCs w:val="24"/>
        </w:rPr>
        <w:t>Proc. ACM SIGKDD Int. Conf. Knowl. Discov. Data Min.</w:t>
      </w:r>
      <w:r w:rsidRPr="008B0F08">
        <w:rPr>
          <w:szCs w:val="24"/>
        </w:rPr>
        <w:t>, pp. 2114–2124, 2021, doi: 10.1145/3447548.3467401.</w:t>
      </w:r>
    </w:p>
    <w:p w14:paraId="23C2179C" w14:textId="77777777" w:rsidR="008B0F08" w:rsidRPr="008B0F08" w:rsidRDefault="008B0F08" w:rsidP="008B0F08">
      <w:pPr>
        <w:widowControl w:val="0"/>
        <w:autoSpaceDE w:val="0"/>
        <w:autoSpaceDN w:val="0"/>
        <w:adjustRightInd w:val="0"/>
        <w:ind w:left="640" w:hanging="640"/>
        <w:rPr>
          <w:szCs w:val="24"/>
        </w:rPr>
      </w:pPr>
      <w:r w:rsidRPr="008B0F08">
        <w:rPr>
          <w:szCs w:val="24"/>
        </w:rPr>
        <w:t>[9]</w:t>
      </w:r>
      <w:r w:rsidRPr="008B0F08">
        <w:rPr>
          <w:szCs w:val="24"/>
        </w:rPr>
        <w:tab/>
        <w:t xml:space="preserve">E. Gemici and M. Polat, “Relationship between price and volume in the Bitcoin market,” </w:t>
      </w:r>
      <w:r w:rsidRPr="008B0F08">
        <w:rPr>
          <w:i/>
          <w:iCs/>
          <w:szCs w:val="24"/>
        </w:rPr>
        <w:t>J. Risk Financ.</w:t>
      </w:r>
      <w:r w:rsidRPr="008B0F08">
        <w:rPr>
          <w:szCs w:val="24"/>
        </w:rPr>
        <w:t>, vol. 20, no. 5, pp. 435–444, 2019, doi: 10.1108/JRF-07-2018-0111.</w:t>
      </w:r>
    </w:p>
    <w:p w14:paraId="68108A6B" w14:textId="77777777" w:rsidR="008B0F08" w:rsidRPr="008B0F08" w:rsidRDefault="008B0F08" w:rsidP="008B0F08">
      <w:pPr>
        <w:widowControl w:val="0"/>
        <w:autoSpaceDE w:val="0"/>
        <w:autoSpaceDN w:val="0"/>
        <w:adjustRightInd w:val="0"/>
        <w:ind w:left="640" w:hanging="640"/>
        <w:rPr>
          <w:szCs w:val="24"/>
        </w:rPr>
      </w:pPr>
      <w:r w:rsidRPr="008B0F08">
        <w:rPr>
          <w:szCs w:val="24"/>
        </w:rPr>
        <w:t>[10]</w:t>
      </w:r>
      <w:r w:rsidRPr="008B0F08">
        <w:rPr>
          <w:szCs w:val="24"/>
        </w:rPr>
        <w:tab/>
        <w:t xml:space="preserve">M. Ettredge, J. Gerdes, and G. Karuga, “Using web-based search data to predict macroeconomic statistics,” </w:t>
      </w:r>
      <w:r w:rsidRPr="008B0F08">
        <w:rPr>
          <w:i/>
          <w:iCs/>
          <w:szCs w:val="24"/>
        </w:rPr>
        <w:t>Commun. ACM</w:t>
      </w:r>
      <w:r w:rsidRPr="008B0F08">
        <w:rPr>
          <w:szCs w:val="24"/>
        </w:rPr>
        <w:t>, vol. 48, no. 11, pp. 87–92, 2005, doi: 10.1145/1096000.1096010.</w:t>
      </w:r>
    </w:p>
    <w:p w14:paraId="5D9B2767" w14:textId="77777777" w:rsidR="008B0F08" w:rsidRPr="008B0F08" w:rsidRDefault="008B0F08" w:rsidP="008B0F08">
      <w:pPr>
        <w:widowControl w:val="0"/>
        <w:autoSpaceDE w:val="0"/>
        <w:autoSpaceDN w:val="0"/>
        <w:adjustRightInd w:val="0"/>
        <w:ind w:left="640" w:hanging="640"/>
        <w:rPr>
          <w:szCs w:val="24"/>
        </w:rPr>
      </w:pPr>
      <w:r w:rsidRPr="008B0F08">
        <w:rPr>
          <w:szCs w:val="24"/>
        </w:rPr>
        <w:t>[11]</w:t>
      </w:r>
      <w:r w:rsidRPr="008B0F08">
        <w:rPr>
          <w:szCs w:val="24"/>
        </w:rPr>
        <w:tab/>
        <w:t xml:space="preserve">H. Choi and H. Varian, “Predicting the Present with Google Trends,” </w:t>
      </w:r>
      <w:r w:rsidRPr="008B0F08">
        <w:rPr>
          <w:i/>
          <w:iCs/>
          <w:szCs w:val="24"/>
        </w:rPr>
        <w:t>Econ. Rec.</w:t>
      </w:r>
      <w:r w:rsidRPr="008B0F08">
        <w:rPr>
          <w:szCs w:val="24"/>
        </w:rPr>
        <w:t>, vol. 88, no. SUPPL.1, pp. 2–9, 2012, doi: 10.1111/j.1475-4932.2012.00809.x.</w:t>
      </w:r>
    </w:p>
    <w:p w14:paraId="24436FEA" w14:textId="77777777" w:rsidR="008B0F08" w:rsidRPr="008B0F08" w:rsidRDefault="008B0F08" w:rsidP="008B0F08">
      <w:pPr>
        <w:widowControl w:val="0"/>
        <w:autoSpaceDE w:val="0"/>
        <w:autoSpaceDN w:val="0"/>
        <w:adjustRightInd w:val="0"/>
        <w:ind w:left="640" w:hanging="640"/>
        <w:rPr>
          <w:szCs w:val="24"/>
        </w:rPr>
      </w:pPr>
      <w:r w:rsidRPr="008B0F08">
        <w:rPr>
          <w:szCs w:val="24"/>
        </w:rPr>
        <w:t>[12]</w:t>
      </w:r>
      <w:r w:rsidRPr="008B0F08">
        <w:rPr>
          <w:szCs w:val="24"/>
        </w:rPr>
        <w:tab/>
        <w:t>S. Mehtab and J. Sen, “Stock Price Prediction Using Convolutional Neural Networks on a Multivariate Timeseries,” 2020, doi: 10.36227/techrxiv.15088734.v1.</w:t>
      </w:r>
    </w:p>
    <w:p w14:paraId="4A292126" w14:textId="77777777" w:rsidR="008B0F08" w:rsidRPr="008B0F08" w:rsidRDefault="008B0F08" w:rsidP="008B0F08">
      <w:pPr>
        <w:widowControl w:val="0"/>
        <w:autoSpaceDE w:val="0"/>
        <w:autoSpaceDN w:val="0"/>
        <w:adjustRightInd w:val="0"/>
        <w:ind w:left="640" w:hanging="640"/>
        <w:rPr>
          <w:szCs w:val="24"/>
        </w:rPr>
      </w:pPr>
      <w:r w:rsidRPr="008B0F08">
        <w:rPr>
          <w:szCs w:val="24"/>
        </w:rPr>
        <w:t>[13]</w:t>
      </w:r>
      <w:r w:rsidRPr="008B0F08">
        <w:rPr>
          <w:szCs w:val="24"/>
        </w:rPr>
        <w:tab/>
        <w:t xml:space="preserve">S. Hansun, A. Wicaksana, and A. Q. M. Khaliq, “Multivariate cryptocurrency prediction: comparative analysis of three recurrent neural networks approaches,” </w:t>
      </w:r>
      <w:r w:rsidRPr="008B0F08">
        <w:rPr>
          <w:i/>
          <w:iCs/>
          <w:szCs w:val="24"/>
        </w:rPr>
        <w:t>J. Big Data</w:t>
      </w:r>
      <w:r w:rsidRPr="008B0F08">
        <w:rPr>
          <w:szCs w:val="24"/>
        </w:rPr>
        <w:t>, vol. 9, no. 1, 2022, doi: 10.1186/s40537-022-00601-7.</w:t>
      </w:r>
    </w:p>
    <w:p w14:paraId="26E9910A" w14:textId="77777777" w:rsidR="008B0F08" w:rsidRPr="008B0F08" w:rsidRDefault="008B0F08" w:rsidP="008B0F08">
      <w:pPr>
        <w:widowControl w:val="0"/>
        <w:autoSpaceDE w:val="0"/>
        <w:autoSpaceDN w:val="0"/>
        <w:adjustRightInd w:val="0"/>
        <w:ind w:left="640" w:hanging="640"/>
        <w:rPr>
          <w:szCs w:val="24"/>
        </w:rPr>
      </w:pPr>
      <w:r w:rsidRPr="008B0F08">
        <w:rPr>
          <w:szCs w:val="24"/>
        </w:rPr>
        <w:t>[14]</w:t>
      </w:r>
      <w:r w:rsidRPr="008B0F08">
        <w:rPr>
          <w:szCs w:val="24"/>
        </w:rPr>
        <w:tab/>
        <w:t xml:space="preserve">Z. Hu, Y. Zhao, and M. Khushi, “A survey of forex and stock price prediction using deep learning,” </w:t>
      </w:r>
      <w:r w:rsidRPr="008B0F08">
        <w:rPr>
          <w:i/>
          <w:iCs/>
          <w:szCs w:val="24"/>
        </w:rPr>
        <w:t>Appl. Syst. Innov.</w:t>
      </w:r>
      <w:r w:rsidRPr="008B0F08">
        <w:rPr>
          <w:szCs w:val="24"/>
        </w:rPr>
        <w:t>, vol. 4, no. 1, pp. 1–30, 2021, doi: 10.3390/ASI4010009.</w:t>
      </w:r>
    </w:p>
    <w:p w14:paraId="696DE520" w14:textId="77777777" w:rsidR="008B0F08" w:rsidRPr="008B0F08" w:rsidRDefault="008B0F08" w:rsidP="008B0F08">
      <w:pPr>
        <w:widowControl w:val="0"/>
        <w:autoSpaceDE w:val="0"/>
        <w:autoSpaceDN w:val="0"/>
        <w:adjustRightInd w:val="0"/>
        <w:ind w:left="640" w:hanging="640"/>
        <w:rPr>
          <w:szCs w:val="24"/>
        </w:rPr>
      </w:pPr>
      <w:r w:rsidRPr="008B0F08">
        <w:rPr>
          <w:szCs w:val="24"/>
        </w:rPr>
        <w:t>[15]</w:t>
      </w:r>
      <w:r w:rsidRPr="008B0F08">
        <w:rPr>
          <w:szCs w:val="24"/>
        </w:rPr>
        <w:tab/>
        <w:t xml:space="preserve">B. Lim, S. Arık, N. Loeff, and T. Pfister, “Temporal Fusion Transformers for interpretable multi-horizon time series forecasting,” </w:t>
      </w:r>
      <w:r w:rsidRPr="008B0F08">
        <w:rPr>
          <w:i/>
          <w:iCs/>
          <w:szCs w:val="24"/>
        </w:rPr>
        <w:t>Int. J. Forecast.</w:t>
      </w:r>
      <w:r w:rsidRPr="008B0F08">
        <w:rPr>
          <w:szCs w:val="24"/>
        </w:rPr>
        <w:t>, vol. 37, no. 4, pp. 1748–1764, 2021, doi: 10.1016/j.ijforecast.2021.03.012.</w:t>
      </w:r>
    </w:p>
    <w:p w14:paraId="37FBFB2E" w14:textId="77777777" w:rsidR="008B0F08" w:rsidRPr="008B0F08" w:rsidRDefault="008B0F08" w:rsidP="008B0F08">
      <w:pPr>
        <w:widowControl w:val="0"/>
        <w:autoSpaceDE w:val="0"/>
        <w:autoSpaceDN w:val="0"/>
        <w:adjustRightInd w:val="0"/>
        <w:ind w:left="640" w:hanging="640"/>
        <w:rPr>
          <w:szCs w:val="24"/>
        </w:rPr>
      </w:pPr>
      <w:r w:rsidRPr="008B0F08">
        <w:rPr>
          <w:szCs w:val="24"/>
        </w:rPr>
        <w:t>[16]</w:t>
      </w:r>
      <w:r w:rsidRPr="008B0F08">
        <w:rPr>
          <w:szCs w:val="24"/>
        </w:rPr>
        <w:tab/>
        <w:t xml:space="preserve">D. Sarkar, </w:t>
      </w:r>
      <w:r w:rsidRPr="008B0F08">
        <w:rPr>
          <w:i/>
          <w:iCs/>
          <w:szCs w:val="24"/>
        </w:rPr>
        <w:t>Text Analytics with Python</w:t>
      </w:r>
      <w:r w:rsidRPr="008B0F08">
        <w:rPr>
          <w:szCs w:val="24"/>
        </w:rPr>
        <w:t>, vol. 32, no. 1. 2016. doi: 10.1140/epja/i2006-10279-1.</w:t>
      </w:r>
    </w:p>
    <w:p w14:paraId="58DFE588" w14:textId="77777777" w:rsidR="008B0F08" w:rsidRPr="008B0F08" w:rsidRDefault="008B0F08" w:rsidP="008B0F08">
      <w:pPr>
        <w:widowControl w:val="0"/>
        <w:autoSpaceDE w:val="0"/>
        <w:autoSpaceDN w:val="0"/>
        <w:adjustRightInd w:val="0"/>
        <w:ind w:left="640" w:hanging="640"/>
        <w:rPr>
          <w:szCs w:val="24"/>
        </w:rPr>
      </w:pPr>
      <w:r w:rsidRPr="008B0F08">
        <w:rPr>
          <w:szCs w:val="24"/>
        </w:rPr>
        <w:t>[17]</w:t>
      </w:r>
      <w:r w:rsidRPr="008B0F08">
        <w:rPr>
          <w:szCs w:val="24"/>
        </w:rPr>
        <w:tab/>
        <w:t xml:space="preserve">R. Feldman and J. Sanger, </w:t>
      </w:r>
      <w:r w:rsidRPr="008B0F08">
        <w:rPr>
          <w:i/>
          <w:iCs/>
          <w:szCs w:val="24"/>
        </w:rPr>
        <w:t>The Text Mining Handbook</w:t>
      </w:r>
      <w:r w:rsidRPr="008B0F08">
        <w:rPr>
          <w:szCs w:val="24"/>
        </w:rPr>
        <w:t>. 2006. doi: 10.1017/cbo9780511546914.</w:t>
      </w:r>
    </w:p>
    <w:p w14:paraId="207579BC" w14:textId="77777777" w:rsidR="008B0F08" w:rsidRPr="008B0F08" w:rsidRDefault="008B0F08" w:rsidP="008B0F08">
      <w:pPr>
        <w:widowControl w:val="0"/>
        <w:autoSpaceDE w:val="0"/>
        <w:autoSpaceDN w:val="0"/>
        <w:adjustRightInd w:val="0"/>
        <w:ind w:left="640" w:hanging="640"/>
        <w:rPr>
          <w:szCs w:val="24"/>
        </w:rPr>
      </w:pPr>
      <w:r w:rsidRPr="008B0F08">
        <w:rPr>
          <w:szCs w:val="24"/>
        </w:rPr>
        <w:t>[18]</w:t>
      </w:r>
      <w:r w:rsidRPr="008B0F08">
        <w:rPr>
          <w:szCs w:val="24"/>
        </w:rPr>
        <w:tab/>
        <w:t xml:space="preserve"> and G. E. H. A. Krizhevsky, I. Sutskever, “ImageNet Classification with Deep Convolutional Neural Networks,” </w:t>
      </w:r>
      <w:r w:rsidRPr="008B0F08">
        <w:rPr>
          <w:i/>
          <w:iCs/>
          <w:szCs w:val="24"/>
        </w:rPr>
        <w:t>Commun. ACM</w:t>
      </w:r>
      <w:r w:rsidRPr="008B0F08">
        <w:rPr>
          <w:szCs w:val="24"/>
        </w:rPr>
        <w:t>, vol. 60, no. 6, pp. 84–90, 2017.</w:t>
      </w:r>
    </w:p>
    <w:p w14:paraId="55CBE747" w14:textId="77777777" w:rsidR="008B0F08" w:rsidRPr="008B0F08" w:rsidRDefault="008B0F08" w:rsidP="008B0F08">
      <w:pPr>
        <w:widowControl w:val="0"/>
        <w:autoSpaceDE w:val="0"/>
        <w:autoSpaceDN w:val="0"/>
        <w:adjustRightInd w:val="0"/>
        <w:ind w:left="640" w:hanging="640"/>
        <w:rPr>
          <w:szCs w:val="24"/>
        </w:rPr>
      </w:pPr>
      <w:r w:rsidRPr="008B0F08">
        <w:rPr>
          <w:szCs w:val="24"/>
        </w:rPr>
        <w:t>[19]</w:t>
      </w:r>
      <w:r w:rsidRPr="008B0F08">
        <w:rPr>
          <w:szCs w:val="24"/>
        </w:rPr>
        <w:tab/>
        <w:t xml:space="preserve">W. Wang, B. Li, D. Feng, A. Zhang, and S. Wan, “The OL-DAWE Model: Tweet Polarity Sentiment Analysis with Data Augmentation,” </w:t>
      </w:r>
      <w:r w:rsidRPr="008B0F08">
        <w:rPr>
          <w:i/>
          <w:iCs/>
          <w:szCs w:val="24"/>
        </w:rPr>
        <w:t>IEEE Access</w:t>
      </w:r>
      <w:r w:rsidRPr="008B0F08">
        <w:rPr>
          <w:szCs w:val="24"/>
        </w:rPr>
        <w:t>, vol. 8, pp. 40118–40128, 2020, doi: 10.1109/ACCESS.2020.2976196.</w:t>
      </w:r>
    </w:p>
    <w:p w14:paraId="0A7481A9" w14:textId="77777777" w:rsidR="008B0F08" w:rsidRPr="008B0F08" w:rsidRDefault="008B0F08" w:rsidP="008B0F08">
      <w:pPr>
        <w:widowControl w:val="0"/>
        <w:autoSpaceDE w:val="0"/>
        <w:autoSpaceDN w:val="0"/>
        <w:adjustRightInd w:val="0"/>
        <w:ind w:left="640" w:hanging="640"/>
        <w:rPr>
          <w:szCs w:val="24"/>
        </w:rPr>
      </w:pPr>
      <w:r w:rsidRPr="008B0F08">
        <w:rPr>
          <w:szCs w:val="24"/>
        </w:rPr>
        <w:t>[20]</w:t>
      </w:r>
      <w:r w:rsidRPr="008B0F08">
        <w:rPr>
          <w:szCs w:val="24"/>
        </w:rPr>
        <w:tab/>
        <w:t xml:space="preserve">S. Edunov, M. Ott, M. Auli, and D. Grangier, “Understanding back-translation at scale,” </w:t>
      </w:r>
      <w:r w:rsidRPr="008B0F08">
        <w:rPr>
          <w:i/>
          <w:iCs/>
          <w:szCs w:val="24"/>
        </w:rPr>
        <w:t>Proc. 2018 Conf. Empir. Methods Nat. Lang. Process. EMNLP 2018</w:t>
      </w:r>
      <w:r w:rsidRPr="008B0F08">
        <w:rPr>
          <w:szCs w:val="24"/>
        </w:rPr>
        <w:t>, pp. 489–500, 2018, doi: 10.18653/v1/d18-1045.</w:t>
      </w:r>
    </w:p>
    <w:p w14:paraId="329EF554" w14:textId="77777777" w:rsidR="008B0F08" w:rsidRPr="008B0F08" w:rsidRDefault="008B0F08" w:rsidP="008B0F08">
      <w:pPr>
        <w:widowControl w:val="0"/>
        <w:autoSpaceDE w:val="0"/>
        <w:autoSpaceDN w:val="0"/>
        <w:adjustRightInd w:val="0"/>
        <w:ind w:left="640" w:hanging="640"/>
        <w:rPr>
          <w:szCs w:val="24"/>
        </w:rPr>
      </w:pPr>
      <w:r w:rsidRPr="008B0F08">
        <w:rPr>
          <w:szCs w:val="24"/>
        </w:rPr>
        <w:t>[21]</w:t>
      </w:r>
      <w:r w:rsidRPr="008B0F08">
        <w:rPr>
          <w:szCs w:val="24"/>
        </w:rPr>
        <w:tab/>
        <w:t xml:space="preserve">M. Bayer, M. A. Kaufhold, and C. Reuter, “A Survey on Data Augmentation for Text Classification,” </w:t>
      </w:r>
      <w:r w:rsidRPr="008B0F08">
        <w:rPr>
          <w:i/>
          <w:iCs/>
          <w:szCs w:val="24"/>
        </w:rPr>
        <w:t>ACM Comput. Surv.</w:t>
      </w:r>
      <w:r w:rsidRPr="008B0F08">
        <w:rPr>
          <w:szCs w:val="24"/>
        </w:rPr>
        <w:t>, vol. 55, no. 7, pp. 1–44, 2022, doi: 10.1145/3544558.</w:t>
      </w:r>
    </w:p>
    <w:p w14:paraId="1736758E" w14:textId="77777777" w:rsidR="008B0F08" w:rsidRPr="008B0F08" w:rsidRDefault="008B0F08" w:rsidP="008B0F08">
      <w:pPr>
        <w:widowControl w:val="0"/>
        <w:autoSpaceDE w:val="0"/>
        <w:autoSpaceDN w:val="0"/>
        <w:adjustRightInd w:val="0"/>
        <w:ind w:left="640" w:hanging="640"/>
        <w:rPr>
          <w:szCs w:val="24"/>
        </w:rPr>
      </w:pPr>
      <w:r w:rsidRPr="008B0F08">
        <w:rPr>
          <w:szCs w:val="24"/>
        </w:rPr>
        <w:t>[22]</w:t>
      </w:r>
      <w:r w:rsidRPr="008B0F08">
        <w:rPr>
          <w:szCs w:val="24"/>
        </w:rPr>
        <w:tab/>
        <w:t xml:space="preserve">J. Ma and L. Li, “Data Augmentation for Chinese Text Classification Using Back-Translation,” </w:t>
      </w:r>
      <w:r w:rsidRPr="008B0F08">
        <w:rPr>
          <w:i/>
          <w:iCs/>
          <w:szCs w:val="24"/>
        </w:rPr>
        <w:t>J. Phys. Conf. Ser.</w:t>
      </w:r>
      <w:r w:rsidRPr="008B0F08">
        <w:rPr>
          <w:szCs w:val="24"/>
        </w:rPr>
        <w:t>, vol. 1651, no. 1, 2020, doi: 10.1088/1742-6596/1651/1/012039.</w:t>
      </w:r>
    </w:p>
    <w:p w14:paraId="1F487A7E" w14:textId="77777777" w:rsidR="008B0F08" w:rsidRPr="008B0F08" w:rsidRDefault="008B0F08" w:rsidP="008B0F08">
      <w:pPr>
        <w:widowControl w:val="0"/>
        <w:autoSpaceDE w:val="0"/>
        <w:autoSpaceDN w:val="0"/>
        <w:adjustRightInd w:val="0"/>
        <w:ind w:left="640" w:hanging="640"/>
        <w:rPr>
          <w:szCs w:val="24"/>
        </w:rPr>
      </w:pPr>
      <w:r w:rsidRPr="008B0F08">
        <w:rPr>
          <w:szCs w:val="24"/>
        </w:rPr>
        <w:t>[23]</w:t>
      </w:r>
      <w:r w:rsidRPr="008B0F08">
        <w:rPr>
          <w:szCs w:val="24"/>
        </w:rPr>
        <w:tab/>
        <w:t xml:space="preserve">S. T. Aroyehun and A. Gelbukh, “Aggression Detection in Social Media: Using Deep Neural Networks, Data Augmentation, and Pseudo Labeling,” </w:t>
      </w:r>
      <w:r w:rsidRPr="008B0F08">
        <w:rPr>
          <w:i/>
          <w:iCs/>
          <w:szCs w:val="24"/>
        </w:rPr>
        <w:t>COLING 2018 - 1st Work. Trolling, Aggress. Cyberbullying, TRAC 2018 - Proc. Work.</w:t>
      </w:r>
      <w:r w:rsidRPr="008B0F08">
        <w:rPr>
          <w:szCs w:val="24"/>
        </w:rPr>
        <w:t>, pp. 90–97, 2018.</w:t>
      </w:r>
    </w:p>
    <w:p w14:paraId="3A8FE633" w14:textId="77777777" w:rsidR="008B0F08" w:rsidRPr="008B0F08" w:rsidRDefault="008B0F08" w:rsidP="008B0F08">
      <w:pPr>
        <w:widowControl w:val="0"/>
        <w:autoSpaceDE w:val="0"/>
        <w:autoSpaceDN w:val="0"/>
        <w:adjustRightInd w:val="0"/>
        <w:ind w:left="640" w:hanging="640"/>
        <w:rPr>
          <w:szCs w:val="24"/>
        </w:rPr>
      </w:pPr>
      <w:r w:rsidRPr="008B0F08">
        <w:rPr>
          <w:szCs w:val="24"/>
        </w:rPr>
        <w:t>[24]</w:t>
      </w:r>
      <w:r w:rsidRPr="008B0F08">
        <w:rPr>
          <w:szCs w:val="24"/>
        </w:rPr>
        <w:tab/>
        <w:t xml:space="preserve">M. Aiken, “An Updated Evaluation of Google Translate Accuracy,” </w:t>
      </w:r>
      <w:r w:rsidRPr="008B0F08">
        <w:rPr>
          <w:i/>
          <w:iCs/>
          <w:szCs w:val="24"/>
        </w:rPr>
        <w:t xml:space="preserve">Stud. </w:t>
      </w:r>
      <w:r w:rsidRPr="008B0F08">
        <w:rPr>
          <w:i/>
          <w:iCs/>
          <w:szCs w:val="24"/>
        </w:rPr>
        <w:lastRenderedPageBreak/>
        <w:t>Linguist. Lit.</w:t>
      </w:r>
      <w:r w:rsidRPr="008B0F08">
        <w:rPr>
          <w:szCs w:val="24"/>
        </w:rPr>
        <w:t>, vol. 3, no. 3, p. p253, 2019, doi: 10.22158/sll.v3n3p253.</w:t>
      </w:r>
    </w:p>
    <w:p w14:paraId="3D7F15BC" w14:textId="77777777" w:rsidR="008B0F08" w:rsidRPr="008B0F08" w:rsidRDefault="008B0F08" w:rsidP="008B0F08">
      <w:pPr>
        <w:widowControl w:val="0"/>
        <w:autoSpaceDE w:val="0"/>
        <w:autoSpaceDN w:val="0"/>
        <w:adjustRightInd w:val="0"/>
        <w:ind w:left="640" w:hanging="640"/>
        <w:rPr>
          <w:szCs w:val="24"/>
        </w:rPr>
      </w:pPr>
      <w:r w:rsidRPr="008B0F08">
        <w:rPr>
          <w:szCs w:val="24"/>
        </w:rPr>
        <w:t>[25]</w:t>
      </w:r>
      <w:r w:rsidRPr="008B0F08">
        <w:rPr>
          <w:szCs w:val="24"/>
        </w:rPr>
        <w:tab/>
        <w:t xml:space="preserve">J. Wei and K. Zou, “EDA: Easy data augmentation techniques for boosting performance on text classification tasks,” </w:t>
      </w:r>
      <w:r w:rsidRPr="008B0F08">
        <w:rPr>
          <w:i/>
          <w:iCs/>
          <w:szCs w:val="24"/>
        </w:rPr>
        <w:t>EMNLP-IJCNLP 2019 - 2019 Conf. Empir. Methods Nat. Lang. Process. 9th Int. Jt. Conf. Nat. Lang. Process. Proc. Conf.</w:t>
      </w:r>
      <w:r w:rsidRPr="008B0F08">
        <w:rPr>
          <w:szCs w:val="24"/>
        </w:rPr>
        <w:t>, pp. 6382–6388, 2019, doi: 10.18653/v1/d19-1670.</w:t>
      </w:r>
    </w:p>
    <w:p w14:paraId="4F7193A7" w14:textId="77777777" w:rsidR="008B0F08" w:rsidRPr="008B0F08" w:rsidRDefault="008B0F08" w:rsidP="008B0F08">
      <w:pPr>
        <w:widowControl w:val="0"/>
        <w:autoSpaceDE w:val="0"/>
        <w:autoSpaceDN w:val="0"/>
        <w:adjustRightInd w:val="0"/>
        <w:ind w:left="640" w:hanging="640"/>
        <w:rPr>
          <w:szCs w:val="24"/>
        </w:rPr>
      </w:pPr>
      <w:r w:rsidRPr="008B0F08">
        <w:rPr>
          <w:szCs w:val="24"/>
        </w:rPr>
        <w:t>[26]</w:t>
      </w:r>
      <w:r w:rsidRPr="008B0F08">
        <w:rPr>
          <w:szCs w:val="24"/>
        </w:rPr>
        <w:tab/>
        <w:t xml:space="preserve">M. Frohmann, M. Karner, S. Khudoyan, R. Wagner, and M. Schedl, “Predicting the Price of Bitcoin Using Sentiment-Enriched Time Series Forecasting,” </w:t>
      </w:r>
      <w:r w:rsidRPr="008B0F08">
        <w:rPr>
          <w:i/>
          <w:iCs/>
          <w:szCs w:val="24"/>
        </w:rPr>
        <w:t>Big Data Cogn. Comput.</w:t>
      </w:r>
      <w:r w:rsidRPr="008B0F08">
        <w:rPr>
          <w:szCs w:val="24"/>
        </w:rPr>
        <w:t>, vol. 7, no. 3, 2023, doi: 10.3390/bdcc7030137.</w:t>
      </w:r>
    </w:p>
    <w:p w14:paraId="533A5D03" w14:textId="77777777" w:rsidR="008B0F08" w:rsidRPr="008B0F08" w:rsidRDefault="008B0F08" w:rsidP="008B0F08">
      <w:pPr>
        <w:widowControl w:val="0"/>
        <w:autoSpaceDE w:val="0"/>
        <w:autoSpaceDN w:val="0"/>
        <w:adjustRightInd w:val="0"/>
        <w:ind w:left="640" w:hanging="640"/>
        <w:rPr>
          <w:szCs w:val="24"/>
        </w:rPr>
      </w:pPr>
      <w:r w:rsidRPr="008B0F08">
        <w:rPr>
          <w:szCs w:val="24"/>
        </w:rPr>
        <w:t>[27]</w:t>
      </w:r>
      <w:r w:rsidRPr="008B0F08">
        <w:rPr>
          <w:szCs w:val="24"/>
        </w:rPr>
        <w:tab/>
        <w:t xml:space="preserve">K. Bandara, R. Hyndman, and C. Bergmeir, “MSTL: A Seasonal-Trend Decomposition Algorithm for Time Series with Multiple Seasonal Patterns,” </w:t>
      </w:r>
      <w:r w:rsidRPr="008B0F08">
        <w:rPr>
          <w:i/>
          <w:iCs/>
          <w:szCs w:val="24"/>
        </w:rPr>
        <w:t>Int. J. Oper. Res.</w:t>
      </w:r>
      <w:r w:rsidRPr="008B0F08">
        <w:rPr>
          <w:szCs w:val="24"/>
        </w:rPr>
        <w:t>, vol. 1, no. 1, p. 1, 2022, doi: 10.1504/ijor.2022.10048281.</w:t>
      </w:r>
    </w:p>
    <w:p w14:paraId="010F12C9" w14:textId="77777777" w:rsidR="008B0F08" w:rsidRPr="008B0F08" w:rsidRDefault="008B0F08" w:rsidP="008B0F08">
      <w:pPr>
        <w:widowControl w:val="0"/>
        <w:autoSpaceDE w:val="0"/>
        <w:autoSpaceDN w:val="0"/>
        <w:adjustRightInd w:val="0"/>
        <w:ind w:left="640" w:hanging="640"/>
        <w:rPr>
          <w:szCs w:val="24"/>
        </w:rPr>
      </w:pPr>
      <w:r w:rsidRPr="008B0F08">
        <w:rPr>
          <w:szCs w:val="24"/>
        </w:rPr>
        <w:t>[28]</w:t>
      </w:r>
      <w:r w:rsidRPr="008B0F08">
        <w:rPr>
          <w:szCs w:val="24"/>
        </w:rPr>
        <w:tab/>
        <w:t xml:space="preserve">T. Nagumo, K. Takeuchi, S. Yokogawa, K. Imai, and Y. Hayashi, “New analysis methods for comprehensive understanding of random telegraph noise,” </w:t>
      </w:r>
      <w:r w:rsidRPr="008B0F08">
        <w:rPr>
          <w:i/>
          <w:iCs/>
          <w:szCs w:val="24"/>
        </w:rPr>
        <w:t>Tech. Dig. - Int. Electron Devices Meet. IEDM</w:t>
      </w:r>
      <w:r w:rsidRPr="008B0F08">
        <w:rPr>
          <w:szCs w:val="24"/>
        </w:rPr>
        <w:t>, pp. 759–762, 2009, doi: 10.1109/IEDM.2009.5424230.</w:t>
      </w:r>
    </w:p>
    <w:p w14:paraId="3A506291" w14:textId="77777777" w:rsidR="008B0F08" w:rsidRPr="008B0F08" w:rsidRDefault="008B0F08" w:rsidP="008B0F08">
      <w:pPr>
        <w:widowControl w:val="0"/>
        <w:autoSpaceDE w:val="0"/>
        <w:autoSpaceDN w:val="0"/>
        <w:adjustRightInd w:val="0"/>
        <w:ind w:left="640" w:hanging="640"/>
        <w:rPr>
          <w:szCs w:val="24"/>
        </w:rPr>
      </w:pPr>
      <w:r w:rsidRPr="008B0F08">
        <w:rPr>
          <w:szCs w:val="24"/>
        </w:rPr>
        <w:t>[29]</w:t>
      </w:r>
      <w:r w:rsidRPr="008B0F08">
        <w:rPr>
          <w:szCs w:val="24"/>
        </w:rPr>
        <w:tab/>
        <w:t xml:space="preserve">M. Mudassir, S. Bennbaia, D. Unal, and M. Hammoudeh, “Time-series forecasting of Bitcoin prices using high-dimensional features: a machine learning approach,” </w:t>
      </w:r>
      <w:r w:rsidRPr="008B0F08">
        <w:rPr>
          <w:i/>
          <w:iCs/>
          <w:szCs w:val="24"/>
        </w:rPr>
        <w:t>Neural Comput. Appl.</w:t>
      </w:r>
      <w:r w:rsidRPr="008B0F08">
        <w:rPr>
          <w:szCs w:val="24"/>
        </w:rPr>
        <w:t>, vol. 6, 2020, doi: 10.1007/s00521-020-05129-6.</w:t>
      </w:r>
    </w:p>
    <w:p w14:paraId="38E21B56" w14:textId="77777777" w:rsidR="008B0F08" w:rsidRPr="008B0F08" w:rsidRDefault="008B0F08" w:rsidP="008B0F08">
      <w:pPr>
        <w:widowControl w:val="0"/>
        <w:autoSpaceDE w:val="0"/>
        <w:autoSpaceDN w:val="0"/>
        <w:adjustRightInd w:val="0"/>
        <w:ind w:left="640" w:hanging="640"/>
        <w:rPr>
          <w:szCs w:val="24"/>
        </w:rPr>
      </w:pPr>
      <w:r w:rsidRPr="008B0F08">
        <w:rPr>
          <w:szCs w:val="24"/>
        </w:rPr>
        <w:t>[30]</w:t>
      </w:r>
      <w:r w:rsidRPr="008B0F08">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53F7C32" w14:textId="77777777" w:rsidR="008B0F08" w:rsidRPr="008B0F08" w:rsidRDefault="008B0F08" w:rsidP="008B0F08">
      <w:pPr>
        <w:widowControl w:val="0"/>
        <w:autoSpaceDE w:val="0"/>
        <w:autoSpaceDN w:val="0"/>
        <w:adjustRightInd w:val="0"/>
        <w:ind w:left="640" w:hanging="640"/>
        <w:rPr>
          <w:szCs w:val="24"/>
        </w:rPr>
      </w:pPr>
      <w:r w:rsidRPr="008B0F08">
        <w:rPr>
          <w:szCs w:val="24"/>
        </w:rPr>
        <w:t>[31]</w:t>
      </w:r>
      <w:r w:rsidRPr="008B0F08">
        <w:rPr>
          <w:szCs w:val="24"/>
        </w:rPr>
        <w:tab/>
        <w:t xml:space="preserve">F. R. Johnston, J. E. Boyland, M. Meadows, and E. Shale, “Some Properties of a Simple Moving Average when Applied to Forecasting a Time Series,” </w:t>
      </w:r>
      <w:r w:rsidRPr="008B0F08">
        <w:rPr>
          <w:i/>
          <w:iCs/>
          <w:szCs w:val="24"/>
        </w:rPr>
        <w:t>J. Oper. Res. Soc.</w:t>
      </w:r>
      <w:r w:rsidRPr="008B0F08">
        <w:rPr>
          <w:szCs w:val="24"/>
        </w:rPr>
        <w:t>, vol. 50, no. 12, p. 1267, 1999, doi: 10.2307/3010636.</w:t>
      </w:r>
    </w:p>
    <w:p w14:paraId="7F8C6EB7" w14:textId="77777777" w:rsidR="008B0F08" w:rsidRPr="008B0F08" w:rsidRDefault="008B0F08" w:rsidP="008B0F08">
      <w:pPr>
        <w:widowControl w:val="0"/>
        <w:autoSpaceDE w:val="0"/>
        <w:autoSpaceDN w:val="0"/>
        <w:adjustRightInd w:val="0"/>
        <w:ind w:left="640" w:hanging="640"/>
        <w:rPr>
          <w:szCs w:val="24"/>
        </w:rPr>
      </w:pPr>
      <w:r w:rsidRPr="008B0F08">
        <w:rPr>
          <w:szCs w:val="24"/>
        </w:rPr>
        <w:t>[32]</w:t>
      </w:r>
      <w:r w:rsidRPr="008B0F08">
        <w:rPr>
          <w:szCs w:val="24"/>
        </w:rPr>
        <w:tab/>
        <w:t xml:space="preserve">D. D. A and Wayne A. Fuller, “Likelihood ratio statistics for autoregressive time series with a unit root,” </w:t>
      </w:r>
      <w:r w:rsidRPr="008B0F08">
        <w:rPr>
          <w:i/>
          <w:iCs/>
          <w:szCs w:val="24"/>
        </w:rPr>
        <w:t>Econometrica</w:t>
      </w:r>
      <w:r w:rsidRPr="008B0F08">
        <w:rPr>
          <w:szCs w:val="24"/>
        </w:rPr>
        <w:t>, vol. 49, no. 4, pp. 1057–1072, 1981.</w:t>
      </w:r>
    </w:p>
    <w:p w14:paraId="4980598B" w14:textId="77777777" w:rsidR="008B0F08" w:rsidRPr="008B0F08" w:rsidRDefault="008B0F08" w:rsidP="008B0F08">
      <w:pPr>
        <w:widowControl w:val="0"/>
        <w:autoSpaceDE w:val="0"/>
        <w:autoSpaceDN w:val="0"/>
        <w:adjustRightInd w:val="0"/>
        <w:ind w:left="640" w:hanging="640"/>
      </w:pPr>
      <w:r w:rsidRPr="008B0F08">
        <w:rPr>
          <w:szCs w:val="24"/>
        </w:rPr>
        <w:t>[33]</w:t>
      </w:r>
      <w:r w:rsidRPr="008B0F08">
        <w:rPr>
          <w:szCs w:val="24"/>
        </w:rPr>
        <w:tab/>
        <w:t xml:space="preserve">K. Murray, A. Rossi, D. Carraro, and A. Visentin, “On Forecasting Cryptocurrency Prices: A Comparison of Machine Learning, Deep Learning, and Ensembles,” </w:t>
      </w:r>
      <w:r w:rsidRPr="008B0F08">
        <w:rPr>
          <w:i/>
          <w:iCs/>
          <w:szCs w:val="24"/>
        </w:rPr>
        <w:t>Forecasting</w:t>
      </w:r>
      <w:r w:rsidRPr="008B0F08">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3"/>
      <w:footerReference w:type="default" r:id="rId24"/>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2E69" w14:textId="77777777" w:rsidR="00E57D40" w:rsidRDefault="00E57D40" w:rsidP="00154439">
      <w:r>
        <w:separator/>
      </w:r>
    </w:p>
  </w:endnote>
  <w:endnote w:type="continuationSeparator" w:id="0">
    <w:p w14:paraId="309D0B1C" w14:textId="77777777" w:rsidR="00E57D40" w:rsidRDefault="00E57D40"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4DC6B" w14:textId="77777777" w:rsidR="00E57D40" w:rsidRDefault="00E57D40" w:rsidP="00154439">
      <w:r>
        <w:separator/>
      </w:r>
    </w:p>
  </w:footnote>
  <w:footnote w:type="continuationSeparator" w:id="0">
    <w:p w14:paraId="01A2F1EE" w14:textId="77777777" w:rsidR="00E57D40" w:rsidRDefault="00E57D40"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DA3"/>
    <w:rsid w:val="0031537F"/>
    <w:rsid w:val="0031663C"/>
    <w:rsid w:val="00317A98"/>
    <w:rsid w:val="00320B54"/>
    <w:rsid w:val="00321886"/>
    <w:rsid w:val="00331197"/>
    <w:rsid w:val="00336108"/>
    <w:rsid w:val="00336B24"/>
    <w:rsid w:val="00352621"/>
    <w:rsid w:val="00360871"/>
    <w:rsid w:val="00360F49"/>
    <w:rsid w:val="00365CE7"/>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3461"/>
    <w:rsid w:val="00527E52"/>
    <w:rsid w:val="00536CE9"/>
    <w:rsid w:val="00550C08"/>
    <w:rsid w:val="00551677"/>
    <w:rsid w:val="00565DE3"/>
    <w:rsid w:val="005664C6"/>
    <w:rsid w:val="00567808"/>
    <w:rsid w:val="00567BDB"/>
    <w:rsid w:val="00580768"/>
    <w:rsid w:val="00593225"/>
    <w:rsid w:val="005964E0"/>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7FA8"/>
    <w:rsid w:val="007317FE"/>
    <w:rsid w:val="00732482"/>
    <w:rsid w:val="00735FB0"/>
    <w:rsid w:val="00757CA5"/>
    <w:rsid w:val="007633B0"/>
    <w:rsid w:val="007736C2"/>
    <w:rsid w:val="007745AF"/>
    <w:rsid w:val="00777071"/>
    <w:rsid w:val="0077763F"/>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C17"/>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AD9"/>
    <w:rsid w:val="00DB6312"/>
    <w:rsid w:val="00DD6BC8"/>
    <w:rsid w:val="00DE44AB"/>
    <w:rsid w:val="00DF7B26"/>
    <w:rsid w:val="00E10C0D"/>
    <w:rsid w:val="00E2182F"/>
    <w:rsid w:val="00E2532B"/>
    <w:rsid w:val="00E332D1"/>
    <w:rsid w:val="00E35463"/>
    <w:rsid w:val="00E36DFB"/>
    <w:rsid w:val="00E40E06"/>
    <w:rsid w:val="00E4178F"/>
    <w:rsid w:val="00E457A9"/>
    <w:rsid w:val="00E504D9"/>
    <w:rsid w:val="00E52A79"/>
    <w:rsid w:val="00E57D40"/>
    <w:rsid w:val="00E60FDA"/>
    <w:rsid w:val="00E625BE"/>
    <w:rsid w:val="00E635E0"/>
    <w:rsid w:val="00E70D45"/>
    <w:rsid w:val="00E7184E"/>
    <w:rsid w:val="00E754A0"/>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D58"/>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uggingface.co/AfterRain007/cryptobertRefined" TargetMode="External"/><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21</Pages>
  <Words>17152</Words>
  <Characters>97771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114694</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29</cp:revision>
  <dcterms:created xsi:type="dcterms:W3CDTF">2023-12-25T16:42:00Z</dcterms:created>
  <dcterms:modified xsi:type="dcterms:W3CDTF">2024-01-03T09:03:00Z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