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5035661fc84cb0adcd171da8ca1ebc29065058a"/>
    <w:p>
      <w:pPr>
        <w:pStyle w:val="Heading1"/>
      </w:pPr>
      <w:r>
        <w:t xml:space="preserve">Autonomous Work Detection: From Ambient Signals to Evidence-Backed Work Items</w:t>
      </w:r>
    </w:p>
    <w:p>
      <w:pPr>
        <w:pStyle w:val="FirstParagraph"/>
      </w:pPr>
      <w:r>
        <w:rPr>
          <w:b/>
          <w:bCs/>
        </w:rPr>
        <w:t xml:space="preserve">Principal Researcher:</w:t>
      </w:r>
      <w:r>
        <w:t xml:space="preserve"> </w:t>
      </w:r>
      <w:r>
        <w:t xml:space="preserve">Jonas Abde</w:t>
      </w:r>
      <w:r>
        <w:br/>
      </w:r>
      <w:r>
        <w:rPr>
          <w:b/>
          <w:bCs/>
        </w:rPr>
        <w:t xml:space="preserve">Program:</w:t>
      </w:r>
      <w:r>
        <w:t xml:space="preserve"> </w:t>
      </w:r>
      <w:r>
        <w:t xml:space="preserve">Jonas Abde Intelligence Systems Research Program — Q3 2026</w:t>
      </w:r>
      <w:r>
        <w:br/>
      </w:r>
      <w:r>
        <w:rPr>
          <w:b/>
          <w:bCs/>
        </w:rPr>
        <w:t xml:space="preserve">Publication Track:</w:t>
      </w:r>
      <w:r>
        <w:t xml:space="preserve"> </w:t>
      </w:r>
      <w:r>
        <w:t xml:space="preserve">Working Paper / Product Research Protocol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5 September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PROPOSAL — HYPOTHESIS-GENERATING; NO DEPLOYMENT CLAIMS YET</w:t>
      </w:r>
      <w:r>
        <w:br/>
      </w:r>
      <w:r>
        <w:rPr>
          <w:b/>
          <w:bCs/>
        </w:rPr>
        <w:t xml:space="preserve">Reference Implementation:</w:t>
      </w:r>
      <w:r>
        <w:t xml:space="preserve"> </w:t>
      </w:r>
      <w:r>
        <w:t xml:space="preserve">Aftergraph Work Intelligence V1</w:t>
      </w:r>
      <w:r>
        <w:br/>
      </w:r>
      <w:r>
        <w:rPr>
          <w:b/>
          <w:bCs/>
        </w:rPr>
        <w:t xml:space="preserve">Planned First Field Environment:</w:t>
      </w:r>
      <w:r>
        <w:t xml:space="preserve"> </w:t>
      </w:r>
      <w:r>
        <w:t xml:space="preserve">RenOS / Rendetalje operational workflows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Operational work is often created before it is represented in a task system. A promise in an email, an instruction in a conversation, a changed calendar appointment, an unresolved customer request, or a software-system event can all create a real obligation while leaving no durable work record. Existing work-management products increasingly reduce this capture gap through integrations, AI assistants, channel rules, meeting-note extraction, and event-driven automation. Linear, Asana, ClickUp, Motion, Notion, and Zapier all provide meaningful pieces of this behavior.</w:t>
      </w:r>
    </w:p>
    <w:p>
      <w:pPr>
        <w:pStyle w:val="BodyText"/>
      </w:pPr>
      <w:r>
        <w:t xml:space="preserve">This paper therefore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novelty for “AI that creates tasks.” Instead, it investigates a narrower systems hypothesis:</w:t>
      </w:r>
      <w:r>
        <w:t xml:space="preserve"> </w:t>
      </w:r>
      <w:r>
        <w:rPr>
          <w:b/>
          <w:bCs/>
        </w:rPr>
        <w:t xml:space="preserve">actionable work can be treated as a source-independent inference object that is resolved across heterogeneous observations before it is published into one or more destination systems</w:t>
      </w:r>
      <w:r>
        <w:t xml:space="preserve">. We call this capability</w:t>
      </w:r>
      <w:r>
        <w:t xml:space="preserve"> </w:t>
      </w:r>
      <w:r>
        <w:rPr>
          <w:i/>
          <w:iCs/>
        </w:rPr>
        <w:t xml:space="preserve">Autonomous Work Detection</w:t>
      </w:r>
      <w:r>
        <w:t xml:space="preserve"> </w:t>
      </w:r>
      <w:r>
        <w:t xml:space="preserve">(AWD).</w:t>
      </w:r>
    </w:p>
    <w:p>
      <w:pPr>
        <w:pStyle w:val="BodyText"/>
      </w:pPr>
      <w:r>
        <w:t xml:space="preserve">The proposed architecture separates six concerns:</w:t>
      </w:r>
      <w:r>
        <w:t xml:space="preserve"> </w:t>
      </w:r>
      <w:r>
        <w:rPr>
          <w:rStyle w:val="VerbatimChar"/>
        </w:rPr>
        <w:t xml:space="preserve">Signal → Observation → WorkCandidate → Resolution → WorkItem → Publication</w:t>
      </w:r>
      <w:r>
        <w:t xml:space="preserve">. The separation makes provenance, deduplication, tenant policy, correction, and destination portability first-class. The V1 reference implementation deliberately begins with a deterministic extraction baseline, durable SQLite persistence, source-id idempotency, conservative same-tenant resolution, and an authenticated HTTP surface. Richer LLM extraction and external connectors are replaceable adapters rather than trusted-core requirements.</w:t>
      </w:r>
    </w:p>
    <w:p>
      <w:pPr>
        <w:pStyle w:val="BodyText"/>
      </w:pPr>
      <w:r>
        <w:t xml:space="preserve">A 30-day RenOS/Rendetalje field study is proposed to falsify or support the hypothesis using actionable-work recall, false-creation rate, duplicate rate, false-merge rate, correction burden, manual ticket-creation rate, and the number of important obligations detected before a human independently records or recalls them.</w:t>
      </w:r>
    </w:p>
    <w:p>
      <w:r>
        <w:pict>
          <v:rect style="width:0;height:1.5pt" o:hralign="center" o:hrstd="t" o:hr="t"/>
        </w:pict>
      </w:r>
    </w:p>
    <w:bookmarkEnd w:id="9"/>
    <w:bookmarkStart w:id="12" w:name="X6d9fbacfbf3367085303cec60a1fd6ce526df1c"/>
    <w:p>
      <w:pPr>
        <w:pStyle w:val="Heading2"/>
      </w:pPr>
      <w:r>
        <w:t xml:space="preserve">1. Problem</w:t>
      </w:r>
    </w:p>
    <w:bookmarkStart w:id="10" w:name="Xd25388937e36c363f9333323972fc7826f7bfbd"/>
    <w:p>
      <w:pPr>
        <w:pStyle w:val="Heading3"/>
      </w:pPr>
      <w:r>
        <w:t xml:space="preserve">1.1 Work exists before tickets</w:t>
      </w:r>
    </w:p>
    <w:p>
      <w:pPr>
        <w:pStyle w:val="FirstParagraph"/>
      </w:pPr>
      <w:r>
        <w:t xml:space="preserve">A task-system record is a representation of work, not the work itself. Obligations originate across many surfaces:</w:t>
      </w:r>
    </w:p>
    <w:p>
      <w:pPr>
        <w:pStyle w:val="Compact"/>
        <w:numPr>
          <w:ilvl w:val="0"/>
          <w:numId w:val="1001"/>
        </w:numPr>
      </w:pPr>
      <w:r>
        <w:t xml:space="preserve">conversations and voice transcripts;</w:t>
      </w:r>
    </w:p>
    <w:p>
      <w:pPr>
        <w:pStyle w:val="Compact"/>
        <w:numPr>
          <w:ilvl w:val="0"/>
          <w:numId w:val="1001"/>
        </w:numPr>
      </w:pPr>
      <w:r>
        <w:t xml:space="preserve">email threads;</w:t>
      </w:r>
    </w:p>
    <w:p>
      <w:pPr>
        <w:pStyle w:val="Compact"/>
        <w:numPr>
          <w:ilvl w:val="0"/>
          <w:numId w:val="1001"/>
        </w:numPr>
      </w:pPr>
      <w:r>
        <w:t xml:space="preserve">calendar events and schedule changes;</w:t>
      </w:r>
    </w:p>
    <w:p>
      <w:pPr>
        <w:pStyle w:val="Compact"/>
        <w:numPr>
          <w:ilvl w:val="0"/>
          <w:numId w:val="1001"/>
        </w:numPr>
      </w:pPr>
      <w:r>
        <w:t xml:space="preserve">team chat;</w:t>
      </w:r>
    </w:p>
    <w:p>
      <w:pPr>
        <w:pStyle w:val="Compact"/>
        <w:numPr>
          <w:ilvl w:val="0"/>
          <w:numId w:val="1001"/>
        </w:numPr>
      </w:pPr>
      <w:r>
        <w:t xml:space="preserve">customer and CRM records;</w:t>
      </w:r>
    </w:p>
    <w:p>
      <w:pPr>
        <w:pStyle w:val="Compact"/>
        <w:numPr>
          <w:ilvl w:val="0"/>
          <w:numId w:val="1001"/>
        </w:numPr>
      </w:pPr>
      <w:r>
        <w:t xml:space="preserve">code repositories and CI events;</w:t>
      </w:r>
    </w:p>
    <w:p>
      <w:pPr>
        <w:pStyle w:val="Compact"/>
        <w:numPr>
          <w:ilvl w:val="0"/>
          <w:numId w:val="1001"/>
        </w:numPr>
      </w:pPr>
      <w:r>
        <w:t xml:space="preserve">monitoring and incident systems;</w:t>
      </w:r>
    </w:p>
    <w:p>
      <w:pPr>
        <w:pStyle w:val="Compact"/>
        <w:numPr>
          <w:ilvl w:val="0"/>
          <w:numId w:val="1001"/>
        </w:numPr>
      </w:pPr>
      <w:r>
        <w:t xml:space="preserve">internal business applications;</w:t>
      </w:r>
    </w:p>
    <w:p>
      <w:pPr>
        <w:pStyle w:val="Compact"/>
        <w:numPr>
          <w:ilvl w:val="0"/>
          <w:numId w:val="1001"/>
        </w:numPr>
      </w:pPr>
      <w:r>
        <w:t xml:space="preserve">notes and documents.</w:t>
      </w:r>
    </w:p>
    <w:p>
      <w:pPr>
        <w:pStyle w:val="FirstParagraph"/>
      </w:pPr>
      <w:r>
        <w:t xml:space="preserve">The conventional path is frequently:</w:t>
      </w:r>
    </w:p>
    <w:p>
      <w:pPr>
        <w:pStyle w:val="SourceCode"/>
      </w:pPr>
      <w:r>
        <w:rPr>
          <w:rStyle w:val="VerbatimChar"/>
        </w:rPr>
        <w:t xml:space="preserve">real-world obligation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human notices 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human remembers to record 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human chooses the correct destination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human writes a task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work becomes trackable</w:t>
      </w:r>
    </w:p>
    <w:p>
      <w:pPr>
        <w:pStyle w:val="FirstParagraph"/>
      </w:pPr>
      <w:r>
        <w:t xml:space="preserve">Every transition is a loss point. If the obligation is never recorded, scheduling, assignment, verification, and reporting cannot recover it.</w:t>
      </w:r>
    </w:p>
    <w:bookmarkEnd w:id="10"/>
    <w:bookmarkStart w:id="11" w:name="Xc8d6a535756ce70ce847bd3c238cafe006bdd92"/>
    <w:p>
      <w:pPr>
        <w:pStyle w:val="Heading3"/>
      </w:pPr>
      <w:r>
        <w:t xml:space="preserve">1.2 Action-item extraction is established research</w:t>
      </w:r>
    </w:p>
    <w:p>
      <w:pPr>
        <w:pStyle w:val="FirstParagraph"/>
      </w:pPr>
      <w:r>
        <w:t xml:space="preserve">The linguistic problem is not new. Morgan et al. studied automatic action-item detection in meeting recordings in 2006; Purver et al. studied detection and summarization in multi-party dialogue in 2007. Diwanji et al. (2020) explicitly frame commitments and requests in email/chat as task-extraction targets. Mukherjee et al. (2020) introduced automatic To-Do generation from emails, while Zhang et al. (2022) focused on faithful email To-Do summarization. MailEx (Srivastava et al., 2023) demonstrates that conversational email event extraction remains difficult because of conversational history and complex event arguments.</w:t>
      </w:r>
    </w:p>
    <w:p>
      <w:pPr>
        <w:pStyle w:val="BodyText"/>
      </w:pPr>
      <w:r>
        <w:t xml:space="preserve">The proposed contribution is therefore at the systems boundary:</w:t>
      </w:r>
      <w:r>
        <w:t xml:space="preserve"> </w:t>
      </w:r>
      <w:r>
        <w:rPr>
          <w:b/>
          <w:bCs/>
        </w:rPr>
        <w:t xml:space="preserve">resolve task-producing evidence from multiple sources into one durable canonical work representation before destination-specific publication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Xdb51d422ba28a60f0e224439c79a22fa4402657"/>
    <w:p>
      <w:pPr>
        <w:pStyle w:val="Heading2"/>
      </w:pPr>
      <w:r>
        <w:t xml:space="preserve">2. Market Landscape, September 2026</w:t>
      </w:r>
    </w:p>
    <w:bookmarkStart w:id="13" w:name="linear"/>
    <w:p>
      <w:pPr>
        <w:pStyle w:val="Heading3"/>
      </w:pPr>
      <w:r>
        <w:t xml:space="preserve">Linear</w:t>
      </w:r>
    </w:p>
    <w:p>
      <w:pPr>
        <w:pStyle w:val="FirstParagraph"/>
      </w:pPr>
      <w:r>
        <w:t xml:space="preserve">Linear Asks accepts requests from Slack, email, and web surfaces. Advanced Slack Asks can automatically create an Ask for each new message in a configured intake channel, and synced threads keep later conversation attached. The general Linear Slack agent can infer issue details from conversation context when invoked.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automatic communication-to-issue capture is already real. The open question is whether a source-neutral canonical work layer adds value beyond Linear-centered intake.</w:t>
      </w:r>
    </w:p>
    <w:bookmarkEnd w:id="13"/>
    <w:bookmarkStart w:id="14" w:name="asana"/>
    <w:p>
      <w:pPr>
        <w:pStyle w:val="Heading3"/>
      </w:pPr>
      <w:r>
        <w:t xml:space="preserve">Asana</w:t>
      </w:r>
    </w:p>
    <w:p>
      <w:pPr>
        <w:pStyle w:val="FirstParagraph"/>
      </w:pPr>
      <w:r>
        <w:t xml:space="preserve">Asana can create tasks from Slack threads via</w:t>
      </w:r>
      <w:r>
        <w:t xml:space="preserve"> </w:t>
      </w:r>
      <w:r>
        <w:rPr>
          <w:rStyle w:val="VerbatimChar"/>
        </w:rPr>
        <w:t xml:space="preserve">@Asana</w:t>
      </w:r>
      <w:r>
        <w:t xml:space="preserve">, infer assignee/project/due date/custom fields from context, and use Slack rules to create tasks automatically from new channel messages. Two-way synchronization preserves subsequent discussion.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contextual field inference and automatic chat intake are established competitive capabilities.</w:t>
      </w:r>
    </w:p>
    <w:bookmarkEnd w:id="14"/>
    <w:bookmarkStart w:id="15" w:name="clickup"/>
    <w:p>
      <w:pPr>
        <w:pStyle w:val="Heading3"/>
      </w:pPr>
      <w:r>
        <w:t xml:space="preserve">ClickUp</w:t>
      </w:r>
    </w:p>
    <w:p>
      <w:pPr>
        <w:pStyle w:val="FirstParagraph"/>
      </w:pPr>
      <w:r>
        <w:t xml:space="preserve">ClickUp Brain can create tasks from prompts, text, comments, chat messages, and voice clips. Brain Agents expose task creation and update tools.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work creation is becoming an ambient capability inside workspaces rather than a form-only interaction.</w:t>
      </w:r>
    </w:p>
    <w:bookmarkEnd w:id="15"/>
    <w:bookmarkStart w:id="16" w:name="motion"/>
    <w:p>
      <w:pPr>
        <w:pStyle w:val="Heading3"/>
      </w:pPr>
      <w:r>
        <w:t xml:space="preserve">Motion</w:t>
      </w:r>
    </w:p>
    <w:p>
      <w:pPr>
        <w:pStyle w:val="FirstParagraph"/>
      </w:pPr>
      <w:r>
        <w:t xml:space="preserve">Motion supports task creation through AI chat and email, and its AI Notetaker identifies action items after meetings and suggests them as tasks. Motion then differentiates downstream through automatic scheduling.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extraction and scheduling are converging, but meeting-derived tasks can still be approval-centric rather than continuously resolved against other sources.</w:t>
      </w:r>
    </w:p>
    <w:bookmarkEnd w:id="16"/>
    <w:bookmarkStart w:id="17" w:name="notion"/>
    <w:p>
      <w:pPr>
        <w:pStyle w:val="Heading3"/>
      </w:pPr>
      <w:r>
        <w:t xml:space="preserve">Notion</w:t>
      </w:r>
    </w:p>
    <w:p>
      <w:pPr>
        <w:pStyle w:val="FirstParagraph"/>
      </w:pPr>
      <w:r>
        <w:t xml:space="preserve">Notion AI Meeting Notes transcribes meetings, identifies key points and action items, and connects notes to Notion Calendar and task/project databases.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meeting context is increasingly treated as structured work input.</w:t>
      </w:r>
    </w:p>
    <w:bookmarkEnd w:id="17"/>
    <w:bookmarkStart w:id="18" w:name="zapier-agents"/>
    <w:p>
      <w:pPr>
        <w:pStyle w:val="Heading3"/>
      </w:pPr>
      <w:r>
        <w:t xml:space="preserve">Zapier Agents</w:t>
      </w:r>
    </w:p>
    <w:p>
      <w:pPr>
        <w:pStyle w:val="FirstParagraph"/>
      </w:pPr>
      <w:r>
        <w:t xml:space="preserve">Zapier Agents can run on triggers from apps such as Gmail and Slack and take actions across a large application ecosystem.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source/destination portability is already strong in generic automation platforms. AWD must prove that a dedicated durable</w:t>
      </w:r>
      <w:r>
        <w:t xml:space="preserve"> </w:t>
      </w:r>
      <w:r>
        <w:rPr>
          <w:i/>
          <w:iCs/>
        </w:rPr>
        <w:t xml:space="preserve">work-resolution</w:t>
      </w:r>
      <w:r>
        <w:t xml:space="preserve"> </w:t>
      </w:r>
      <w:r>
        <w:t xml:space="preserve">layer delivers value beyond trigger-action configuration.</w:t>
      </w:r>
    </w:p>
    <w:bookmarkEnd w:id="18"/>
    <w:bookmarkStart w:id="19" w:name="competitive-thesis"/>
    <w:p>
      <w:pPr>
        <w:pStyle w:val="Heading3"/>
      </w:pPr>
      <w:r>
        <w:t xml:space="preserve">Competitive thesis</w:t>
      </w:r>
    </w:p>
    <w:p>
      <w:pPr>
        <w:pStyle w:val="FirstParagraph"/>
      </w:pPr>
      <w:r>
        <w:t xml:space="preserve">The defensible hypothesis is not “the market lacks automatic tasks.” It does not.</w:t>
      </w:r>
    </w:p>
    <w:p>
      <w:pPr>
        <w:pStyle w:val="BodyText"/>
      </w:pPr>
      <w:r>
        <w:t xml:space="preserve">The hypothesis to test is:</w:t>
      </w:r>
    </w:p>
    <w:p>
      <w:pPr>
        <w:pStyle w:val="BlockText"/>
      </w:pPr>
      <w:r>
        <w:t xml:space="preserve">A destination-neutral intermediate representation that resolves observations across channels, retains provenance, and publishes to multiple destinations can reduce missed work, duplicate work, and destination lock-in compared with independent channel-to-task automations.</w:t>
      </w:r>
    </w:p>
    <w:p>
      <w:pPr>
        <w:pStyle w:val="FirstParagraph"/>
      </w:pPr>
      <w:r>
        <w:t xml:space="preserve">This remains unvalidated until field evidence exists.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f5a973038885d26b34c79a0213677e66fb9e0dd"/>
    <w:p>
      <w:pPr>
        <w:pStyle w:val="Heading2"/>
      </w:pPr>
      <w:r>
        <w:t xml:space="preserve">3. Research Questions</w:t>
      </w:r>
    </w:p>
    <w:p>
      <w:pPr>
        <w:pStyle w:val="FirstParagraph"/>
      </w:pPr>
      <w:r>
        <w:rPr>
          <w:b/>
          <w:bCs/>
        </w:rPr>
        <w:t xml:space="preserve">RQ1 — Actionability:</w:t>
      </w:r>
      <w:r>
        <w:t xml:space="preserve"> </w:t>
      </w:r>
      <w:r>
        <w:t xml:space="preserve">Can heterogeneous operational observations be classified as actionable/non-actionable with sufficient precision and recall for unattended capture?</w:t>
      </w:r>
    </w:p>
    <w:p>
      <w:pPr>
        <w:pStyle w:val="BodyText"/>
      </w:pPr>
      <w:r>
        <w:rPr>
          <w:b/>
          <w:bCs/>
        </w:rPr>
        <w:t xml:space="preserve">RQ2 — Resolution:</w:t>
      </w:r>
      <w:r>
        <w:t xml:space="preserve"> </w:t>
      </w:r>
      <w:r>
        <w:t xml:space="preserve">Can overlapping observations from different sources be merged into one WorkItem without destructive false merges?</w:t>
      </w:r>
    </w:p>
    <w:p>
      <w:pPr>
        <w:pStyle w:val="BodyText"/>
      </w:pPr>
      <w:r>
        <w:rPr>
          <w:b/>
          <w:bCs/>
        </w:rPr>
        <w:t xml:space="preserve">RQ3 — Provenance:</w:t>
      </w:r>
      <w:r>
        <w:t xml:space="preserve"> </w:t>
      </w:r>
      <w:r>
        <w:t xml:space="preserve">Does retaining observation-to-work lineage reduce correction time and improve operator trust compared with opaque generated tasks?</w:t>
      </w:r>
    </w:p>
    <w:p>
      <w:pPr>
        <w:pStyle w:val="BodyText"/>
      </w:pPr>
      <w:r>
        <w:rPr>
          <w:b/>
          <w:bCs/>
        </w:rPr>
        <w:t xml:space="preserve">RQ4 — Portability:</w:t>
      </w:r>
      <w:r>
        <w:t xml:space="preserve"> </w:t>
      </w:r>
      <w:r>
        <w:t xml:space="preserve">Does keeping canonical WorkItems independent of destinations reduce integration cost or lock-in across RenOS, issue trackers, calendars, and execution systems?</w:t>
      </w:r>
    </w:p>
    <w:p>
      <w:pPr>
        <w:pStyle w:val="BodyText"/>
      </w:pPr>
      <w:r>
        <w:rPr>
          <w:b/>
          <w:bCs/>
        </w:rPr>
        <w:t xml:space="preserve">RQ5 — Operational value:</w:t>
      </w:r>
      <w:r>
        <w:t xml:space="preserve"> </w:t>
      </w:r>
      <w:r>
        <w:t xml:space="preserve">Does autonomous capture reduce missed obligations and manual ticket-entry effort in real operations?</w:t>
      </w:r>
    </w:p>
    <w:p>
      <w:r>
        <w:pict>
          <v:rect style="width:0;height:1.5pt" o:hralign="center" o:hrstd="t" o:hr="t"/>
        </w:pict>
      </w:r>
    </w:p>
    <w:bookmarkEnd w:id="21"/>
    <w:bookmarkStart w:id="28" w:name="X7e26754b342f365bab2ddacdaf67750b9871f83"/>
    <w:p>
      <w:pPr>
        <w:pStyle w:val="Heading2"/>
      </w:pPr>
      <w:r>
        <w:t xml:space="preserve">4. System Model</w:t>
      </w:r>
    </w:p>
    <w:p>
      <w:pPr>
        <w:pStyle w:val="SourceCode"/>
      </w:pPr>
      <w:r>
        <w:rPr>
          <w:rStyle w:val="VerbatimChar"/>
        </w:rPr>
        <w:t xml:space="preserve">Source event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Signal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Observation ───────────────┐</w:t>
      </w:r>
      <w:r>
        <w:br/>
      </w:r>
      <w:r>
        <w:rPr>
          <w:rStyle w:val="VerbatimChar"/>
        </w:rPr>
        <w:t xml:space="preserve">    │                      │ provenance</w:t>
      </w:r>
      <w:r>
        <w:br/>
      </w:r>
      <w:r>
        <w:rPr>
          <w:rStyle w:val="VerbatimChar"/>
        </w:rPr>
        <w:t xml:space="preserve">    ▼                      │</w:t>
      </w:r>
      <w:r>
        <w:br/>
      </w:r>
      <w:r>
        <w:rPr>
          <w:rStyle w:val="VerbatimChar"/>
        </w:rPr>
        <w:t xml:space="preserve">WorkCandidate              │</w:t>
      </w:r>
      <w:r>
        <w:br/>
      </w:r>
      <w:r>
        <w:rPr>
          <w:rStyle w:val="VerbatimChar"/>
        </w:rPr>
        <w:t xml:space="preserve">    │                      │</w:t>
      </w:r>
      <w:r>
        <w:br/>
      </w:r>
      <w:r>
        <w:rPr>
          <w:rStyle w:val="VerbatimChar"/>
        </w:rPr>
        <w:t xml:space="preserve">    ▼                      │</w:t>
      </w:r>
      <w:r>
        <w:br/>
      </w:r>
      <w:r>
        <w:rPr>
          <w:rStyle w:val="VerbatimChar"/>
        </w:rPr>
        <w:t xml:space="preserve">Resolution / dedupe ◄──────┘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WorkItem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├────────► RenOS ticket</w:t>
      </w:r>
      <w:r>
        <w:br/>
      </w:r>
      <w:r>
        <w:rPr>
          <w:rStyle w:val="VerbatimChar"/>
        </w:rPr>
        <w:t xml:space="preserve">    ├────────► Linear/Jira/Asana issue</w:t>
      </w:r>
      <w:r>
        <w:br/>
      </w:r>
      <w:r>
        <w:rPr>
          <w:rStyle w:val="VerbatimChar"/>
        </w:rPr>
        <w:t xml:space="preserve">    ├────────► GitHub issue</w:t>
      </w:r>
      <w:r>
        <w:br/>
      </w:r>
      <w:r>
        <w:rPr>
          <w:rStyle w:val="VerbatimChar"/>
        </w:rPr>
        <w:t xml:space="preserve">    ├────────► calendar action</w:t>
      </w:r>
      <w:r>
        <w:br/>
      </w:r>
      <w:r>
        <w:rPr>
          <w:rStyle w:val="VerbatimChar"/>
        </w:rPr>
        <w:t xml:space="preserve">    └────────► governed executable mission (only through a separate authority boundary)</w:t>
      </w:r>
    </w:p>
    <w:bookmarkStart w:id="22" w:name="signal"/>
    <w:p>
      <w:pPr>
        <w:pStyle w:val="Heading3"/>
      </w:pPr>
      <w:r>
        <w:t xml:space="preserve">Signal</w:t>
      </w:r>
    </w:p>
    <w:p>
      <w:pPr>
        <w:pStyle w:val="FirstParagraph"/>
      </w:pPr>
      <w:r>
        <w:t xml:space="preserve">A source-native event such as a Gmail message, Calendar update, transcript segment, RenOS customer event, or repository event.</w:t>
      </w:r>
    </w:p>
    <w:bookmarkEnd w:id="22"/>
    <w:bookmarkStart w:id="23" w:name="observation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The durable source-neutral evidence record. V1 stores tenant, source, optional external source ID, actor, raw text, source metadata, occurrence time, and ingestion time.</w:t>
      </w:r>
    </w:p>
    <w:p>
      <w:pPr>
        <w:pStyle w:val="BodyText"/>
      </w:pPr>
      <w:r>
        <w:t xml:space="preserve">The raw observation is retained because extraction can be wrong. A generated WorkItem without inspectable evidence is difficult to audit or correct.</w:t>
      </w:r>
    </w:p>
    <w:bookmarkEnd w:id="23"/>
    <w:bookmarkStart w:id="24" w:name="workcandidate"/>
    <w:p>
      <w:pPr>
        <w:pStyle w:val="Heading3"/>
      </w:pPr>
      <w:r>
        <w:t xml:space="preserve">WorkCandidate</w:t>
      </w:r>
    </w:p>
    <w:p>
      <w:pPr>
        <w:pStyle w:val="FirstParagraph"/>
      </w:pPr>
      <w:r>
        <w:t xml:space="preserve">An inference containing proposed title, next action, priority, owner/deadline hints, confidence, reason, and canonicalization features. Candidates may later be created by rules, classifiers, LLMs, or tenant-specific models without changing the downstream contract.</w:t>
      </w:r>
    </w:p>
    <w:bookmarkEnd w:id="24"/>
    <w:bookmarkStart w:id="25" w:name="resolution"/>
    <w:p>
      <w:pPr>
        <w:pStyle w:val="Heading3"/>
      </w:pPr>
      <w:r>
        <w:t xml:space="preserve">Resolution</w:t>
      </w:r>
    </w:p>
    <w:p>
      <w:pPr>
        <w:pStyle w:val="FirstParagraph"/>
      </w:pPr>
      <w:r>
        <w:t xml:space="preserve">Resolution determines whether a candidate creates new work, updates existing work, becomes supporting evidence only, is ignored, or requires review. This is the architectural center of AWD.</w:t>
      </w:r>
    </w:p>
    <w:bookmarkEnd w:id="25"/>
    <w:bookmarkStart w:id="26" w:name="workitem"/>
    <w:p>
      <w:pPr>
        <w:pStyle w:val="Heading3"/>
      </w:pPr>
      <w:r>
        <w:t xml:space="preserve">WorkItem</w:t>
      </w:r>
    </w:p>
    <w:p>
      <w:pPr>
        <w:pStyle w:val="FirstParagraph"/>
      </w:pPr>
      <w:r>
        <w:t xml:space="preserve">The canonical operational representation. It is deliberately not identical to an executable WORKS</w:t>
      </w:r>
      <w:r>
        <w:t xml:space="preserve"> </w:t>
      </w:r>
      <w:r>
        <w:rPr>
          <w:rStyle w:val="VerbatimChar"/>
        </w:rPr>
        <w:t xml:space="preserve">Work</w:t>
      </w:r>
      <w:r>
        <w:t xml:space="preserve">: reminders, customer follow-ups, approvals, and human work must not silently acquire execution authority.</w:t>
      </w:r>
    </w:p>
    <w:bookmarkEnd w:id="26"/>
    <w:bookmarkStart w:id="27" w:name="publication"/>
    <w:p>
      <w:pPr>
        <w:pStyle w:val="Heading3"/>
      </w:pPr>
      <w:r>
        <w:t xml:space="preserve">Publication</w:t>
      </w:r>
    </w:p>
    <w:p>
      <w:pPr>
        <w:pStyle w:val="FirstParagraph"/>
      </w:pPr>
      <w:r>
        <w:t xml:space="preserve">A destination adapter maps canonical WorkItems to RenOS or another system on demand. The request names a configured destination, not an arbitrary URL.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7a92cbb44dc1d1997e0fb84fdcf27892a8ab839"/>
    <w:p>
      <w:pPr>
        <w:pStyle w:val="Heading2"/>
      </w:pPr>
      <w:r>
        <w:t xml:space="preserve">5. V1 Baseline</w:t>
      </w:r>
    </w:p>
    <w:p>
      <w:pPr>
        <w:pStyle w:val="FirstParagraph"/>
      </w:pPr>
      <w:r>
        <w:t xml:space="preserve">The first implementation uses deterministic Danish/English actionability rules instead of an LLM.</w:t>
      </w:r>
    </w:p>
    <w:p>
      <w:pPr>
        <w:pStyle w:val="BodyText"/>
      </w:pPr>
      <w:r>
        <w:t xml:space="preserve">This provides:</w:t>
      </w:r>
    </w:p>
    <w:p>
      <w:pPr>
        <w:pStyle w:val="Compact"/>
        <w:numPr>
          <w:ilvl w:val="0"/>
          <w:numId w:val="1002"/>
        </w:numPr>
      </w:pPr>
      <w:r>
        <w:t xml:space="preserve">reproducible behavior;</w:t>
      </w:r>
    </w:p>
    <w:p>
      <w:pPr>
        <w:pStyle w:val="Compact"/>
        <w:numPr>
          <w:ilvl w:val="0"/>
          <w:numId w:val="1002"/>
        </w:numPr>
      </w:pPr>
      <w:r>
        <w:t xml:space="preserve">a dependency-free inference baseline;</w:t>
      </w:r>
    </w:p>
    <w:p>
      <w:pPr>
        <w:pStyle w:val="Compact"/>
        <w:numPr>
          <w:ilvl w:val="0"/>
          <w:numId w:val="1002"/>
        </w:numPr>
      </w:pPr>
      <w:r>
        <w:t xml:space="preserve">deterministic regression tests;</w:t>
      </w:r>
    </w:p>
    <w:p>
      <w:pPr>
        <w:pStyle w:val="Compact"/>
        <w:numPr>
          <w:ilvl w:val="0"/>
          <w:numId w:val="1002"/>
        </w:numPr>
      </w:pPr>
      <w:r>
        <w:t xml:space="preserve">no model credential requirement;</w:t>
      </w:r>
    </w:p>
    <w:p>
      <w:pPr>
        <w:pStyle w:val="Compact"/>
        <w:numPr>
          <w:ilvl w:val="0"/>
          <w:numId w:val="1002"/>
        </w:numPr>
      </w:pPr>
      <w:r>
        <w:t xml:space="preserve">a baseline against which later model extraction can be measured;</w:t>
      </w:r>
    </w:p>
    <w:p>
      <w:pPr>
        <w:pStyle w:val="Compact"/>
        <w:numPr>
          <w:ilvl w:val="0"/>
          <w:numId w:val="1002"/>
        </w:numPr>
      </w:pPr>
      <w:r>
        <w:t xml:space="preserve">easier diagnosis of false positives and false merges.</w:t>
      </w:r>
    </w:p>
    <w:p>
      <w:pPr>
        <w:pStyle w:val="FirstParagraph"/>
      </w:pPr>
      <w:r>
        <w:t xml:space="preserve">Typical V1 action markers include explicit commitments and requests such as</w:t>
      </w:r>
      <w:r>
        <w:t xml:space="preserve"> </w:t>
      </w:r>
      <w:r>
        <w:rPr>
          <w:rStyle w:val="VerbatimChar"/>
        </w:rPr>
        <w:t xml:space="preserve">skal</w:t>
      </w:r>
      <w:r>
        <w:t xml:space="preserve">,</w:t>
      </w:r>
      <w:r>
        <w:t xml:space="preserve"> </w:t>
      </w:r>
      <w:r>
        <w:rPr>
          <w:rStyle w:val="VerbatimChar"/>
        </w:rPr>
        <w:t xml:space="preserve">husk</w:t>
      </w:r>
      <w:r>
        <w:t xml:space="preserve">,</w:t>
      </w:r>
      <w:r>
        <w:t xml:space="preserve"> </w:t>
      </w:r>
      <w:r>
        <w:rPr>
          <w:rStyle w:val="VerbatimChar"/>
        </w:rPr>
        <w:t xml:space="preserve">mangler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køb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opdater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 to</w:t>
      </w:r>
      <w:r>
        <w:t xml:space="preserve">,</w:t>
      </w:r>
      <w:r>
        <w:t xml:space="preserve"> </w:t>
      </w:r>
      <w:r>
        <w:rPr>
          <w:rStyle w:val="VerbatimChar"/>
        </w:rPr>
        <w:t xml:space="preserve">must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follow up</w:t>
      </w:r>
      <w:r>
        <w:t xml:space="preserve">.</w:t>
      </w:r>
    </w:p>
    <w:p>
      <w:pPr>
        <w:pStyle w:val="BodyText"/>
      </w:pPr>
      <w:r>
        <w:t xml:space="preserve">V1 intentionally keeps uncertain deadlines as text hints rather than fabricating exact timestamps.</w:t>
      </w:r>
    </w:p>
    <w:p>
      <w:r>
        <w:pict>
          <v:rect style="width:0;height:1.5pt" o:hralign="center" o:hrstd="t" o:hr="t"/>
        </w:pict>
      </w:r>
    </w:p>
    <w:bookmarkEnd w:id="29"/>
    <w:bookmarkStart w:id="37" w:name="X3c3f32ef106ab858ed385cfaa65e239df63410c"/>
    <w:p>
      <w:pPr>
        <w:pStyle w:val="Heading2"/>
      </w:pPr>
      <w:r>
        <w:t xml:space="preserve">6. Provenance, Security, and Failure Modes</w:t>
      </w:r>
    </w:p>
    <w:bookmarkStart w:id="30" w:name="data-minimization"/>
    <w:p>
      <w:pPr>
        <w:pStyle w:val="Heading3"/>
      </w:pPr>
      <w:r>
        <w:t xml:space="preserve">Data minimization</w:t>
      </w:r>
    </w:p>
    <w:p>
      <w:pPr>
        <w:pStyle w:val="FirstParagraph"/>
      </w:pPr>
      <w:r>
        <w:t xml:space="preserve">“Ambient” must not mean unrestricted surveillance. Connectors should ingest only sources explicitly enabled by the tenant, with separate retention/access controls for sensitive classes.</w:t>
      </w:r>
    </w:p>
    <w:bookmarkEnd w:id="30"/>
    <w:bookmarkStart w:id="31" w:name="prompt-injection--hostile-source-text"/>
    <w:p>
      <w:pPr>
        <w:pStyle w:val="Heading3"/>
      </w:pPr>
      <w:r>
        <w:t xml:space="preserve">Prompt injection / hostile source text</w:t>
      </w:r>
    </w:p>
    <w:p>
      <w:pPr>
        <w:pStyle w:val="FirstParagraph"/>
      </w:pPr>
      <w:r>
        <w:t xml:space="preserve">Incoming email, chat, and documents are untrusted data. They may describe work but must not acquire authority simply because they contain imperative language. Detection and execution remain separate boundaries.</w:t>
      </w:r>
    </w:p>
    <w:p>
      <w:pPr>
        <w:pStyle w:val="BodyText"/>
      </w:pPr>
      <w:r>
        <w:t xml:space="preserve">Recent provenance research supports this separation. Wang et al. (2026) survey execution provenance as a foundation for debugging and accountability in LLM agents. She, Liang, and Kang (2026) model tool-action alignment through traceable evidence, while Liao (2026) reports that model action selection can remain sensitive to untrusted evidence even when source-authority cues are present.</w:t>
      </w:r>
    </w:p>
    <w:bookmarkEnd w:id="31"/>
    <w:bookmarkStart w:id="32" w:name="false-positive"/>
    <w:p>
      <w:pPr>
        <w:pStyle w:val="Heading3"/>
      </w:pPr>
      <w:r>
        <w:t xml:space="preserve">False positive</w:t>
      </w:r>
    </w:p>
    <w:p>
      <w:pPr>
        <w:pStyle w:val="FirstParagraph"/>
      </w:pPr>
      <w:r>
        <w:t xml:space="preserve">Non-work becomes work, causing noise and trust degradation.</w:t>
      </w:r>
    </w:p>
    <w:bookmarkEnd w:id="32"/>
    <w:bookmarkStart w:id="33" w:name="false-negative"/>
    <w:p>
      <w:pPr>
        <w:pStyle w:val="Heading3"/>
      </w:pPr>
      <w:r>
        <w:t xml:space="preserve">False negative</w:t>
      </w:r>
    </w:p>
    <w:p>
      <w:pPr>
        <w:pStyle w:val="FirstParagraph"/>
      </w:pPr>
      <w:r>
        <w:t xml:space="preserve">A real obligation is missed. Recall must therefore be measured against a human-reviewed ground truth.</w:t>
      </w:r>
    </w:p>
    <w:bookmarkEnd w:id="33"/>
    <w:bookmarkStart w:id="34" w:name="false-merge"/>
    <w:p>
      <w:pPr>
        <w:pStyle w:val="Heading3"/>
      </w:pPr>
      <w:r>
        <w:t xml:space="preserve">False merge</w:t>
      </w:r>
    </w:p>
    <w:p>
      <w:pPr>
        <w:pStyle w:val="FirstParagraph"/>
      </w:pPr>
      <w:r>
        <w:t xml:space="preserve">Two distinct obligations become one. This is potentially more dangerous than duplicate creation because one obligation can disappear. V1 therefore uses conservative, tenant-bounded merging.</w:t>
      </w:r>
    </w:p>
    <w:bookmarkEnd w:id="34"/>
    <w:bookmarkStart w:id="35" w:name="duplicate-creation"/>
    <w:p>
      <w:pPr>
        <w:pStyle w:val="Heading3"/>
      </w:pPr>
      <w:r>
        <w:t xml:space="preserve">Duplicate creation</w:t>
      </w:r>
    </w:p>
    <w:p>
      <w:pPr>
        <w:pStyle w:val="FirstParagraph"/>
      </w:pPr>
      <w:r>
        <w:t xml:space="preserve">One obligation becomes multiple WorkItems. Less dangerous than false merge, but operationally costly.</w:t>
      </w:r>
    </w:p>
    <w:bookmarkEnd w:id="35"/>
    <w:bookmarkStart w:id="36" w:name="incorrect-ownerdeadline"/>
    <w:p>
      <w:pPr>
        <w:pStyle w:val="Heading3"/>
      </w:pPr>
      <w:r>
        <w:t xml:space="preserve">Incorrect owner/deadline</w:t>
      </w:r>
    </w:p>
    <w:p>
      <w:pPr>
        <w:pStyle w:val="FirstParagraph"/>
      </w:pPr>
      <w:r>
        <w:t xml:space="preserve">Structured fields can create false certainty. V1 avoids inventing fields unsupported by source evidence.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e9e3c39d390025374794eeafc824f78d747b02e"/>
    <w:p>
      <w:pPr>
        <w:pStyle w:val="Heading2"/>
      </w:pPr>
      <w:r>
        <w:t xml:space="preserve">7. RenOS / Rendetalje Field Protocol</w:t>
      </w:r>
    </w:p>
    <w:bookmarkStart w:id="38" w:name="study-unit"/>
    <w:p>
      <w:pPr>
        <w:pStyle w:val="Heading3"/>
      </w:pPr>
      <w:r>
        <w:t xml:space="preserve">Study unit</w:t>
      </w:r>
    </w:p>
    <w:p>
      <w:pPr>
        <w:pStyle w:val="FirstParagraph"/>
      </w:pPr>
      <w:r>
        <w:t xml:space="preserve">The unit is an</w:t>
      </w:r>
      <w:r>
        <w:t xml:space="preserve"> </w:t>
      </w:r>
      <w:r>
        <w:rPr>
          <w:b/>
          <w:bCs/>
        </w:rPr>
        <w:t xml:space="preserve">actionable obligation</w:t>
      </w:r>
      <w:r>
        <w:t xml:space="preserve">, not a generated ticket.</w:t>
      </w:r>
    </w:p>
    <w:bookmarkEnd w:id="38"/>
    <w:bookmarkStart w:id="39" w:name="duration"/>
    <w:p>
      <w:pPr>
        <w:pStyle w:val="Heading3"/>
      </w:pPr>
      <w:r>
        <w:t xml:space="preserve">Duration</w:t>
      </w:r>
    </w:p>
    <w:p>
      <w:pPr>
        <w:pStyle w:val="FirstParagraph"/>
      </w:pPr>
      <w:r>
        <w:t xml:space="preserve">30-day prospective dogfood study.</w:t>
      </w:r>
    </w:p>
    <w:bookmarkEnd w:id="39"/>
    <w:bookmarkStart w:id="40" w:name="proposed-phases"/>
    <w:p>
      <w:pPr>
        <w:pStyle w:val="Heading3"/>
      </w:pPr>
      <w:r>
        <w:t xml:space="preserve">Proposed phases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Shadow calibration, 3–7 days:</w:t>
      </w:r>
      <w:r>
        <w:t xml:space="preserve"> </w:t>
      </w:r>
      <w:r>
        <w:t xml:space="preserve">observations are processed and scored; operator review establishes baseline noise.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Automatic internal creation:</w:t>
      </w:r>
      <w:r>
        <w:t xml:space="preserve"> </w:t>
      </w:r>
      <w:r>
        <w:t xml:space="preserve">sufficiently confident candidates create internal WorkItems automatically.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Destination publication:</w:t>
      </w:r>
      <w:r>
        <w:t xml:space="preserve"> </w:t>
      </w:r>
      <w:r>
        <w:t xml:space="preserve">selected WorkItems publish into RenOS after false-creation/false-merge gates are acceptable.</w:t>
      </w:r>
    </w:p>
    <w:bookmarkEnd w:id="40"/>
    <w:bookmarkStart w:id="41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be the human-reviewed true obligations and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the automatically detected obligations.</w:t>
      </w:r>
    </w:p>
    <w:p>
      <w:pPr>
        <w:pStyle w:val="BodyText"/>
      </w:pPr>
      <w:r>
        <w:rPr>
          <w:b/>
          <w:bCs/>
        </w:rPr>
        <w:t xml:space="preserve">Actionable Work Recall (AWR)</w:t>
      </w:r>
      <w:r>
        <w:br/>
      </w:r>
      <w:r>
        <w:rPr>
          <w:rStyle w:val="VerbatimChar"/>
        </w:rPr>
        <w:t xml:space="preserve">AWR = |G ∩ D| / |G|</w:t>
      </w:r>
    </w:p>
    <w:p>
      <w:pPr>
        <w:pStyle w:val="BodyText"/>
      </w:pPr>
      <w:r>
        <w:rPr>
          <w:b/>
          <w:bCs/>
        </w:rPr>
        <w:t xml:space="preserve">Relevant Creation Rate (precision, RCR)</w:t>
      </w:r>
      <w:r>
        <w:br/>
      </w:r>
      <w:r>
        <w:rPr>
          <w:rStyle w:val="VerbatimChar"/>
        </w:rPr>
        <w:t xml:space="preserve">RCR = |G ∩ D| / |D|</w:t>
      </w:r>
    </w:p>
    <w:p>
      <w:pPr>
        <w:pStyle w:val="BodyText"/>
      </w:pPr>
      <w:r>
        <w:rPr>
          <w:b/>
          <w:bCs/>
        </w:rPr>
        <w:t xml:space="preserve">False Creation Rate (FCR-AWD)</w:t>
      </w:r>
      <w:r>
        <w:br/>
      </w:r>
      <w:r>
        <w:rPr>
          <w:rStyle w:val="VerbatimChar"/>
        </w:rPr>
        <w:t xml:space="preserve">FCR-AWD = 1 - RCR</w:t>
      </w:r>
    </w:p>
    <w:p>
      <w:pPr>
        <w:pStyle w:val="BodyText"/>
      </w:pPr>
      <w:r>
        <w:t xml:space="preserve">This is intentionally distinct from the Intelligence Systems Research Program's False Completion Rate.</w:t>
      </w:r>
    </w:p>
    <w:p>
      <w:pPr>
        <w:pStyle w:val="BodyText"/>
      </w:pPr>
      <w:r>
        <w:rPr>
          <w:b/>
          <w:bCs/>
        </w:rPr>
        <w:t xml:space="preserve">Duplicate Work Rate (DWR):</w:t>
      </w:r>
      <w:r>
        <w:t xml:space="preserve"> </w:t>
      </w:r>
      <w:r>
        <w:t xml:space="preserve">generated WorkItems duplicating an already-open obligation.</w:t>
      </w:r>
    </w:p>
    <w:p>
      <w:pPr>
        <w:pStyle w:val="BodyText"/>
      </w:pPr>
      <w:r>
        <w:rPr>
          <w:b/>
          <w:bCs/>
        </w:rPr>
        <w:t xml:space="preserve">False Merge Rate (FMR):</w:t>
      </w:r>
      <w:r>
        <w:t xml:space="preserve"> </w:t>
      </w:r>
      <w:r>
        <w:t xml:space="preserve">merge decisions combining distinct ground-truth obligations.</w:t>
      </w:r>
    </w:p>
    <w:p>
      <w:pPr>
        <w:pStyle w:val="BodyText"/>
      </w:pPr>
      <w:r>
        <w:rPr>
          <w:b/>
          <w:bCs/>
        </w:rPr>
        <w:t xml:space="preserve">Manual Capture Rate (MCR):</w:t>
      </w:r>
      <w:r>
        <w:t xml:space="preserve"> </w:t>
      </w:r>
      <w:r>
        <w:t xml:space="preserve">true obligations still requiring manual task creation.</w:t>
      </w:r>
    </w:p>
    <w:p>
      <w:pPr>
        <w:pStyle w:val="BodyText"/>
      </w:pPr>
      <w:r>
        <w:rPr>
          <w:b/>
          <w:bCs/>
        </w:rPr>
        <w:t xml:space="preserve">Early Detection Count (EDC):</w:t>
      </w:r>
      <w:r>
        <w:t xml:space="preserve"> </w:t>
      </w:r>
      <w:r>
        <w:t xml:space="preserve">important obligations recorded before the operator independently records or explicitly recalls them.</w:t>
      </w:r>
    </w:p>
    <w:p>
      <w:pPr>
        <w:pStyle w:val="BodyText"/>
      </w:pPr>
      <w:r>
        <w:rPr>
          <w:b/>
          <w:bCs/>
        </w:rPr>
        <w:t xml:space="preserve">Median Correction Time (MCT):</w:t>
      </w:r>
      <w:r>
        <w:t xml:space="preserve"> </w:t>
      </w:r>
      <w:r>
        <w:t xml:space="preserve">human time required to correct a wrong WorkItem using its source evidence.</w:t>
      </w:r>
    </w:p>
    <w:bookmarkEnd w:id="41"/>
    <w:bookmarkStart w:id="42" w:name="product-targets-not-achieved-results"/>
    <w:p>
      <w:pPr>
        <w:pStyle w:val="Heading3"/>
      </w:pPr>
      <w:r>
        <w:t xml:space="preserve">Product targets, not achieved results</w:t>
      </w:r>
    </w:p>
    <w:p>
      <w:pPr>
        <w:pStyle w:val="Compact"/>
        <w:numPr>
          <w:ilvl w:val="0"/>
          <w:numId w:val="1004"/>
        </w:numPr>
      </w:pPr>
      <w:r>
        <w:t xml:space="preserve">stretch target</w:t>
      </w:r>
      <w:r>
        <w:t xml:space="preserve"> </w:t>
      </w:r>
      <w:r>
        <w:rPr>
          <w:rStyle w:val="VerbatimChar"/>
        </w:rPr>
        <w:t xml:space="preserve">AWR ≥ 0.90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stretch target</w:t>
      </w:r>
      <w:r>
        <w:t xml:space="preserve"> </w:t>
      </w:r>
      <w:r>
        <w:rPr>
          <w:rStyle w:val="VerbatimChar"/>
        </w:rPr>
        <w:t xml:space="preserve">FCR-AWD &lt; 0.10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FMR &lt; 0.02</w:t>
      </w:r>
      <w:r>
        <w:t xml:space="preserve"> </w:t>
      </w:r>
      <w:r>
        <w:t xml:space="preserve">before unattended cross-source merging;</w:t>
      </w:r>
    </w:p>
    <w:p>
      <w:pPr>
        <w:pStyle w:val="Compact"/>
        <w:numPr>
          <w:ilvl w:val="0"/>
          <w:numId w:val="1004"/>
        </w:numPr>
      </w:pPr>
      <w:r>
        <w:t xml:space="preserve">zero cross-tenant merges;</w:t>
      </w:r>
    </w:p>
    <w:p>
      <w:pPr>
        <w:pStyle w:val="Compact"/>
        <w:numPr>
          <w:ilvl w:val="0"/>
          <w:numId w:val="1004"/>
        </w:numPr>
      </w:pPr>
      <w:r>
        <w:t xml:space="preserve">every created/merged WorkItem traceable to at least one Observation;</w:t>
      </w:r>
    </w:p>
    <w:p>
      <w:pPr>
        <w:pStyle w:val="Compact"/>
        <w:numPr>
          <w:ilvl w:val="0"/>
          <w:numId w:val="1004"/>
        </w:numPr>
      </w:pPr>
      <w:r>
        <w:t xml:space="preserve">material reduction in manual task creation.</w:t>
      </w:r>
    </w:p>
    <w:bookmarkEnd w:id="42"/>
    <w:bookmarkStart w:id="43" w:name="falsification-gates"/>
    <w:p>
      <w:pPr>
        <w:pStyle w:val="Heading3"/>
      </w:pPr>
      <w:r>
        <w:t xml:space="preserve">Falsification gates</w:t>
      </w:r>
    </w:p>
    <w:p>
      <w:pPr>
        <w:pStyle w:val="FirstParagraph"/>
      </w:pPr>
      <w:r>
        <w:t xml:space="preserve">Redesign or reject the product thesis if, after calibration: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AWR &lt; 0.80</w:t>
      </w:r>
      <w:r>
        <w:t xml:space="preserve"> </w:t>
      </w:r>
      <w:r>
        <w:t xml:space="preserve">on representative sources;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FCR-AWD &gt; 0.20</w:t>
      </w:r>
      <w:r>
        <w:t xml:space="preserve"> </w:t>
      </w:r>
      <w:r>
        <w:t xml:space="preserve">despite threshold tuning;</w:t>
      </w:r>
    </w:p>
    <w:p>
      <w:pPr>
        <w:pStyle w:val="Compact"/>
        <w:numPr>
          <w:ilvl w:val="0"/>
          <w:numId w:val="1005"/>
        </w:numPr>
      </w:pPr>
      <w:r>
        <w:t xml:space="preserve">false merges remain operationally significant;</w:t>
      </w:r>
    </w:p>
    <w:p>
      <w:pPr>
        <w:pStyle w:val="Compact"/>
        <w:numPr>
          <w:ilvl w:val="0"/>
          <w:numId w:val="1005"/>
        </w:numPr>
      </w:pPr>
      <w:r>
        <w:t xml:space="preserve">correction effort approaches or exceeds manual capture effort;</w:t>
      </w:r>
    </w:p>
    <w:p>
      <w:pPr>
        <w:pStyle w:val="Compact"/>
        <w:numPr>
          <w:ilvl w:val="0"/>
          <w:numId w:val="1005"/>
        </w:numPr>
      </w:pPr>
      <w:r>
        <w:t xml:space="preserve">source-specific automations deliver equal value at substantially lower complexity;</w:t>
      </w:r>
    </w:p>
    <w:p>
      <w:pPr>
        <w:pStyle w:val="Compact"/>
        <w:numPr>
          <w:ilvl w:val="0"/>
          <w:numId w:val="1005"/>
        </w:numPr>
      </w:pPr>
      <w:r>
        <w:t xml:space="preserve">provenance is rarely useful and adds burden without measurable trust/debugging value.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24ff66b0331f1b3491a7634d9898566520c035f"/>
    <w:p>
      <w:pPr>
        <w:pStyle w:val="Heading2"/>
      </w:pPr>
      <w:r>
        <w:t xml:space="preserve">8. Relationship to the Aftergraph Architecture</w:t>
      </w:r>
    </w:p>
    <w:p>
      <w:pPr>
        <w:pStyle w:val="FirstParagraph"/>
      </w:pPr>
      <w:r>
        <w:t xml:space="preserve">The current Aftergraph governance material defines WORKS as the durable execution plane, Trust Gateway as runtime control/enforcement, AIE as a normative authority track, and ABDE Research as the research/evaluation surface. WORKS already exposes a durable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primitive, SQLite-backed control-plane state, evidence/provenance, auth, and an HTTP API.</w:t>
      </w:r>
    </w:p>
    <w:p>
      <w:pPr>
        <w:pStyle w:val="BodyText"/>
      </w:pPr>
      <w:r>
        <w:t xml:space="preserve">AWD should therefore remain a separate work-intake boundary:</w:t>
      </w:r>
    </w:p>
    <w:p>
      <w:pPr>
        <w:pStyle w:val="SourceCode"/>
      </w:pPr>
      <w:r>
        <w:rPr>
          <w:rStyle w:val="VerbatimChar"/>
        </w:rPr>
        <w:t xml:space="preserve">Work Intelligence             WORKS execution plane</w:t>
      </w:r>
      <w:r>
        <w:br/>
      </w:r>
      <w:r>
        <w:rPr>
          <w:rStyle w:val="VerbatimChar"/>
        </w:rPr>
        <w:t xml:space="preserve">-------------------------     -------------------------</w:t>
      </w:r>
      <w:r>
        <w:br/>
      </w:r>
      <w:r>
        <w:rPr>
          <w:rStyle w:val="VerbatimChar"/>
        </w:rPr>
        <w:t xml:space="preserve">Observation                   executable Work</w:t>
      </w:r>
      <w:r>
        <w:br/>
      </w:r>
      <w:r>
        <w:rPr>
          <w:rStyle w:val="VerbatimChar"/>
        </w:rPr>
        <w:t xml:space="preserve">WorkCandidate                 DAG / nodes</w:t>
      </w:r>
      <w:r>
        <w:br/>
      </w:r>
      <w:r>
        <w:rPr>
          <w:rStyle w:val="VerbatimChar"/>
        </w:rPr>
        <w:t xml:space="preserve">WorkItem                      leases / workers</w:t>
      </w:r>
      <w:r>
        <w:br/>
      </w:r>
      <w:r>
        <w:rPr>
          <w:rStyle w:val="VerbatimChar"/>
        </w:rPr>
        <w:t xml:space="preserve">resolution                    verification / evidence</w:t>
      </w:r>
      <w:r>
        <w:br/>
      </w:r>
      <w:r>
        <w:rPr>
          <w:rStyle w:val="VerbatimChar"/>
        </w:rPr>
        <w:t xml:space="preserve">publication adapter   ───►    optional governed Work creation</w:t>
      </w:r>
    </w:p>
    <w:p>
      <w:pPr>
        <w:pStyle w:val="FirstParagraph"/>
      </w:pPr>
      <w:r>
        <w:t xml:space="preserve">This avoids a dangerous shortcut: text that merely</w:t>
      </w:r>
      <w:r>
        <w:t xml:space="preserve"> </w:t>
      </w:r>
      <w:r>
        <w:rPr>
          <w:i/>
          <w:iCs/>
        </w:rPr>
        <w:t xml:space="preserve">looks like an instruction</w:t>
      </w:r>
      <w:r>
        <w:t xml:space="preserve"> </w:t>
      </w:r>
      <w:r>
        <w:t xml:space="preserve">does not automatically become executable authority.</w:t>
      </w:r>
    </w:p>
    <w:p>
      <w:pPr>
        <w:pStyle w:val="BodyText"/>
      </w:pPr>
      <w:r>
        <w:t xml:space="preserve">RenOS is the first consumer and dogfood environment, not a hard-coded domain. Rendetalje-specific vocabulary and ownership rules belong in tenant policy/adapters.</w:t>
      </w:r>
    </w:p>
    <w:p>
      <w:r>
        <w:pict>
          <v:rect style="width:0;height:1.5pt" o:hralign="center" o:hrstd="t" o:hr="t"/>
        </w:pict>
      </w:r>
    </w:p>
    <w:bookmarkEnd w:id="45"/>
    <w:bookmarkStart w:id="46" w:name="Xd03c563095bf281a924d32909d9509141d1b23e"/>
    <w:p>
      <w:pPr>
        <w:pStyle w:val="Heading2"/>
      </w:pPr>
      <w:r>
        <w:t xml:space="preserve">9. V1 Acceptance Criteria</w:t>
      </w:r>
    </w:p>
    <w:p>
      <w:pPr>
        <w:pStyle w:val="FirstParagraph"/>
      </w:pPr>
      <w:r>
        <w:t xml:space="preserve">V1 is complete when:</w:t>
      </w:r>
    </w:p>
    <w:p>
      <w:pPr>
        <w:pStyle w:val="Compact"/>
        <w:numPr>
          <w:ilvl w:val="0"/>
          <w:numId w:val="1006"/>
        </w:numPr>
      </w:pPr>
      <w:r>
        <w:t xml:space="preserve">A source-neutral API accepts an Observation.</w:t>
      </w:r>
    </w:p>
    <w:p>
      <w:pPr>
        <w:pStyle w:val="Compact"/>
        <w:numPr>
          <w:ilvl w:val="0"/>
          <w:numId w:val="1006"/>
        </w:numPr>
      </w:pPr>
      <w:r>
        <w:t xml:space="preserve">Explicit Danish/English work statements can create WorkItems automatically.</w:t>
      </w:r>
    </w:p>
    <w:p>
      <w:pPr>
        <w:pStyle w:val="Compact"/>
        <w:numPr>
          <w:ilvl w:val="0"/>
          <w:numId w:val="1006"/>
        </w:numPr>
      </w:pPr>
      <w:r>
        <w:t xml:space="preserve">Baseline completed/non-actionable statements do not create WorkItems.</w:t>
      </w:r>
    </w:p>
    <w:p>
      <w:pPr>
        <w:pStyle w:val="Compact"/>
        <w:numPr>
          <w:ilvl w:val="0"/>
          <w:numId w:val="1006"/>
        </w:numPr>
      </w:pPr>
      <w:r>
        <w:t xml:space="preserve">Every Observation is durable.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(tenant, source, external_id)</w:t>
      </w:r>
      <w:r>
        <w:t xml:space="preserve"> </w:t>
      </w:r>
      <w:r>
        <w:t xml:space="preserve">replay is idempotent.</w:t>
      </w:r>
    </w:p>
    <w:p>
      <w:pPr>
        <w:pStyle w:val="Compact"/>
        <w:numPr>
          <w:ilvl w:val="0"/>
          <w:numId w:val="1006"/>
        </w:numPr>
      </w:pPr>
      <w:r>
        <w:t xml:space="preserve">Same-tenant repeated observations can merge conservatively.</w:t>
      </w:r>
    </w:p>
    <w:p>
      <w:pPr>
        <w:pStyle w:val="Compact"/>
        <w:numPr>
          <w:ilvl w:val="0"/>
          <w:numId w:val="1006"/>
        </w:numPr>
      </w:pPr>
      <w:r>
        <w:t xml:space="preserve">Cross-tenant observations never merge.</w:t>
      </w:r>
    </w:p>
    <w:p>
      <w:pPr>
        <w:pStyle w:val="Compact"/>
        <w:numPr>
          <w:ilvl w:val="0"/>
          <w:numId w:val="1006"/>
        </w:numPr>
      </w:pPr>
      <w:r>
        <w:t xml:space="preserve">WorkItems expose supporting Observations.</w:t>
      </w:r>
    </w:p>
    <w:p>
      <w:pPr>
        <w:pStyle w:val="Compact"/>
        <w:numPr>
          <w:ilvl w:val="0"/>
          <w:numId w:val="1006"/>
        </w:numPr>
      </w:pPr>
      <w:r>
        <w:t xml:space="preserve">WorkItems can be listed/retrieved over API.</w:t>
      </w:r>
    </w:p>
    <w:p>
      <w:pPr>
        <w:pStyle w:val="Compact"/>
        <w:numPr>
          <w:ilvl w:val="0"/>
          <w:numId w:val="1006"/>
        </w:numPr>
      </w:pPr>
      <w:r>
        <w:t xml:space="preserve">Optional bearer authentication works.</w:t>
      </w:r>
    </w:p>
    <w:p>
      <w:pPr>
        <w:pStyle w:val="Compact"/>
        <w:numPr>
          <w:ilvl w:val="0"/>
          <w:numId w:val="1006"/>
        </w:numPr>
      </w:pPr>
      <w:r>
        <w:t xml:space="preserve">On-demand publication uses operator-configured destination adapters.</w:t>
      </w:r>
    </w:p>
    <w:p>
      <w:pPr>
        <w:pStyle w:val="Compact"/>
        <w:numPr>
          <w:ilvl w:val="0"/>
          <w:numId w:val="1006"/>
        </w:numPr>
      </w:pPr>
      <w:r>
        <w:t xml:space="preserve">Publication receipts are durable.</w:t>
      </w:r>
    </w:p>
    <w:p>
      <w:pPr>
        <w:pStyle w:val="Compact"/>
        <w:numPr>
          <w:ilvl w:val="0"/>
          <w:numId w:val="1006"/>
        </w:numPr>
      </w:pPr>
      <w:r>
        <w:t xml:space="preserve">The reference implementation has automated tests and a live local smoke test.</w:t>
      </w:r>
    </w:p>
    <w:p>
      <w:pPr>
        <w:pStyle w:val="FirstParagraph"/>
      </w:pPr>
      <w:r>
        <w:t xml:space="preserve">Gmail/Calendar/RenOS OAuth plumbing is explicitly outside the core V1 acceptance gate. Those are adapters to the stable Observation/Publication contracts, not reasons to postpone testing the work-resolution hypothesis.</w:t>
      </w:r>
    </w:p>
    <w:p>
      <w:r>
        <w:pict>
          <v:rect style="width:0;height:1.5pt" o:hralign="center" o:hrstd="t" o:hr="t"/>
        </w:pict>
      </w:r>
    </w:p>
    <w:bookmarkEnd w:id="46"/>
    <w:bookmarkStart w:id="47" w:name="X128662f58c7a25ee8e597ebd43852b6b229ccee"/>
    <w:p>
      <w:pPr>
        <w:pStyle w:val="Heading2"/>
      </w:pPr>
      <w:r>
        <w:t xml:space="preserve">10. Current Reference-Implementation Evidence</w:t>
      </w:r>
    </w:p>
    <w:p>
      <w:pPr>
        <w:pStyle w:val="FirstParagraph"/>
      </w:pPr>
      <w:r>
        <w:t xml:space="preserve">As of 5 September 2026, the local V1 reference implementation has:</w:t>
      </w:r>
    </w:p>
    <w:p>
      <w:pPr>
        <w:pStyle w:val="Compact"/>
        <w:numPr>
          <w:ilvl w:val="0"/>
          <w:numId w:val="1007"/>
        </w:numPr>
      </w:pPr>
      <w:r>
        <w:t xml:space="preserve">deterministic Danish/English actionability extraction;</w:t>
      </w:r>
    </w:p>
    <w:p>
      <w:pPr>
        <w:pStyle w:val="Compact"/>
        <w:numPr>
          <w:ilvl w:val="0"/>
          <w:numId w:val="1007"/>
        </w:numPr>
      </w:pPr>
      <w:r>
        <w:t xml:space="preserve">SQLite observation/work/publication persistence;</w:t>
      </w:r>
    </w:p>
    <w:p>
      <w:pPr>
        <w:pStyle w:val="Compact"/>
        <w:numPr>
          <w:ilvl w:val="0"/>
          <w:numId w:val="1007"/>
        </w:numPr>
      </w:pPr>
      <w:r>
        <w:t xml:space="preserve">idempotent external-source replay;</w:t>
      </w:r>
    </w:p>
    <w:p>
      <w:pPr>
        <w:pStyle w:val="Compact"/>
        <w:numPr>
          <w:ilvl w:val="0"/>
          <w:numId w:val="1007"/>
        </w:numPr>
      </w:pPr>
      <w:r>
        <w:t xml:space="preserve">conservative same-tenant deduplication;</w:t>
      </w:r>
    </w:p>
    <w:p>
      <w:pPr>
        <w:pStyle w:val="Compact"/>
        <w:numPr>
          <w:ilvl w:val="0"/>
          <w:numId w:val="1007"/>
        </w:numPr>
      </w:pPr>
      <w:r>
        <w:t xml:space="preserve">cross-tenant isolation;</w:t>
      </w:r>
    </w:p>
    <w:p>
      <w:pPr>
        <w:pStyle w:val="Compact"/>
        <w:numPr>
          <w:ilvl w:val="0"/>
          <w:numId w:val="1007"/>
        </w:numPr>
      </w:pPr>
      <w:r>
        <w:t xml:space="preserve">provenance links from WorkItems back to Observations;</w:t>
      </w:r>
    </w:p>
    <w:p>
      <w:pPr>
        <w:pStyle w:val="Compact"/>
        <w:numPr>
          <w:ilvl w:val="0"/>
          <w:numId w:val="1007"/>
        </w:numPr>
      </w:pPr>
      <w:r>
        <w:t xml:space="preserve">FastAPI/OpenAPI ingress and query surfaces;</w:t>
      </w:r>
    </w:p>
    <w:p>
      <w:pPr>
        <w:pStyle w:val="Compact"/>
        <w:numPr>
          <w:ilvl w:val="0"/>
          <w:numId w:val="1007"/>
        </w:numPr>
      </w:pPr>
      <w:r>
        <w:t xml:space="preserve">optional bearer auth;</w:t>
      </w:r>
    </w:p>
    <w:p>
      <w:pPr>
        <w:pStyle w:val="Compact"/>
        <w:numPr>
          <w:ilvl w:val="0"/>
          <w:numId w:val="1007"/>
        </w:numPr>
      </w:pPr>
      <w:r>
        <w:t xml:space="preserve">configured HMAC webhook publication;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15/15 local automated tests passing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a live Uvicorn smoke test that created and listed a RenOS-tenant WorkItem from the sentence “Vi skal sende kunden en bekræftelse før mandag.”</w:t>
      </w:r>
    </w:p>
    <w:p>
      <w:pPr>
        <w:pStyle w:val="FirstParagraph"/>
      </w:pPr>
      <w:r>
        <w:t xml:space="preserve">These are software verification results, not field-effectiveness results. No recall, precision, productivity, or commercial claims are justified yet.</w:t>
      </w:r>
    </w:p>
    <w:p>
      <w:r>
        <w:pict>
          <v:rect style="width:0;height:1.5pt" o:hralign="center" o:hrstd="t" o:hr="t"/>
        </w:pict>
      </w:r>
    </w:p>
    <w:bookmarkEnd w:id="47"/>
    <w:bookmarkStart w:id="6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8"/>
        </w:numPr>
      </w:pPr>
      <w:r>
        <w:t xml:space="preserve">Morgan, W., Chang, P.-C., Gupta, S., &amp; Brenier, J. M. (2006).</w:t>
      </w:r>
      <w:r>
        <w:t xml:space="preserve"> </w:t>
      </w:r>
      <w:r>
        <w:rPr>
          <w:i/>
          <w:iCs/>
        </w:rPr>
        <w:t xml:space="preserve">Automatically Detecting Action Items in Audio Meeting Recordings</w:t>
      </w:r>
      <w:r>
        <w:t xml:space="preserve">. SIGDIAL.</w:t>
      </w:r>
      <w:r>
        <w:t xml:space="preserve"> </w:t>
      </w:r>
      <w:hyperlink r:id="rId48">
        <w:r>
          <w:rPr>
            <w:rStyle w:val="Hyperlink"/>
          </w:rPr>
          <w:t xml:space="preserve">https://aclanthology.org/W06-1314/</w:t>
        </w:r>
      </w:hyperlink>
    </w:p>
    <w:p>
      <w:pPr>
        <w:pStyle w:val="Compact"/>
        <w:numPr>
          <w:ilvl w:val="0"/>
          <w:numId w:val="1008"/>
        </w:numPr>
      </w:pPr>
      <w:r>
        <w:t xml:space="preserve">Purver, M., Dowding, J., Niekrasz, J., Ehlen, P., Noorbaloochi, S., &amp; Peters, S. (2007).</w:t>
      </w:r>
      <w:r>
        <w:t xml:space="preserve"> </w:t>
      </w:r>
      <w:r>
        <w:rPr>
          <w:i/>
          <w:iCs/>
        </w:rPr>
        <w:t xml:space="preserve">Detecting and Summarizing Action Items in Multi-Party Dialogue</w:t>
      </w:r>
      <w:r>
        <w:t xml:space="preserve">. SIGDIAL.</w:t>
      </w:r>
      <w:r>
        <w:t xml:space="preserve"> </w:t>
      </w:r>
      <w:hyperlink r:id="rId49">
        <w:r>
          <w:rPr>
            <w:rStyle w:val="Hyperlink"/>
          </w:rPr>
          <w:t xml:space="preserve">https://aclanthology.org/2007.sigdial-1.4/</w:t>
        </w:r>
      </w:hyperlink>
    </w:p>
    <w:p>
      <w:pPr>
        <w:pStyle w:val="Compact"/>
        <w:numPr>
          <w:ilvl w:val="0"/>
          <w:numId w:val="1008"/>
        </w:numPr>
      </w:pPr>
      <w:r>
        <w:t xml:space="preserve">Diwanji, P., Guo, H., Singh, M., &amp; Kalia, A. (2020).</w:t>
      </w:r>
      <w:r>
        <w:t xml:space="preserve"> </w:t>
      </w:r>
      <w:r>
        <w:rPr>
          <w:i/>
          <w:iCs/>
        </w:rPr>
        <w:t xml:space="preserve">Lin: Unsupervised Extraction of Tasks from Textual Communication</w:t>
      </w:r>
      <w:r>
        <w:t xml:space="preserve">. COLING.</w:t>
      </w:r>
      <w:r>
        <w:t xml:space="preserve"> </w:t>
      </w:r>
      <w:hyperlink r:id="rId50">
        <w:r>
          <w:rPr>
            <w:rStyle w:val="Hyperlink"/>
          </w:rPr>
          <w:t xml:space="preserve">https://aclanthology.org/2020.coling-main.164/</w:t>
        </w:r>
      </w:hyperlink>
    </w:p>
    <w:p>
      <w:pPr>
        <w:pStyle w:val="Compact"/>
        <w:numPr>
          <w:ilvl w:val="0"/>
          <w:numId w:val="1008"/>
        </w:numPr>
      </w:pPr>
      <w:r>
        <w:t xml:space="preserve">Mukherjee, S., Mukherjee, S., Hasegawa, M., Hassan Awadallah, A., &amp; White, R. (2020).</w:t>
      </w:r>
      <w:r>
        <w:t xml:space="preserve"> </w:t>
      </w:r>
      <w:r>
        <w:rPr>
          <w:i/>
          <w:iCs/>
        </w:rPr>
        <w:t xml:space="preserve">Smart To-Do: Automatic Generation of To-Do Items from Emails</w:t>
      </w:r>
      <w:r>
        <w:t xml:space="preserve">. ACL.</w:t>
      </w:r>
      <w:r>
        <w:t xml:space="preserve"> </w:t>
      </w:r>
      <w:hyperlink r:id="rId51">
        <w:r>
          <w:rPr>
            <w:rStyle w:val="Hyperlink"/>
          </w:rPr>
          <w:t xml:space="preserve">https://aclanthology.org/2020.acl-main.767/</w:t>
        </w:r>
      </w:hyperlink>
    </w:p>
    <w:p>
      <w:pPr>
        <w:pStyle w:val="Compact"/>
        <w:numPr>
          <w:ilvl w:val="0"/>
          <w:numId w:val="1008"/>
        </w:numPr>
      </w:pPr>
      <w:r>
        <w:t xml:space="preserve">Zhang, K., Chen, J., &amp; Yang, D. (2022).</w:t>
      </w:r>
      <w:r>
        <w:t xml:space="preserve"> </w:t>
      </w:r>
      <w:r>
        <w:rPr>
          <w:i/>
          <w:iCs/>
        </w:rPr>
        <w:t xml:space="preserve">Focus on the Action: Learning to Highlight and Summarize Jointly for Email To-Do Items Summarization</w:t>
      </w:r>
      <w:r>
        <w:t xml:space="preserve">. Findings of ACL.</w:t>
      </w:r>
      <w:r>
        <w:t xml:space="preserve"> </w:t>
      </w:r>
      <w:hyperlink r:id="rId52">
        <w:r>
          <w:rPr>
            <w:rStyle w:val="Hyperlink"/>
          </w:rPr>
          <w:t xml:space="preserve">https://aclanthology.org/2022.findings-acl.323/</w:t>
        </w:r>
      </w:hyperlink>
    </w:p>
    <w:p>
      <w:pPr>
        <w:pStyle w:val="Compact"/>
        <w:numPr>
          <w:ilvl w:val="0"/>
          <w:numId w:val="1008"/>
        </w:numPr>
      </w:pPr>
      <w:r>
        <w:t xml:space="preserve">Srivastava, S. et al. (2023).</w:t>
      </w:r>
      <w:r>
        <w:t xml:space="preserve"> </w:t>
      </w:r>
      <w:r>
        <w:rPr>
          <w:i/>
          <w:iCs/>
        </w:rPr>
        <w:t xml:space="preserve">MailEx: Email Event and Argument Extraction</w:t>
      </w:r>
      <w:r>
        <w:t xml:space="preserve">. EMNLP.</w:t>
      </w:r>
      <w:r>
        <w:t xml:space="preserve"> </w:t>
      </w:r>
      <w:hyperlink r:id="rId53">
        <w:r>
          <w:rPr>
            <w:rStyle w:val="Hyperlink"/>
          </w:rPr>
          <w:t xml:space="preserve">https://aclanthology.org/2023.emnlp-main.801/</w:t>
        </w:r>
      </w:hyperlink>
    </w:p>
    <w:p>
      <w:pPr>
        <w:pStyle w:val="Compact"/>
        <w:numPr>
          <w:ilvl w:val="0"/>
          <w:numId w:val="1008"/>
        </w:numPr>
      </w:pPr>
      <w:r>
        <w:t xml:space="preserve">Linear.</w:t>
      </w:r>
      <w:r>
        <w:t xml:space="preserve"> </w:t>
      </w:r>
      <w:r>
        <w:rPr>
          <w:i/>
          <w:iCs/>
        </w:rPr>
        <w:t xml:space="preserve">Linear Asks; Asks with Slack; Slack integration</w:t>
      </w:r>
      <w:r>
        <w:t xml:space="preserve">. Accessed 5 Sep 2026.</w:t>
      </w:r>
      <w:r>
        <w:t xml:space="preserve"> </w:t>
      </w:r>
      <w:hyperlink r:id="rId54">
        <w:r>
          <w:rPr>
            <w:rStyle w:val="Hyperlink"/>
          </w:rPr>
          <w:t xml:space="preserve">https://linear.app/docs/linear-asks</w:t>
        </w:r>
      </w:hyperlink>
      <w:r>
        <w:t xml:space="preserve"> </w:t>
      </w:r>
      <w:r>
        <w:t xml:space="preserve">;</w:t>
      </w:r>
      <w:r>
        <w:t xml:space="preserve"> </w:t>
      </w:r>
      <w:hyperlink r:id="rId55">
        <w:r>
          <w:rPr>
            <w:rStyle w:val="Hyperlink"/>
          </w:rPr>
          <w:t xml:space="preserve">https://linear.app/docs/linear-asks-slack</w:t>
        </w:r>
      </w:hyperlink>
      <w:r>
        <w:t xml:space="preserve"> </w:t>
      </w:r>
      <w:r>
        <w:t xml:space="preserve">;</w:t>
      </w:r>
      <w:r>
        <w:t xml:space="preserve"> </w:t>
      </w:r>
      <w:hyperlink r:id="rId56">
        <w:r>
          <w:rPr>
            <w:rStyle w:val="Hyperlink"/>
          </w:rPr>
          <w:t xml:space="preserve">https://linear.app/docs/slack</w:t>
        </w:r>
      </w:hyperlink>
    </w:p>
    <w:p>
      <w:pPr>
        <w:pStyle w:val="Compact"/>
        <w:numPr>
          <w:ilvl w:val="0"/>
          <w:numId w:val="1008"/>
        </w:numPr>
      </w:pPr>
      <w:r>
        <w:t xml:space="preserve">Asana.</w:t>
      </w:r>
      <w:r>
        <w:t xml:space="preserve"> </w:t>
      </w:r>
      <w:r>
        <w:rPr>
          <w:i/>
          <w:iCs/>
        </w:rPr>
        <w:t xml:space="preserve">Chat with Asana in Slack channels; Slack and Asana</w:t>
      </w:r>
      <w:r>
        <w:t xml:space="preserve">. Accessed 5 Sep 2026.</w:t>
      </w:r>
      <w:r>
        <w:t xml:space="preserve"> </w:t>
      </w:r>
      <w:hyperlink r:id="rId57">
        <w:r>
          <w:rPr>
            <w:rStyle w:val="Hyperlink"/>
          </w:rPr>
          <w:t xml:space="preserve">https://help.asana.com/s/article/chat-with-asana-in-slack-channels</w:t>
        </w:r>
      </w:hyperlink>
      <w:r>
        <w:t xml:space="preserve"> </w:t>
      </w:r>
      <w:r>
        <w:t xml:space="preserve">;</w:t>
      </w:r>
      <w:r>
        <w:t xml:space="preserve"> </w:t>
      </w:r>
      <w:hyperlink r:id="rId58">
        <w:r>
          <w:rPr>
            <w:rStyle w:val="Hyperlink"/>
          </w:rPr>
          <w:t xml:space="preserve">https://help.asana.com/s/article/slack-and-asana</w:t>
        </w:r>
      </w:hyperlink>
    </w:p>
    <w:p>
      <w:pPr>
        <w:pStyle w:val="Compact"/>
        <w:numPr>
          <w:ilvl w:val="0"/>
          <w:numId w:val="1008"/>
        </w:numPr>
      </w:pPr>
      <w:r>
        <w:t xml:space="preserve">ClickUp.</w:t>
      </w:r>
      <w:r>
        <w:t xml:space="preserve"> </w:t>
      </w:r>
      <w:r>
        <w:rPr>
          <w:i/>
          <w:iCs/>
        </w:rPr>
        <w:t xml:space="preserve">Create items with Brain AI</w:t>
      </w:r>
      <w:r>
        <w:t xml:space="preserve">. Accessed 5 Sep 2026.</w:t>
      </w:r>
      <w:r>
        <w:t xml:space="preserve"> </w:t>
      </w:r>
      <w:hyperlink r:id="rId59">
        <w:r>
          <w:rPr>
            <w:rStyle w:val="Hyperlink"/>
          </w:rPr>
          <w:t xml:space="preserve">https://help.clickup.com/hc/en-us/articles/19953994898711-Create-items-with-Brain-AI</w:t>
        </w:r>
      </w:hyperlink>
    </w:p>
    <w:p>
      <w:pPr>
        <w:pStyle w:val="Compact"/>
        <w:numPr>
          <w:ilvl w:val="0"/>
          <w:numId w:val="1008"/>
        </w:numPr>
      </w:pPr>
      <w:r>
        <w:t xml:space="preserve">Motion.</w:t>
      </w:r>
      <w:r>
        <w:t xml:space="preserve"> </w:t>
      </w:r>
      <w:r>
        <w:rPr>
          <w:i/>
          <w:iCs/>
        </w:rPr>
        <w:t xml:space="preserve">Task creation methods</w:t>
      </w:r>
      <w:r>
        <w:t xml:space="preserve">. Accessed 5 Sep 2026.</w:t>
      </w:r>
      <w:r>
        <w:t xml:space="preserve"> </w:t>
      </w:r>
      <w:hyperlink r:id="rId60">
        <w:r>
          <w:rPr>
            <w:rStyle w:val="Hyperlink"/>
          </w:rPr>
          <w:t xml:space="preserve">https://www.usemotion.com/help/project-management/task</w:t>
        </w:r>
      </w:hyperlink>
    </w:p>
    <w:p>
      <w:pPr>
        <w:pStyle w:val="Compact"/>
        <w:numPr>
          <w:ilvl w:val="0"/>
          <w:numId w:val="1008"/>
        </w:numPr>
      </w:pPr>
      <w:r>
        <w:t xml:space="preserve">Notion.</w:t>
      </w:r>
      <w:r>
        <w:t xml:space="preserve"> </w:t>
      </w:r>
      <w:r>
        <w:rPr>
          <w:i/>
          <w:iCs/>
        </w:rPr>
        <w:t xml:space="preserve">AI Meeting Notes</w:t>
      </w:r>
      <w:r>
        <w:t xml:space="preserve">. Accessed 5 Sep 2026.</w:t>
      </w:r>
      <w:r>
        <w:t xml:space="preserve"> </w:t>
      </w:r>
      <w:hyperlink r:id="rId61">
        <w:r>
          <w:rPr>
            <w:rStyle w:val="Hyperlink"/>
          </w:rPr>
          <w:t xml:space="preserve">https://www.notion.com/help/ai-meeting-notes</w:t>
        </w:r>
      </w:hyperlink>
    </w:p>
    <w:p>
      <w:pPr>
        <w:pStyle w:val="Compact"/>
        <w:numPr>
          <w:ilvl w:val="0"/>
          <w:numId w:val="1008"/>
        </w:numPr>
      </w:pPr>
      <w:r>
        <w:t xml:space="preserve">Zapier.</w:t>
      </w:r>
      <w:r>
        <w:t xml:space="preserve"> </w:t>
      </w:r>
      <w:r>
        <w:rPr>
          <w:i/>
          <w:iCs/>
        </w:rPr>
        <w:t xml:space="preserve">Set up your agent's trigger; Use actions on Zapier Agents</w:t>
      </w:r>
      <w:r>
        <w:t xml:space="preserve">. Updated May 2026.</w:t>
      </w:r>
      <w:r>
        <w:t xml:space="preserve"> </w:t>
      </w:r>
      <w:hyperlink r:id="rId62">
        <w:r>
          <w:rPr>
            <w:rStyle w:val="Hyperlink"/>
          </w:rPr>
          <w:t xml:space="preserve">https://help.zapier.com/hc/en-us/articles/45394909914381-Set-up-your-agent-s-trigger</w:t>
        </w:r>
      </w:hyperlink>
      <w:r>
        <w:t xml:space="preserve"> </w:t>
      </w:r>
      <w:r>
        <w:t xml:space="preserve">;</w:t>
      </w:r>
      <w:r>
        <w:t xml:space="preserve"> </w:t>
      </w:r>
      <w:hyperlink r:id="rId63">
        <w:r>
          <w:rPr>
            <w:rStyle w:val="Hyperlink"/>
          </w:rPr>
          <w:t xml:space="preserve">https://help.zapier.com/hc/en-us/articles/26028298697485-Use-actions-on-Zapier-Agents</w:t>
        </w:r>
      </w:hyperlink>
    </w:p>
    <w:p>
      <w:pPr>
        <w:pStyle w:val="Compact"/>
        <w:numPr>
          <w:ilvl w:val="0"/>
          <w:numId w:val="1008"/>
        </w:numPr>
      </w:pPr>
      <w:r>
        <w:t xml:space="preserve">Wang, Y. et al. (2026).</w:t>
      </w:r>
      <w:r>
        <w:t xml:space="preserve"> </w:t>
      </w:r>
      <w:r>
        <w:rPr>
          <w:i/>
          <w:iCs/>
        </w:rPr>
        <w:t xml:space="preserve">From Agent Traces to Trust: Evidence Tracing and Execution Provenance in LLM Agents</w:t>
      </w:r>
      <w:r>
        <w:t xml:space="preserve">. arXiv:2606.04990.</w:t>
      </w:r>
      <w:r>
        <w:t xml:space="preserve"> </w:t>
      </w:r>
      <w:hyperlink r:id="rId64">
        <w:r>
          <w:rPr>
            <w:rStyle w:val="Hyperlink"/>
          </w:rPr>
          <w:t xml:space="preserve">https://arxiv.org/abs/2606.04990</w:t>
        </w:r>
      </w:hyperlink>
    </w:p>
    <w:p>
      <w:pPr>
        <w:pStyle w:val="Compact"/>
        <w:numPr>
          <w:ilvl w:val="0"/>
          <w:numId w:val="1008"/>
        </w:numPr>
      </w:pPr>
      <w:r>
        <w:t xml:space="preserve">She, Y., Liang, Y., &amp; Kang, E. (2026).</w:t>
      </w:r>
      <w:r>
        <w:t xml:space="preserve"> </w:t>
      </w:r>
      <w:r>
        <w:rPr>
          <w:i/>
          <w:iCs/>
        </w:rPr>
        <w:t xml:space="preserve">Safeguarding LLM Agents from Misalignment through Provenance Analysis</w:t>
      </w:r>
      <w:r>
        <w:t xml:space="preserve">. arXiv:2607.01236.</w:t>
      </w:r>
      <w:r>
        <w:t xml:space="preserve"> </w:t>
      </w:r>
      <w:hyperlink r:id="rId65">
        <w:r>
          <w:rPr>
            <w:rStyle w:val="Hyperlink"/>
          </w:rPr>
          <w:t xml:space="preserve">https://arxiv.org/abs/2607.01236</w:t>
        </w:r>
      </w:hyperlink>
    </w:p>
    <w:p>
      <w:pPr>
        <w:pStyle w:val="Compact"/>
        <w:numPr>
          <w:ilvl w:val="0"/>
          <w:numId w:val="1008"/>
        </w:numPr>
      </w:pPr>
      <w:r>
        <w:t xml:space="preserve">Liao, J. (2026).</w:t>
      </w:r>
      <w:r>
        <w:t xml:space="preserve"> </w:t>
      </w:r>
      <w:r>
        <w:rPr>
          <w:i/>
          <w:iCs/>
        </w:rPr>
        <w:t xml:space="preserve">Auditing Provenance Sensitivity in LLM Agent Action Selection</w:t>
      </w:r>
      <w:r>
        <w:t xml:space="preserve">. arXiv:2607.20827.</w:t>
      </w:r>
      <w:r>
        <w:t xml:space="preserve"> </w:t>
      </w:r>
      <w:hyperlink r:id="rId66">
        <w:r>
          <w:rPr>
            <w:rStyle w:val="Hyperlink"/>
          </w:rPr>
          <w:t xml:space="preserve">https://arxiv.org/abs/2607.20827</w:t>
        </w:r>
      </w:hyperlink>
    </w:p>
    <w:p>
      <w:r>
        <w:pict>
          <v:rect style="width:0;height:1.5pt" o:hralign="center" o:hrstd="t" o:hr="t"/>
        </w:pict>
      </w:r>
    </w:p>
    <w:bookmarkEnd w:id="67"/>
    <w:bookmarkStart w:id="68" w:name="research-integrity-note"/>
    <w:p>
      <w:pPr>
        <w:pStyle w:val="Heading2"/>
      </w:pPr>
      <w:r>
        <w:t xml:space="preserve">Research Integrity Note</w:t>
      </w:r>
    </w:p>
    <w:p>
      <w:pPr>
        <w:pStyle w:val="FirstParagraph"/>
      </w:pPr>
      <w:r>
        <w:t xml:space="preserve">Competitive feature descriptions are based on vendor documentation available on 5 September 2026. Target metrics are targets, not achieved results. Any later claim of recall, precision, reduced manual effort, commercial differentiation, or operational superiority requires versioned field-study evidence before publication.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aclanthology.org/2007.sigdial-1.4/" TargetMode="External" /><Relationship Type="http://schemas.openxmlformats.org/officeDocument/2006/relationships/hyperlink" Id="rId51" Target="https://aclanthology.org/2020.acl-main.767/" TargetMode="External" /><Relationship Type="http://schemas.openxmlformats.org/officeDocument/2006/relationships/hyperlink" Id="rId50" Target="https://aclanthology.org/2020.coling-main.164/" TargetMode="External" /><Relationship Type="http://schemas.openxmlformats.org/officeDocument/2006/relationships/hyperlink" Id="rId52" Target="https://aclanthology.org/2022.findings-acl.323/" TargetMode="External" /><Relationship Type="http://schemas.openxmlformats.org/officeDocument/2006/relationships/hyperlink" Id="rId53" Target="https://aclanthology.org/2023.emnlp-main.801/" TargetMode="External" /><Relationship Type="http://schemas.openxmlformats.org/officeDocument/2006/relationships/hyperlink" Id="rId48" Target="https://aclanthology.org/W06-1314/" TargetMode="External" /><Relationship Type="http://schemas.openxmlformats.org/officeDocument/2006/relationships/hyperlink" Id="rId64" Target="https://arxiv.org/abs/2606.04990" TargetMode="External" /><Relationship Type="http://schemas.openxmlformats.org/officeDocument/2006/relationships/hyperlink" Id="rId65" Target="https://arxiv.org/abs/2607.01236" TargetMode="External" /><Relationship Type="http://schemas.openxmlformats.org/officeDocument/2006/relationships/hyperlink" Id="rId66" Target="https://arxiv.org/abs/2607.20827" TargetMode="External" /><Relationship Type="http://schemas.openxmlformats.org/officeDocument/2006/relationships/hyperlink" Id="rId57" Target="https://help.asana.com/s/article/chat-with-asana-in-slack-channels" TargetMode="External" /><Relationship Type="http://schemas.openxmlformats.org/officeDocument/2006/relationships/hyperlink" Id="rId58" Target="https://help.asana.com/s/article/slack-and-asana" TargetMode="External" /><Relationship Type="http://schemas.openxmlformats.org/officeDocument/2006/relationships/hyperlink" Id="rId59" Target="https://help.clickup.com/hc/en-us/articles/19953994898711-Create-items-with-Brain-AI" TargetMode="External" /><Relationship Type="http://schemas.openxmlformats.org/officeDocument/2006/relationships/hyperlink" Id="rId63" Target="https://help.zapier.com/hc/en-us/articles/26028298697485-Use-actions-on-Zapier-Agents" TargetMode="External" /><Relationship Type="http://schemas.openxmlformats.org/officeDocument/2006/relationships/hyperlink" Id="rId62" Target="https://help.zapier.com/hc/en-us/articles/45394909914381-Set-up-your-agent-s-trigger" TargetMode="External" /><Relationship Type="http://schemas.openxmlformats.org/officeDocument/2006/relationships/hyperlink" Id="rId54" Target="https://linear.app/docs/linear-asks" TargetMode="External" /><Relationship Type="http://schemas.openxmlformats.org/officeDocument/2006/relationships/hyperlink" Id="rId55" Target="https://linear.app/docs/linear-asks-slack" TargetMode="External" /><Relationship Type="http://schemas.openxmlformats.org/officeDocument/2006/relationships/hyperlink" Id="rId56" Target="https://linear.app/docs/slack" TargetMode="External" /><Relationship Type="http://schemas.openxmlformats.org/officeDocument/2006/relationships/hyperlink" Id="rId61" Target="https://www.notion.com/help/ai-meeting-notes" TargetMode="External" /><Relationship Type="http://schemas.openxmlformats.org/officeDocument/2006/relationships/hyperlink" Id="rId60" Target="https://www.usemotion.com/help/project-management/tas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aclanthology.org/2007.sigdial-1.4/" TargetMode="External" /><Relationship Type="http://schemas.openxmlformats.org/officeDocument/2006/relationships/hyperlink" Id="rId51" Target="https://aclanthology.org/2020.acl-main.767/" TargetMode="External" /><Relationship Type="http://schemas.openxmlformats.org/officeDocument/2006/relationships/hyperlink" Id="rId50" Target="https://aclanthology.org/2020.coling-main.164/" TargetMode="External" /><Relationship Type="http://schemas.openxmlformats.org/officeDocument/2006/relationships/hyperlink" Id="rId52" Target="https://aclanthology.org/2022.findings-acl.323/" TargetMode="External" /><Relationship Type="http://schemas.openxmlformats.org/officeDocument/2006/relationships/hyperlink" Id="rId53" Target="https://aclanthology.org/2023.emnlp-main.801/" TargetMode="External" /><Relationship Type="http://schemas.openxmlformats.org/officeDocument/2006/relationships/hyperlink" Id="rId48" Target="https://aclanthology.org/W06-1314/" TargetMode="External" /><Relationship Type="http://schemas.openxmlformats.org/officeDocument/2006/relationships/hyperlink" Id="rId64" Target="https://arxiv.org/abs/2606.04990" TargetMode="External" /><Relationship Type="http://schemas.openxmlformats.org/officeDocument/2006/relationships/hyperlink" Id="rId65" Target="https://arxiv.org/abs/2607.01236" TargetMode="External" /><Relationship Type="http://schemas.openxmlformats.org/officeDocument/2006/relationships/hyperlink" Id="rId66" Target="https://arxiv.org/abs/2607.20827" TargetMode="External" /><Relationship Type="http://schemas.openxmlformats.org/officeDocument/2006/relationships/hyperlink" Id="rId57" Target="https://help.asana.com/s/article/chat-with-asana-in-slack-channels" TargetMode="External" /><Relationship Type="http://schemas.openxmlformats.org/officeDocument/2006/relationships/hyperlink" Id="rId58" Target="https://help.asana.com/s/article/slack-and-asana" TargetMode="External" /><Relationship Type="http://schemas.openxmlformats.org/officeDocument/2006/relationships/hyperlink" Id="rId59" Target="https://help.clickup.com/hc/en-us/articles/19953994898711-Create-items-with-Brain-AI" TargetMode="External" /><Relationship Type="http://schemas.openxmlformats.org/officeDocument/2006/relationships/hyperlink" Id="rId63" Target="https://help.zapier.com/hc/en-us/articles/26028298697485-Use-actions-on-Zapier-Agents" TargetMode="External" /><Relationship Type="http://schemas.openxmlformats.org/officeDocument/2006/relationships/hyperlink" Id="rId62" Target="https://help.zapier.com/hc/en-us/articles/45394909914381-Set-up-your-agent-s-trigger" TargetMode="External" /><Relationship Type="http://schemas.openxmlformats.org/officeDocument/2006/relationships/hyperlink" Id="rId54" Target="https://linear.app/docs/linear-asks" TargetMode="External" /><Relationship Type="http://schemas.openxmlformats.org/officeDocument/2006/relationships/hyperlink" Id="rId55" Target="https://linear.app/docs/linear-asks-slack" TargetMode="External" /><Relationship Type="http://schemas.openxmlformats.org/officeDocument/2006/relationships/hyperlink" Id="rId56" Target="https://linear.app/docs/slack" TargetMode="External" /><Relationship Type="http://schemas.openxmlformats.org/officeDocument/2006/relationships/hyperlink" Id="rId61" Target="https://www.notion.com/help/ai-meeting-notes" TargetMode="External" /><Relationship Type="http://schemas.openxmlformats.org/officeDocument/2006/relationships/hyperlink" Id="rId60" Target="https://www.usemotion.com/help/project-management/tas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2026-09-10T16:08:46Z</dcterms:created>
  <dcterms:modified xsi:type="dcterms:W3CDTF">2026-09-10T16:08:46Z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