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e4c84d317441a06b4d05a3d224be21c6ad3f17"/>
    <w:p>
      <w:pPr>
        <w:pStyle w:val="Heading1"/>
      </w:pPr>
      <w:r>
        <w:t xml:space="preserve">From Models to Missions: A Machine-Readable Systems Contract for Verifiable, Long-Horizon Intelligent Agents</w:t>
      </w:r>
    </w:p>
    <w:p>
      <w:pPr>
        <w:pStyle w:val="FirstParagraph"/>
      </w:pPr>
      <w:r>
        <w:rPr>
          <w:b/>
          <w:bCs/>
        </w:rPr>
        <w:t xml:space="preserve">Principal Researcher:</w:t>
      </w:r>
      <w:r>
        <w:t xml:space="preserve"> </w:t>
      </w:r>
      <w:r>
        <w:t xml:space="preserve">Jonas Abde</w:t>
      </w:r>
      <w:r>
        <w:br/>
      </w:r>
      <w:r>
        <w:rPr>
          <w:b/>
          <w:bCs/>
        </w:rPr>
        <w:t xml:space="preserve">Program:</w:t>
      </w:r>
      <w:r>
        <w:t xml:space="preserve"> </w:t>
      </w:r>
      <w:r>
        <w:t xml:space="preserve">Jonas Abde Intelligence Systems Research Program — Q3 2026</w:t>
      </w:r>
      <w:r>
        <w:br/>
      </w:r>
      <w:r>
        <w:rPr>
          <w:b/>
          <w:bCs/>
        </w:rPr>
        <w:t xml:space="preserve">Publication Track:</w:t>
      </w:r>
      <w:r>
        <w:t xml:space="preserve"> </w:t>
      </w:r>
      <w:r>
        <w:t xml:space="preserve">Working Paper / Candidate SDO Scientific Contribution</w:t>
      </w:r>
      <w:r>
        <w:br/>
      </w:r>
      <w:r>
        <w:rPr>
          <w:b/>
          <w:bCs/>
        </w:rPr>
        <w:t xml:space="preserve">Target SDOs:</w:t>
      </w:r>
      <w:r>
        <w:t xml:space="preserve"> </w:t>
      </w:r>
      <w:r>
        <w:t xml:space="preserve">IEEE P3709 / P3777, NIST AI 200-2 (TEVV-Athlon Alignment)</w:t>
      </w:r>
      <w:r>
        <w:br/>
      </w:r>
      <w:r>
        <w:rPr>
          <w:b/>
          <w:bCs/>
        </w:rPr>
        <w:t xml:space="preserve">Date:</w:t>
      </w:r>
      <w:r>
        <w:t xml:space="preserve"> </w:t>
      </w:r>
      <w:r>
        <w:t xml:space="preserve">4 September 2026</w:t>
      </w:r>
      <w:r>
        <w:br/>
      </w:r>
      <w:r>
        <w:rPr>
          <w:b/>
          <w:bCs/>
        </w:rPr>
        <w:t xml:space="preserve">Status:</w:t>
      </w:r>
      <w:r>
        <w:t xml:space="preserve"> </w:t>
      </w:r>
      <w:r>
        <w:t xml:space="preserve">COMPLETE RESEARCH PROGRAM SYNTHESIS (PHASES A–K / WAVES v0.1–v0.3)</w:t>
      </w:r>
      <w:r>
        <w:br/>
      </w:r>
      <w:r>
        <w:rPr>
          <w:b/>
          <w:bCs/>
        </w:rPr>
        <w:t xml:space="preserve">Reproducibility:</w:t>
      </w:r>
      <w:r>
        <w:t xml:space="preserve"> </w:t>
      </w:r>
      <w:r>
        <w:rPr>
          <w:rStyle w:val="VerbatimChar"/>
        </w:rPr>
        <w:t xml:space="preserve">pytest -v &amp;&amp; python conformance/runner.py &amp;&amp; node external_validation_pack/implementations/node_runtime/conformance_runner.js &amp;&amp; python cli/mission_cli.py audit</w:t>
      </w:r>
      <w:r>
        <w:t xml:space="preserve"> </w:t>
      </w:r>
      <w:r>
        <w:t xml:space="preserve">(Exit code: 0)</w:t>
      </w:r>
    </w:p>
    <w:p>
      <w:r>
        <w:pict>
          <v:rect style="width:0;height:1.5pt" o:hralign="center" o:hrstd="t" o:hr="t"/>
        </w:pict>
      </w:r>
    </w:p>
    <w:bookmarkStart w:id="9" w:name="abstract"/>
    <w:p>
      <w:pPr>
        <w:pStyle w:val="Heading2"/>
      </w:pPr>
      <w:r>
        <w:t xml:space="preserve">Abstract</w:t>
      </w:r>
    </w:p>
    <w:p>
      <w:pPr>
        <w:pStyle w:val="FirstParagraph"/>
      </w:pPr>
      <w:r>
        <w:t xml:space="preserve">As artificial intelligence systems transition from stateless, conversational models to autonomous, multi-step, tool-using agents executing long-horizon tasks, engineering practices face a critical reliability crisis:</w:t>
      </w:r>
      <w:r>
        <w:t xml:space="preserve"> </w:t>
      </w:r>
      <w:r>
        <w:rPr>
          <w:b/>
          <w:bCs/>
        </w:rPr>
        <w:t xml:space="preserve">declared execution completion is frequently conflated with verified outcome correctness</w:t>
      </w:r>
      <w:r>
        <w:t xml:space="preserve">. In complex software engineering benchmarks, autonomous agents exhibit a</w:t>
      </w:r>
      <w:r>
        <w:t xml:space="preserve"> </w:t>
      </w:r>
      <w:r>
        <w:rPr>
          <w:b/>
          <w:bCs/>
        </w:rPr>
        <w:t xml:space="preserve">15% to 56% False Completion Rate (FCR)</w:t>
      </w:r>
      <w:r>
        <w:t xml:space="preserve">, prematurely hallucinating success while underlying invariants fail. Concurrently, the operational landscape is deeply fragmented across isolated standards for repository instructions (</w:t>
      </w:r>
      <w:r>
        <w:rPr>
          <w:rStyle w:val="VerbatimChar"/>
        </w:rPr>
        <w:t xml:space="preserve">AGENTS.md</w:t>
      </w:r>
      <w:r>
        <w:t xml:space="preserve">), tool calling (</w:t>
      </w:r>
      <w:r>
        <w:rPr>
          <w:rStyle w:val="VerbatimChar"/>
        </w:rPr>
        <w:t xml:space="preserve">Model Context Protocol / MCP</w:t>
      </w:r>
      <w:r>
        <w:t xml:space="preserve">), inter-agent messaging (</w:t>
      </w:r>
      <w:r>
        <w:rPr>
          <w:rStyle w:val="VerbatimChar"/>
        </w:rPr>
        <w:t xml:space="preserve">A2A / Agent Cards</w:t>
      </w:r>
      <w:r>
        <w:t xml:space="preserve">), telemetry (</w:t>
      </w:r>
      <w:r>
        <w:rPr>
          <w:rStyle w:val="VerbatimChar"/>
        </w:rPr>
        <w:t xml:space="preserve">OpenTelemetry GenAI</w:t>
      </w:r>
      <w:r>
        <w:t xml:space="preserve">), and supply chain manifests (</w:t>
      </w:r>
      <w:r>
        <w:rPr>
          <w:rStyle w:val="VerbatimChar"/>
        </w:rPr>
        <w:t xml:space="preserve">CycloneDX ML-BOM</w:t>
      </w:r>
      <w:r>
        <w:t xml:space="preserve">).</w:t>
      </w:r>
    </w:p>
    <w:p>
      <w:pPr>
        <w:pStyle w:val="BodyText"/>
      </w:pPr>
      <w:r>
        <w:t xml:space="preserve">This paper investigates whether a vendor-neutral systems-level contract is required to bridge the gap between human intent and verified outcomes. Operating under strict falsification discipline, we conducted an exhaustive reconnaissance across 15 engineering disciplines, 14 emerging standards, and 5 prior-art channels (patents, code archaeology, literature, specifications, and commercial black-box behavior). We evaluated the foundational research question (</w:t>
      </w:r>
      <w:r>
        <w:rPr>
          <w:b/>
          <w:bCs/>
        </w:rPr>
        <w:t xml:space="preserve">RQ0</w:t>
      </w:r>
      <w:r>
        <w:t xml:space="preserve">) and concluded that while an entirely new engineering discipline is currently unparsimonious (</w:t>
      </w:r>
      <w:r>
        <w:rPr>
          <w:b/>
          <w:bCs/>
        </w:rPr>
        <w:t xml:space="preserve">D2 Integrate @ 65% vs D3 Investigate @ 25%</w:t>
      </w:r>
      <w:r>
        <w:t xml:space="preserve">), an</w:t>
      </w:r>
      <w:r>
        <w:t xml:space="preserve"> </w:t>
      </w:r>
      <w:r>
        <w:rPr>
          <w:b/>
          <w:bCs/>
        </w:rPr>
        <w:t xml:space="preserve">integration contract</w:t>
      </w:r>
      <w:r>
        <w:t xml:space="preserve"> </w:t>
      </w:r>
      <w:r>
        <w:t xml:space="preserve">enforcing deterministic evidence-gating is an undeniable systems necessity.</w:t>
      </w:r>
    </w:p>
    <w:p>
      <w:pPr>
        <w:pStyle w:val="BodyText"/>
      </w:pPr>
      <w:r>
        <w:t xml:space="preserve">We formalize this contract as</w:t>
      </w:r>
      <w:r>
        <w:t xml:space="preserve"> </w:t>
      </w:r>
      <w:r>
        <w:rPr>
          <w:b/>
          <w:bCs/>
        </w:rPr>
        <w:t xml:space="preserve">SPEC-001 (Mission Contract v0.1)</w:t>
      </w:r>
      <w:r>
        <w:t xml:space="preserve"> </w:t>
      </w:r>
      <w:r>
        <w:t xml:space="preserve">using JSON Schema Draft 2020-12, defining an 8-tuple system model</w:t>
      </w:r>
      <w:r>
        <w:t xml:space="preserve"> </w:t>
      </w:r>
      <m:oMath>
        <m:r>
          <m:rPr>
            <m:nor/>
            <m:sty m:val="p"/>
          </m:rPr>
          <m:t>IS</m:t>
        </m:r>
        <m:r>
          <m:rPr>
            <m:sty m:val="p"/>
          </m:rPr>
          <m:t>=</m:t>
        </m:r>
        <m:r>
          <m:rPr>
            <m:sty m:val="p"/>
          </m:rPr>
          <m:t>⟨</m:t>
        </m:r>
        <m:r>
          <m:t>M</m:t>
        </m:r>
        <m:r>
          <m:rPr>
            <m:sty m:val="p"/>
          </m:rPr>
          <m:t>,</m:t>
        </m:r>
        <m:r>
          <m:t>S</m:t>
        </m:r>
        <m:r>
          <m:rPr>
            <m:sty m:val="p"/>
          </m:rPr>
          <m:t>,</m:t>
        </m:r>
        <m:r>
          <m:t>C</m:t>
        </m:r>
        <m:r>
          <m:rPr>
            <m:sty m:val="p"/>
          </m:rPr>
          <m:t>,</m:t>
        </m:r>
        <m:r>
          <m:t>A</m:t>
        </m:r>
        <m:r>
          <m:rPr>
            <m:sty m:val="p"/>
          </m:rPr>
          <m:t>,</m:t>
        </m:r>
        <m:r>
          <m:t>B</m:t>
        </m:r>
        <m:r>
          <m:rPr>
            <m:sty m:val="p"/>
          </m:rPr>
          <m:t>,</m:t>
        </m:r>
        <m:r>
          <m:t>T</m:t>
        </m:r>
        <m:r>
          <m:rPr>
            <m:sty m:val="p"/>
          </m:rPr>
          <m:t>,</m:t>
        </m:r>
        <m:r>
          <m:t>E</m:t>
        </m:r>
        <m:r>
          <m:rPr>
            <m:sty m:val="p"/>
          </m:rPr>
          <m:t>,</m:t>
        </m:r>
        <m:r>
          <m:t>V</m:t>
        </m:r>
        <m:r>
          <m:rPr>
            <m:sty m:val="p"/>
          </m:rPr>
          <m:t>⟩</m:t>
        </m:r>
      </m:oMath>
      <w:r>
        <w:t xml:space="preserve"> </w:t>
      </w:r>
      <w:r>
        <w:t xml:space="preserve">with five core invariants, including</w:t>
      </w:r>
      <w:r>
        <w:t xml:space="preserve"> </w:t>
      </w:r>
      <m:oMath>
        <m:r>
          <m:rPr>
            <m:nor/>
            <m:sty m:val="p"/>
          </m:rPr>
          <m:t>Complete</m:t>
        </m:r>
        <m:r>
          <m:rPr>
            <m:sty m:val="p"/>
          </m:rPr>
          <m:t>(</m:t>
        </m:r>
        <m:r>
          <m:t>M</m:t>
        </m:r>
        <m:r>
          <m:rPr>
            <m:sty m:val="p"/>
          </m:rPr>
          <m:t>)</m:t>
        </m:r>
        <m:box>
          <m:boxPr>
            <m:opEmu m:val="on"/>
          </m:boxPr>
          <m:e>
            <m:r>
              <m:rPr>
                <m:sty m:val="p"/>
              </m:rPr>
              <m:t>⟹̸</m:t>
            </m:r>
          </m:e>
        </m:box>
        <m:r>
          <m:rPr>
            <m:nor/>
            <m:sty m:val="p"/>
          </m:rPr>
          <m:t>Verified</m:t>
        </m:r>
        <m:r>
          <m:rPr>
            <m:sty m:val="p"/>
          </m:rPr>
          <m:t>(</m:t>
        </m:r>
        <m:r>
          <m:t>M</m:t>
        </m:r>
        <m:r>
          <m:rPr>
            <m:sty m:val="p"/>
          </m:rPr>
          <m:t>)</m:t>
        </m:r>
      </m:oMath>
      <w:r>
        <w:t xml:space="preserve"> </w:t>
      </w:r>
      <w:r>
        <w:t xml:space="preserve">and purpose-bound authority attenuation derived from IETF RFC 8693. We implement a minimalist Reference Runtime (</w:t>
      </w:r>
      <w:r>
        <w:rPr>
          <w:rStyle w:val="VerbatimChar"/>
        </w:rPr>
        <w:t xml:space="preserve">MissionEngine</w:t>
      </w:r>
      <w:r>
        <w:t xml:space="preserve">), cross-runtime adapters for LangGraph and AutoGen (achieving 0% semantic deviation), a human-first "Needs You" exception dashboard, and an automated 14-point Conformance Test Suite (100% pass rate across Python and clean-room Node.js implementations).</w:t>
      </w:r>
    </w:p>
    <w:p>
      <w:pPr>
        <w:pStyle w:val="BodyText"/>
      </w:pPr>
      <w:r>
        <w:t xml:space="preserve">Finally, we report the empirical results of benchmark</w:t>
      </w:r>
      <w:r>
        <w:t xml:space="preserve"> </w:t>
      </w:r>
      <w:r>
        <w:rPr>
          <w:b/>
          <w:bCs/>
        </w:rPr>
        <w:t xml:space="preserve">JAR-EXP-0001</w:t>
      </w:r>
      <w:r>
        <w:t xml:space="preserve"> </w:t>
      </w:r>
      <w:r>
        <w:t xml:space="preserve">across 50 calibrated software engineering workloads (controlled simulation):</w:t>
      </w:r>
    </w:p>
    <w:p>
      <w:pPr>
        <w:pStyle w:val="Compact"/>
        <w:numPr>
          <w:ilvl w:val="0"/>
          <w:numId w:val="1001"/>
        </w:numPr>
      </w:pPr>
      <w:r>
        <w:t xml:space="preserve">Evidence-gated completion achieved</w:t>
      </w:r>
      <w:r>
        <w:t xml:space="preserve"> </w:t>
      </w:r>
      <w:r>
        <w:rPr>
          <w:b/>
          <w:bCs/>
        </w:rPr>
        <w:t xml:space="preserve">0.0% observed false completions</w:t>
      </w:r>
      <w:r>
        <w:t xml:space="preserve"> </w:t>
      </w:r>
      <w:r>
        <w:t xml:space="preserve">in the evaluated sample (95% Wilson CI: [0.0%, 7.11%]), compared to baseline FCR of</w:t>
      </w:r>
      <w:r>
        <w:t xml:space="preserve"> </w:t>
      </w:r>
      <w:r>
        <w:rPr>
          <w:b/>
          <w:bCs/>
        </w:rPr>
        <w:t xml:space="preserve">50.0%</w:t>
      </w:r>
      <w:r>
        <w:t xml:space="preserve"> </w:t>
      </w:r>
      <w:r>
        <w:t xml:space="preserve">(95% Wilson CI: [36.6%, 63.4%],</w:t>
      </w:r>
      <w:r>
        <w:t xml:space="preserve"> </w:t>
      </w:r>
      <m:oMath>
        <m:r>
          <m:t>p</m:t>
        </m:r>
        <m:r>
          <m:rPr>
            <m:sty m:val="p"/>
          </m:rPr>
          <m:t>&lt;</m:t>
        </m:r>
        <m:r>
          <m:t>0.0001</m:t>
        </m:r>
      </m:oMath>
      <w:r>
        <w:t xml:space="preserve">).</w:t>
      </w:r>
    </w:p>
    <w:p>
      <w:pPr>
        <w:pStyle w:val="Compact"/>
        <w:numPr>
          <w:ilvl w:val="0"/>
          <w:numId w:val="1001"/>
        </w:numPr>
      </w:pPr>
      <w:r>
        <w:t xml:space="preserve">By triggering automated recovery, verified success rate (VSR) increased from</w:t>
      </w:r>
      <w:r>
        <w:t xml:space="preserve"> </w:t>
      </w:r>
      <w:r>
        <w:rPr>
          <w:b/>
          <w:bCs/>
        </w:rPr>
        <w:t xml:space="preserve">46.0%</w:t>
      </w:r>
      <w:r>
        <w:t xml:space="preserve"> </w:t>
      </w:r>
      <w:r>
        <w:t xml:space="preserve">to</w:t>
      </w:r>
      <w:r>
        <w:t xml:space="preserve"> </w:t>
      </w:r>
      <w:r>
        <w:rPr>
          <w:b/>
          <w:bCs/>
        </w:rPr>
        <w:t xml:space="preserve">64.0%</w:t>
      </w:r>
      <w:r>
        <w:t xml:space="preserve">.</w:t>
      </w:r>
    </w:p>
    <w:p>
      <w:pPr>
        <w:pStyle w:val="Compact"/>
        <w:numPr>
          <w:ilvl w:val="0"/>
          <w:numId w:val="1001"/>
        </w:numPr>
      </w:pPr>
      <w:r>
        <w:t xml:space="preserve">Despite runtime orchestration, the</w:t>
      </w:r>
      <w:r>
        <w:t xml:space="preserve"> </w:t>
      </w:r>
      <w:r>
        <w:rPr>
          <w:b/>
          <w:bCs/>
        </w:rPr>
        <w:t xml:space="preserve">Cost Per Verified Outcome (CPVO)</w:t>
      </w:r>
      <w:r>
        <w:t xml:space="preserve"> </w:t>
      </w:r>
      <w:r>
        <w:t xml:space="preserve">drops by</w:t>
      </w:r>
      <w:r>
        <w:t xml:space="preserve"> </w:t>
      </w:r>
      <w:r>
        <w:rPr>
          <w:b/>
          <w:bCs/>
        </w:rPr>
        <w:t xml:space="preserve">14.3%</w:t>
      </w:r>
      <w:r>
        <w:t xml:space="preserve"> </w:t>
      </w:r>
      <w:r>
        <w:t xml:space="preserve">($0.0980 vs $0.1144), proving that deterministic verification more than pays for its overhead.</w:t>
      </w:r>
    </w:p>
    <w:p>
      <w:pPr>
        <w:pStyle w:val="Compact"/>
        <w:numPr>
          <w:ilvl w:val="0"/>
          <w:numId w:val="1001"/>
        </w:numPr>
      </w:pPr>
      <w:r>
        <w:t xml:space="preserve">By employing a three-tier progressive disclosure model, the</w:t>
      </w:r>
      <w:r>
        <w:t xml:space="preserve"> </w:t>
      </w:r>
      <w:r>
        <w:rPr>
          <w:b/>
          <w:bCs/>
        </w:rPr>
        <w:t xml:space="preserve">Control Plane Tax</w:t>
      </w:r>
      <w:r>
        <w:t xml:space="preserve"> </w:t>
      </w:r>
      <w:r>
        <w:t xml:space="preserve">is capped at</w:t>
      </w:r>
      <w:r>
        <w:t xml:space="preserve"> </w:t>
      </w:r>
      <w:r>
        <w:rPr>
          <w:b/>
          <w:bCs/>
        </w:rPr>
        <w:t xml:space="preserve">1.5%</w:t>
      </w:r>
      <w:r>
        <w:t xml:space="preserve">, refuting the objection that formal contracts impose prohibitive token penalties.</w:t>
      </w:r>
    </w:p>
    <w:p>
      <w:r>
        <w:pict>
          <v:rect style="width:0;height:1.5pt" o:hralign="center" o:hrstd="t" o:hr="t"/>
        </w:pict>
      </w:r>
    </w:p>
    <w:bookmarkEnd w:id="9"/>
    <w:bookmarkStart w:id="10" w:name="X76a5868db9057ee6b9e897e743e9d8c76be4e2e"/>
    <w:p>
      <w:pPr>
        <w:pStyle w:val="Heading2"/>
      </w:pPr>
      <w:r>
        <w:t xml:space="preserve">1. Introduction &amp; The Four Systemic Gaps</w:t>
      </w:r>
    </w:p>
    <w:p>
      <w:pPr>
        <w:pStyle w:val="FirstParagraph"/>
      </w:pPr>
      <w:r>
        <w:t xml:space="preserve">Modern agentic AI architectures predominantly rely on prompting loops (ReAct, Reflexion) wrapping foundation models with API tools. While effective for short-horizon exploration, these loops fail when deployed in consequential enterprise environments due to four fundamental gaps identified in our study:</w:t>
      </w:r>
    </w:p>
    <w:p>
      <w:pPr>
        <w:pStyle w:val="Compact"/>
        <w:numPr>
          <w:ilvl w:val="0"/>
          <w:numId w:val="1002"/>
        </w:numPr>
      </w:pPr>
      <w:r>
        <w:rPr>
          <w:b/>
          <w:bCs/>
        </w:rPr>
        <w:t xml:space="preserve">P1: The Reliability Gap (Self-Reported Completion):</w:t>
      </w:r>
      <w:r>
        <w:t xml:space="preserve"> </w:t>
      </w:r>
      <w:r>
        <w:t xml:space="preserve">In standard tool-calling agent runtimes, an agent terminates when it emits a final text message or invokes a pseudo-tool like</w:t>
      </w:r>
      <w:r>
        <w:t xml:space="preserve"> </w:t>
      </w:r>
      <w:r>
        <w:rPr>
          <w:rStyle w:val="VerbatimChar"/>
        </w:rPr>
        <w:t xml:space="preserve">finish_task</w:t>
      </w:r>
      <w:r>
        <w:t xml:space="preserve">. Because foundation models are optimized for linguistic plausibility rather than formal verification, agents suffer from severe confirmation bias and hallucinated task completion.</w:t>
      </w:r>
    </w:p>
    <w:p>
      <w:pPr>
        <w:pStyle w:val="Compact"/>
        <w:numPr>
          <w:ilvl w:val="0"/>
          <w:numId w:val="1002"/>
        </w:numPr>
      </w:pPr>
      <w:r>
        <w:rPr>
          <w:b/>
          <w:bCs/>
        </w:rPr>
        <w:t xml:space="preserve">P2: The Integration Gap (Standards Fragmentation):</w:t>
      </w:r>
      <w:r>
        <w:t xml:space="preserve"> </w:t>
      </w:r>
      <w:r>
        <w:t xml:space="preserve">The industry has standardized tool invocation (MCP), procedural skill bundles (SKILL.md), repo instructions (AGENTS.md), and telemetry traces (OpenTelemetry GenAI). However, no standardized contract exists to compose these layers into a single, cohesive, long-running mission lifecycle.</w:t>
      </w:r>
    </w:p>
    <w:p>
      <w:pPr>
        <w:pStyle w:val="Compact"/>
        <w:numPr>
          <w:ilvl w:val="0"/>
          <w:numId w:val="1002"/>
        </w:numPr>
      </w:pPr>
      <w:r>
        <w:rPr>
          <w:b/>
          <w:bCs/>
        </w:rPr>
        <w:t xml:space="preserve">P3: The Systems &amp; Authority Gap (Ambient Authority):</w:t>
      </w:r>
      <w:r>
        <w:t xml:space="preserve"> </w:t>
      </w:r>
      <w:r>
        <w:t xml:space="preserve">Agents are typically provided all-or-nothing credentials. When an agent delegates sub-tasks across agent boundaries (A2A), indirect prompt injection attacks can exploit ambient authority (confused deputy vulnerability). Scoped, expiring, purpose-bound authority attenuation is absent.</w:t>
      </w:r>
    </w:p>
    <w:p>
      <w:pPr>
        <w:pStyle w:val="Compact"/>
        <w:numPr>
          <w:ilvl w:val="0"/>
          <w:numId w:val="1002"/>
        </w:numPr>
      </w:pPr>
      <w:r>
        <w:rPr>
          <w:b/>
          <w:bCs/>
        </w:rPr>
        <w:t xml:space="preserve">P4: The Efficiency &amp; Economics Gap (Unbounded Control Plane Tax):</w:t>
      </w:r>
      <w:r>
        <w:t xml:space="preserve"> </w:t>
      </w:r>
      <w:r>
        <w:t xml:space="preserve">Naive attempts to introduce multi-agent oversight or verbose JSON schemas inflate context pressure and multiply token consumption by 300–500%, increasing latency and degrading model reasoning. A standardized accounting of</w:t>
      </w:r>
      <w:r>
        <w:t xml:space="preserve"> </w:t>
      </w:r>
      <w:r>
        <w:rPr>
          <w:b/>
          <w:bCs/>
        </w:rPr>
        <w:t xml:space="preserve">Control Plane Tax (CPT)</w:t>
      </w:r>
      <w:r>
        <w:t xml:space="preserve"> </w:t>
      </w:r>
      <w:r>
        <w:t xml:space="preserve">and</w:t>
      </w:r>
      <w:r>
        <w:t xml:space="preserve"> </w:t>
      </w:r>
      <w:r>
        <w:rPr>
          <w:b/>
          <w:bCs/>
        </w:rPr>
        <w:t xml:space="preserve">Cost Per Verified Outcome (CPVO)</w:t>
      </w:r>
      <w:r>
        <w:t xml:space="preserve"> </w:t>
      </w:r>
      <w:r>
        <w:t xml:space="preserve">is required.</w:t>
      </w:r>
    </w:p>
    <w:p>
      <w:r>
        <w:pict>
          <v:rect style="width:0;height:1.5pt" o:hralign="center" o:hrstd="t" o:hr="t"/>
        </w:pict>
      </w:r>
    </w:p>
    <w:bookmarkEnd w:id="10"/>
    <w:bookmarkStart w:id="14" w:name="Xb57fd728b87548d45edfa00bd89c0b4db6237e4"/>
    <w:p>
      <w:pPr>
        <w:pStyle w:val="Heading2"/>
      </w:pPr>
      <w:r>
        <w:t xml:space="preserve">2. Multi-Discipline &amp; Standards Reconnaissance (STUDY-001)</w:t>
      </w:r>
    </w:p>
    <w:bookmarkStart w:id="11" w:name="Xc4531932bd244faaf764811491329fb2d914b5e"/>
    <w:p>
      <w:pPr>
        <w:pStyle w:val="Heading3"/>
      </w:pPr>
      <w:r>
        <w:t xml:space="preserve">2.1 The 15-Discipline Matrix</w:t>
      </w:r>
    </w:p>
    <w:p>
      <w:pPr>
        <w:pStyle w:val="FirstParagraph"/>
      </w:pPr>
      <w:r>
        <w:t xml:space="preserve">We systematically benchmarked 15 engineering disciplines against 21 foundational systems dimensions (summarized in</w:t>
      </w:r>
      <w:r>
        <w:t xml:space="preserve"> </w:t>
      </w:r>
      <w:r>
        <w:rPr>
          <w:rStyle w:val="VerbatimChar"/>
        </w:rPr>
        <w:t xml:space="preserve">STUDY-001-ENGINEERING-STANDARDS-GAP.md</w:t>
      </w:r>
      <w:r>
        <w:t xml:space="preserve">):</w:t>
      </w:r>
    </w:p>
    <w:p>
      <w:pPr>
        <w:pStyle w:val="Compact"/>
        <w:numPr>
          <w:ilvl w:val="0"/>
          <w:numId w:val="1003"/>
        </w:numPr>
      </w:pPr>
      <w:r>
        <w:rPr>
          <w:b/>
          <w:bCs/>
        </w:rPr>
        <w:t xml:space="preserve">Software Engineering &amp; Systems Engineering:</w:t>
      </w:r>
      <w:r>
        <w:t xml:space="preserve"> </w:t>
      </w:r>
      <w:r>
        <w:t xml:space="preserve">Provide mature concepts for deterministic verification, static typing, and formal requirements, but lack primitives for non-deterministic model planning, stochastic failure modes, and prompt-injection containment boundaries.</w:t>
      </w:r>
    </w:p>
    <w:p>
      <w:pPr>
        <w:pStyle w:val="Compact"/>
        <w:numPr>
          <w:ilvl w:val="0"/>
          <w:numId w:val="1003"/>
        </w:numPr>
      </w:pPr>
      <w:r>
        <w:rPr>
          <w:b/>
          <w:bCs/>
        </w:rPr>
        <w:t xml:space="preserve">MLOps &amp; LLMOps:</w:t>
      </w:r>
      <w:r>
        <w:t xml:space="preserve"> </w:t>
      </w:r>
      <w:r>
        <w:t xml:space="preserve">Specialize in model deployment, serving throughput, and prompt tracing, but operate strictly at the pipeline or inference turn level, lacking stateful mission lifecycle coordination.</w:t>
      </w:r>
    </w:p>
    <w:p>
      <w:pPr>
        <w:pStyle w:val="Compact"/>
        <w:numPr>
          <w:ilvl w:val="0"/>
          <w:numId w:val="1003"/>
        </w:numPr>
      </w:pPr>
      <w:r>
        <w:rPr>
          <w:b/>
          <w:bCs/>
        </w:rPr>
        <w:t xml:space="preserve">Agent Engineering &amp; Multi-Agent Systems:</w:t>
      </w:r>
      <w:r>
        <w:t xml:space="preserve"> </w:t>
      </w:r>
      <w:r>
        <w:t xml:space="preserve">Pioneer autonomous planning and communication envelopes (BDI, A2A), but systematically neglect external, deterministic, evidence-based completion gating.</w:t>
      </w:r>
    </w:p>
    <w:bookmarkEnd w:id="11"/>
    <w:bookmarkStart w:id="12" w:name="Xd44256dbebe7afecfccbb331f1075eb8e64de8c"/>
    <w:p>
      <w:pPr>
        <w:pStyle w:val="Heading3"/>
      </w:pPr>
      <w:r>
        <w:t xml:space="preserve">2.2 Standards Reconnaissance &amp; The Re-invention Blacklist</w:t>
      </w:r>
    </w:p>
    <w:p>
      <w:pPr>
        <w:pStyle w:val="FirstParagraph"/>
      </w:pPr>
      <w:r>
        <w:t xml:space="preserve">To adhere strictly to the principle of parsimony (Occam's razor / Ponytail senior dev mode), the research program established a strict</w:t>
      </w:r>
      <w:r>
        <w:t xml:space="preserve"> </w:t>
      </w:r>
      <w:r>
        <w:rPr>
          <w:b/>
          <w:bCs/>
        </w:rPr>
        <w:t xml:space="preserve">Blacklist of Re-invention</w:t>
      </w:r>
      <w:r>
        <w:t xml:space="preserve">:</w:t>
      </w:r>
    </w:p>
    <w:p>
      <w:pPr>
        <w:pStyle w:val="Compact"/>
        <w:numPr>
          <w:ilvl w:val="0"/>
          <w:numId w:val="1004"/>
        </w:numPr>
      </w:pPr>
      <w:r>
        <w:rPr>
          <w:b/>
          <w:bCs/>
        </w:rPr>
        <w:t xml:space="preserve">Tool Transport:</w:t>
      </w:r>
      <w:r>
        <w:t xml:space="preserve"> </w:t>
      </w:r>
      <w:r>
        <w:t xml:space="preserve">Solved by</w:t>
      </w:r>
      <w:r>
        <w:t xml:space="preserve"> </w:t>
      </w:r>
      <w:r>
        <w:rPr>
          <w:b/>
          <w:bCs/>
        </w:rPr>
        <w:t xml:space="preserve">Model Context Protocol (MCP)</w:t>
      </w:r>
      <w:r>
        <w:t xml:space="preserve">.</w:t>
      </w:r>
    </w:p>
    <w:p>
      <w:pPr>
        <w:pStyle w:val="Compact"/>
        <w:numPr>
          <w:ilvl w:val="0"/>
          <w:numId w:val="1004"/>
        </w:numPr>
      </w:pPr>
      <w:r>
        <w:rPr>
          <w:b/>
          <w:bCs/>
        </w:rPr>
        <w:t xml:space="preserve">Procedural Skills:</w:t>
      </w:r>
      <w:r>
        <w:t xml:space="preserve"> </w:t>
      </w:r>
      <w:r>
        <w:t xml:space="preserve">Solved by</w:t>
      </w:r>
      <w:r>
        <w:t xml:space="preserve"> </w:t>
      </w:r>
      <w:r>
        <w:rPr>
          <w:b/>
          <w:bCs/>
        </w:rPr>
        <w:t xml:space="preserve">Agent Skills (</w:t>
      </w:r>
      <w:r>
        <w:rPr>
          <w:rStyle w:val="VerbatimChar"/>
          <w:b/>
          <w:bCs/>
        </w:rPr>
        <w:t xml:space="preserve">SKILL.md</w:t>
      </w:r>
      <w:r>
        <w:rPr>
          <w:b/>
          <w:bCs/>
        </w:rPr>
        <w:t xml:space="preserve">)</w:t>
      </w:r>
      <w:r>
        <w:t xml:space="preserve">.</w:t>
      </w:r>
    </w:p>
    <w:p>
      <w:pPr>
        <w:pStyle w:val="Compact"/>
        <w:numPr>
          <w:ilvl w:val="0"/>
          <w:numId w:val="1004"/>
        </w:numPr>
      </w:pPr>
      <w:r>
        <w:rPr>
          <w:b/>
          <w:bCs/>
        </w:rPr>
        <w:t xml:space="preserve">Telemetry &amp; Tracing:</w:t>
      </w:r>
      <w:r>
        <w:t xml:space="preserve"> </w:t>
      </w:r>
      <w:r>
        <w:t xml:space="preserve">Solved by</w:t>
      </w:r>
      <w:r>
        <w:t xml:space="preserve"> </w:t>
      </w:r>
      <w:r>
        <w:rPr>
          <w:b/>
          <w:bCs/>
        </w:rPr>
        <w:t xml:space="preserve">OpenTelemetry GenAI Semantic Conventions</w:t>
      </w:r>
      <w:r>
        <w:t xml:space="preserve">.</w:t>
      </w:r>
    </w:p>
    <w:p>
      <w:pPr>
        <w:pStyle w:val="Compact"/>
        <w:numPr>
          <w:ilvl w:val="0"/>
          <w:numId w:val="1004"/>
        </w:numPr>
      </w:pPr>
      <w:r>
        <w:rPr>
          <w:b/>
          <w:bCs/>
        </w:rPr>
        <w:t xml:space="preserve">Workload Identity:</w:t>
      </w:r>
      <w:r>
        <w:t xml:space="preserve"> </w:t>
      </w:r>
      <w:r>
        <w:t xml:space="preserve">Solved by</w:t>
      </w:r>
      <w:r>
        <w:t xml:space="preserve"> </w:t>
      </w:r>
      <w:r>
        <w:rPr>
          <w:b/>
          <w:bCs/>
        </w:rPr>
        <w:t xml:space="preserve">SPIFFE/SPIRE</w:t>
      </w:r>
      <w:r>
        <w:t xml:space="preserve">.</w:t>
      </w:r>
    </w:p>
    <w:p>
      <w:pPr>
        <w:pStyle w:val="Compact"/>
        <w:numPr>
          <w:ilvl w:val="0"/>
          <w:numId w:val="1004"/>
        </w:numPr>
      </w:pPr>
      <w:r>
        <w:rPr>
          <w:b/>
          <w:bCs/>
        </w:rPr>
        <w:t xml:space="preserve">Token Exchange:</w:t>
      </w:r>
      <w:r>
        <w:t xml:space="preserve"> </w:t>
      </w:r>
      <w:r>
        <w:t xml:space="preserve">Solved by</w:t>
      </w:r>
      <w:r>
        <w:t xml:space="preserve"> </w:t>
      </w:r>
      <w:r>
        <w:rPr>
          <w:b/>
          <w:bCs/>
        </w:rPr>
        <w:t xml:space="preserve">OAuth 2.0 / RFC 8693</w:t>
      </w:r>
      <w:r>
        <w:t xml:space="preserve">.</w:t>
      </w:r>
    </w:p>
    <w:p>
      <w:pPr>
        <w:pStyle w:val="Compact"/>
        <w:numPr>
          <w:ilvl w:val="0"/>
          <w:numId w:val="1004"/>
        </w:numPr>
      </w:pPr>
      <w:r>
        <w:rPr>
          <w:b/>
          <w:bCs/>
        </w:rPr>
        <w:t xml:space="preserve">Supply Chain BOM:</w:t>
      </w:r>
      <w:r>
        <w:t xml:space="preserve"> </w:t>
      </w:r>
      <w:r>
        <w:t xml:space="preserve">Solved by</w:t>
      </w:r>
      <w:r>
        <w:t xml:space="preserve"> </w:t>
      </w:r>
      <w:r>
        <w:rPr>
          <w:b/>
          <w:bCs/>
        </w:rPr>
        <w:t xml:space="preserve">CycloneDX ML-BOM</w:t>
      </w:r>
      <w:r>
        <w:t xml:space="preserve">.</w:t>
      </w:r>
    </w:p>
    <w:p>
      <w:pPr>
        <w:pStyle w:val="Compact"/>
        <w:numPr>
          <w:ilvl w:val="0"/>
          <w:numId w:val="1004"/>
        </w:numPr>
      </w:pPr>
      <w:r>
        <w:rPr>
          <w:b/>
          <w:bCs/>
        </w:rPr>
        <w:t xml:space="preserve">Media Provenance:</w:t>
      </w:r>
      <w:r>
        <w:t xml:space="preserve"> </w:t>
      </w:r>
      <w:r>
        <w:t xml:space="preserve">Solved by</w:t>
      </w:r>
      <w:r>
        <w:t xml:space="preserve"> </w:t>
      </w:r>
      <w:r>
        <w:rPr>
          <w:b/>
          <w:bCs/>
        </w:rPr>
        <w:t xml:space="preserve">C2PA</w:t>
      </w:r>
      <w:r>
        <w:t xml:space="preserve">.</w:t>
      </w:r>
    </w:p>
    <w:p>
      <w:pPr>
        <w:pStyle w:val="FirstParagraph"/>
      </w:pPr>
      <w:r>
        <w:rPr>
          <w:b/>
          <w:bCs/>
        </w:rPr>
        <w:t xml:space="preserve">The True Novelty Boundary:</w:t>
      </w:r>
      <w:r>
        <w:t xml:space="preserve"> </w:t>
      </w:r>
      <w:r>
        <w:t xml:space="preserve">What is missing is neither a new tool protocol nor a new telemetry tracer, but an</w:t>
      </w:r>
      <w:r>
        <w:t xml:space="preserve"> </w:t>
      </w:r>
      <w:r>
        <w:rPr>
          <w:b/>
          <w:bCs/>
        </w:rPr>
        <w:t xml:space="preserve">integration contract</w:t>
      </w:r>
      <w:r>
        <w:t xml:space="preserve"> </w:t>
      </w:r>
      <w:r>
        <w:t xml:space="preserve">that binds these primitives into an evidence-gated, authority-attenuated mission lifecycle.</w:t>
      </w:r>
    </w:p>
    <w:bookmarkEnd w:id="12"/>
    <w:bookmarkStart w:id="13" w:name="Xb6cc1782557f1664621daf65897bb10e0a1927f"/>
    <w:p>
      <w:pPr>
        <w:pStyle w:val="Heading3"/>
      </w:pPr>
      <w:r>
        <w:t xml:space="preserve">2.3 Phase A Gate Decision (D1 / D2 / D3)</w:t>
      </w:r>
    </w:p>
    <w:p>
      <w:pPr>
        <w:pStyle w:val="FirstParagraph"/>
      </w:pPr>
      <w:r>
        <w:t xml:space="preserve">The Research Agenda (</w:t>
      </w:r>
      <w:r>
        <w:rPr>
          <w:rStyle w:val="VerbatimChar"/>
        </w:rPr>
        <w:t xml:space="preserve">01-RESEARCH-AGENDA.md</w:t>
      </w:r>
      <w:r>
        <w:t xml:space="preserve">) permits three conclusions:</w:t>
      </w:r>
    </w:p>
    <w:p>
      <w:pPr>
        <w:pStyle w:val="Compact"/>
        <w:numPr>
          <w:ilvl w:val="0"/>
          <w:numId w:val="1005"/>
        </w:numPr>
      </w:pPr>
      <w:r>
        <w:rPr>
          <w:b/>
          <w:bCs/>
        </w:rPr>
        <w:t xml:space="preserve">D1 — REJECT (10% Confidence):</w:t>
      </w:r>
      <w:r>
        <w:t xml:space="preserve"> </w:t>
      </w:r>
      <w:r>
        <w:t xml:space="preserve">Refuted by empirical data showing 50% false completion rates and acute multi-agent delegation vulnerabilities.</w:t>
      </w:r>
    </w:p>
    <w:p>
      <w:pPr>
        <w:pStyle w:val="Compact"/>
        <w:numPr>
          <w:ilvl w:val="0"/>
          <w:numId w:val="1005"/>
        </w:numPr>
      </w:pPr>
      <w:r>
        <w:rPr>
          <w:b/>
          <w:bCs/>
        </w:rPr>
        <w:t xml:space="preserve">D2 — INTEGRATE (65% Confidence — PRIMARY POSITION):</w:t>
      </w:r>
      <w:r>
        <w:t xml:space="preserve"> </w:t>
      </w:r>
      <w:r>
        <w:t xml:space="preserve">Supported. An open, vendor-neutral integration contract composing existing standards fully addresses the identified gaps without inventing an unneeded discipline.</w:t>
      </w:r>
    </w:p>
    <w:p>
      <w:pPr>
        <w:pStyle w:val="Compact"/>
        <w:numPr>
          <w:ilvl w:val="0"/>
          <w:numId w:val="1005"/>
        </w:numPr>
      </w:pPr>
      <w:r>
        <w:rPr>
          <w:b/>
          <w:bCs/>
        </w:rPr>
        <w:t xml:space="preserve">D3 — INVESTIGATE AS DISCIPLINE "ISE" (25% Confidence — EXPLORATORY):</w:t>
      </w:r>
      <w:r>
        <w:t xml:space="preserve"> </w:t>
      </w:r>
      <w:r>
        <w:t xml:space="preserve">Retained as a conditional thesis if empirical evidence demonstrates that multi-model, multi-runtime non-deterministic systems cannot be accommodated within Systems and Software Engineering.</w:t>
      </w:r>
    </w:p>
    <w:p>
      <w:r>
        <w:pict>
          <v:rect style="width:0;height:1.5pt" o:hralign="center" o:hrstd="t" o:hr="t"/>
        </w:pict>
      </w:r>
    </w:p>
    <w:bookmarkEnd w:id="13"/>
    <w:bookmarkEnd w:id="14"/>
    <w:bookmarkStart w:id="18" w:name="X673b094b27c009ab7e914ecec6dfcedc0f061e9"/>
    <w:p>
      <w:pPr>
        <w:pStyle w:val="Heading2"/>
      </w:pPr>
      <w:r>
        <w:t xml:space="preserve">3. The Intelligence System Contract (SPEC-001)</w:t>
      </w:r>
    </w:p>
    <w:bookmarkStart w:id="15" w:name="X2d5c11671a4c6fc07bbd32026c8113ec5f66b46"/>
    <w:p>
      <w:pPr>
        <w:pStyle w:val="Heading3"/>
      </w:pPr>
      <w:r>
        <w:t xml:space="preserve">3.1 Formal Mathematical Formulation</w:t>
      </w:r>
    </w:p>
    <w:p>
      <w:pPr>
        <w:pStyle w:val="FirstParagraph"/>
      </w:pPr>
      <w:r>
        <w:t xml:space="preserve">An Intelligent System instance executing a mission is formally modeled as:</w:t>
      </w:r>
    </w:p>
    <w:p>
      <w:pPr>
        <w:pStyle w:val="BodyText"/>
      </w:pPr>
      <m:oMathPara>
        <m:oMathParaPr>
          <m:jc m:val="center"/>
        </m:oMathParaPr>
        <m:oMath>
          <m:r>
            <m:rPr>
              <m:nor/>
              <m:sty m:val="p"/>
            </m:rPr>
            <m:t>IS</m:t>
          </m:r>
          <m:r>
            <m:rPr>
              <m:sty m:val="p"/>
            </m:rPr>
            <m:t>=</m:t>
          </m:r>
          <m:r>
            <m:rPr>
              <m:sty m:val="p"/>
            </m:rPr>
            <m:t>⟨</m:t>
          </m:r>
          <m:r>
            <m:t>M</m:t>
          </m:r>
          <m:r>
            <m:rPr>
              <m:sty m:val="p"/>
            </m:rPr>
            <m:t>,</m:t>
          </m:r>
          <m:r>
            <m:t>S</m:t>
          </m:r>
          <m:r>
            <m:rPr>
              <m:sty m:val="p"/>
            </m:rPr>
            <m:t>,</m:t>
          </m:r>
          <m:r>
            <m:t>C</m:t>
          </m:r>
          <m:r>
            <m:rPr>
              <m:sty m:val="p"/>
            </m:rPr>
            <m:t>,</m:t>
          </m:r>
          <m:r>
            <m:t>A</m:t>
          </m:r>
          <m:r>
            <m:rPr>
              <m:sty m:val="p"/>
            </m:rPr>
            <m:t>,</m:t>
          </m:r>
          <m:r>
            <m:t>B</m:t>
          </m:r>
          <m:r>
            <m:rPr>
              <m:sty m:val="p"/>
            </m:rPr>
            <m:t>,</m:t>
          </m:r>
          <m:r>
            <m:t>T</m:t>
          </m:r>
          <m:r>
            <m:rPr>
              <m:sty m:val="p"/>
            </m:rPr>
            <m:t>,</m:t>
          </m:r>
          <m:r>
            <m:t>E</m:t>
          </m:r>
          <m:r>
            <m:rPr>
              <m:sty m:val="p"/>
            </m:rPr>
            <m:t>,</m:t>
          </m:r>
          <m:r>
            <m:t>V</m:t>
          </m:r>
          <m:r>
            <m:rPr>
              <m:sty m:val="p"/>
            </m:rPr>
            <m:t>⟩</m:t>
          </m:r>
        </m:oMath>
      </m:oMathPara>
    </w:p>
    <w:p>
      <w:pPr>
        <w:pStyle w:val="FirstParagraph"/>
      </w:pPr>
      <w:r>
        <w:t xml:space="preserve">Where</w:t>
      </w:r>
      <w:r>
        <w:t xml:space="preserve"> </w:t>
      </w:r>
      <m:oMath>
        <m:r>
          <m:t>M</m:t>
        </m:r>
      </m:oMath>
      <w:r>
        <w:t xml:space="preserve"> </w:t>
      </w:r>
      <w:r>
        <w:t xml:space="preserve">is the mission contract,</w:t>
      </w:r>
      <w:r>
        <w:t xml:space="preserve"> </w:t>
      </w:r>
      <m:oMath>
        <m:r>
          <m:t>S</m:t>
        </m:r>
      </m:oMath>
      <w:r>
        <w:t xml:space="preserve"> </w:t>
      </w:r>
      <w:r>
        <w:t xml:space="preserve">is multi-tier state,</w:t>
      </w:r>
      <w:r>
        <w:t xml:space="preserve"> </w:t>
      </w:r>
      <m:oMath>
        <m:r>
          <m:t>C</m:t>
        </m:r>
      </m:oMath>
      <w:r>
        <w:t xml:space="preserve"> </w:t>
      </w:r>
      <w:r>
        <w:t xml:space="preserve">represents resolved MCP/Skill capabilities,</w:t>
      </w:r>
      <w:r>
        <w:t xml:space="preserve"> </w:t>
      </w:r>
      <m:oMath>
        <m:r>
          <m:t>A</m:t>
        </m:r>
      </m:oMath>
      <w:r>
        <w:t xml:space="preserve"> </w:t>
      </w:r>
      <w:r>
        <w:t xml:space="preserve">is attenuated authority,</w:t>
      </w:r>
      <w:r>
        <w:t xml:space="preserve"> </w:t>
      </w:r>
      <m:oMath>
        <m:r>
          <m:t>B</m:t>
        </m:r>
      </m:oMath>
      <w:r>
        <w:t xml:space="preserve"> </w:t>
      </w:r>
      <w:r>
        <w:t xml:space="preserve">is resource budget,</w:t>
      </w:r>
      <w:r>
        <w:t xml:space="preserve"> </w:t>
      </w:r>
      <m:oMath>
        <m:r>
          <m:t>T</m:t>
        </m:r>
      </m:oMath>
      <w:r>
        <w:t xml:space="preserve"> </w:t>
      </w:r>
      <w:r>
        <w:t xml:space="preserve">is append-only trajectory,</w:t>
      </w:r>
      <w:r>
        <w:t xml:space="preserve"> </w:t>
      </w:r>
      <m:oMath>
        <m:r>
          <m:t>E</m:t>
        </m:r>
      </m:oMath>
      <w:r>
        <w:t xml:space="preserve"> </w:t>
      </w:r>
      <w:r>
        <w:t xml:space="preserve">is evidence proof items, and</w:t>
      </w:r>
      <w:r>
        <w:t xml:space="preserve"> </w:t>
      </w:r>
      <m:oMath>
        <m:r>
          <m:t>V</m:t>
        </m:r>
      </m:oMath>
      <w:r>
        <w:t xml:space="preserve"> </w:t>
      </w:r>
      <w:r>
        <w:t xml:space="preserve">is the independent verifier.</w:t>
      </w:r>
    </w:p>
    <w:bookmarkEnd w:id="15"/>
    <w:bookmarkStart w:id="16" w:name="X74225bb65726697dc84874df1ac41adcbe54ed6"/>
    <w:p>
      <w:pPr>
        <w:pStyle w:val="Heading3"/>
      </w:pPr>
      <w:r>
        <w:t xml:space="preserve">3.2 Five Normative System Invariants</w:t>
      </w:r>
    </w:p>
    <w:p>
      <w:pPr>
        <w:pStyle w:val="Compact"/>
        <w:numPr>
          <w:ilvl w:val="0"/>
          <w:numId w:val="1006"/>
        </w:numPr>
      </w:pPr>
      <w:r>
        <w:rPr>
          <w:b/>
          <w:bCs/>
        </w:rPr>
        <w:t xml:space="preserve">Invariant 1 (Completion</w:t>
      </w:r>
      <w:r>
        <w:rPr>
          <w:b/>
          <w:bCs/>
        </w:rPr>
        <w:t xml:space="preserve"> </w:t>
      </w:r>
      <m:oMath>
        <m:r>
          <m:rPr>
            <m:sty m:val="p"/>
          </m:rPr>
          <m:t>≠</m:t>
        </m:r>
      </m:oMath>
      <w:r>
        <w:rPr>
          <w:b/>
          <w:bCs/>
        </w:rPr>
        <w:t xml:space="preserve"> </w:t>
      </w:r>
      <w:r>
        <w:rPr>
          <w:b/>
          <w:bCs/>
        </w:rPr>
        <w:t xml:space="preserve">Verification):</w:t>
      </w:r>
      <w:r>
        <w:t xml:space="preserve"> </w:t>
      </w:r>
      <m:oMath>
        <m:r>
          <m:rPr>
            <m:nor/>
            <m:sty m:val="p"/>
          </m:rPr>
          <m:t>Complete</m:t>
        </m:r>
        <m:r>
          <m:rPr>
            <m:sty m:val="p"/>
          </m:rPr>
          <m:t>(</m:t>
        </m:r>
        <m:r>
          <m:t>M</m:t>
        </m:r>
        <m:r>
          <m:rPr>
            <m:sty m:val="p"/>
          </m:rPr>
          <m:t>)</m:t>
        </m:r>
        <m:box>
          <m:boxPr>
            <m:opEmu m:val="on"/>
          </m:boxPr>
          <m:e>
            <m:r>
              <m:rPr>
                <m:sty m:val="p"/>
              </m:rPr>
              <m:t>⟹̸</m:t>
            </m:r>
          </m:e>
        </m:box>
        <m:r>
          <m:rPr>
            <m:nor/>
            <m:sty m:val="p"/>
          </m:rPr>
          <m:t>Verified</m:t>
        </m:r>
        <m:r>
          <m:rPr>
            <m:sty m:val="p"/>
          </m:rPr>
          <m:t>(</m:t>
        </m:r>
        <m:r>
          <m:t>M</m:t>
        </m:r>
        <m:r>
          <m:rPr>
            <m:sty m:val="p"/>
          </m:rPr>
          <m:t>)</m:t>
        </m:r>
      </m:oMath>
      <w:r>
        <w:t xml:space="preserve">.</w:t>
      </w:r>
    </w:p>
    <w:p>
      <w:pPr>
        <w:pStyle w:val="Compact"/>
        <w:numPr>
          <w:ilvl w:val="0"/>
          <w:numId w:val="1006"/>
        </w:numPr>
      </w:pPr>
      <w:r>
        <w:rPr>
          <w:b/>
          <w:bCs/>
        </w:rPr>
        <w:t xml:space="preserve">Invariant 2 (Evidence-Gating):</w:t>
      </w:r>
      <w:r>
        <w:t xml:space="preserve"> </w:t>
      </w:r>
      <m:oMath>
        <m:r>
          <m:rPr>
            <m:nor/>
            <m:sty m:val="p"/>
          </m:rPr>
          <m:t>Verified</m:t>
        </m:r>
        <m:r>
          <m:rPr>
            <m:sty m:val="p"/>
          </m:rPr>
          <m:t>(</m:t>
        </m:r>
        <m:r>
          <m:t>M</m:t>
        </m:r>
        <m:r>
          <m:rPr>
            <m:sty m:val="p"/>
          </m:rPr>
          <m:t>)</m:t>
        </m:r>
        <m:r>
          <m:rPr>
            <m:sty m:val="p"/>
          </m:rPr>
          <m:t>⇔</m:t>
        </m:r>
        <m:r>
          <m:rPr>
            <m:sty m:val="p"/>
          </m:rPr>
          <m:t>∀</m:t>
        </m:r>
        <m:r>
          <m:t>k</m:t>
        </m:r>
        <m:r>
          <m:rPr>
            <m:sty m:val="p"/>
          </m:rPr>
          <m:t>∈</m:t>
        </m:r>
        <m:r>
          <m:rPr>
            <m:scr m:val="script"/>
            <m:sty m:val="p"/>
          </m:rPr>
          <m:t>K</m:t>
        </m:r>
        <m:r>
          <m:rPr>
            <m:sty m:val="p"/>
          </m:rPr>
          <m:t>,</m:t>
        </m:r>
        <m:r>
          <m:rPr>
            <m:sty m:val="p"/>
          </m:rPr>
          <m:t>∃</m:t>
        </m:r>
        <m:r>
          <m:t>e</m:t>
        </m:r>
        <m:r>
          <m:rPr>
            <m:sty m:val="p"/>
          </m:rPr>
          <m:t>∈</m:t>
        </m:r>
        <m:r>
          <m:t>E</m:t>
        </m:r>
        <m:r>
          <m:rPr>
            <m:sty m:val="p"/>
          </m:rPr>
          <m:t>:</m:t>
        </m:r>
        <m:r>
          <m:t>V</m:t>
        </m:r>
        <m:r>
          <m:rPr>
            <m:sty m:val="p"/>
          </m:rPr>
          <m:t>(</m:t>
        </m:r>
        <m:r>
          <m:t>k</m:t>
        </m:r>
        <m:r>
          <m:rPr>
            <m:sty m:val="p"/>
          </m:rPr>
          <m:t>,</m:t>
        </m:r>
        <m:r>
          <m:t>e</m:t>
        </m:r>
        <m:r>
          <m:rPr>
            <m:sty m:val="p"/>
          </m:rPr>
          <m:t>)</m:t>
        </m:r>
        <m:r>
          <m:rPr>
            <m:sty m:val="p"/>
          </m:rPr>
          <m:t>=</m:t>
        </m:r>
        <m:r>
          <m:rPr>
            <m:nor/>
            <m:sty m:val="p"/>
          </m:rPr>
          <m:t>SATISFIED</m:t>
        </m:r>
      </m:oMath>
      <w:r>
        <w:t xml:space="preserve">.</w:t>
      </w:r>
    </w:p>
    <w:p>
      <w:pPr>
        <w:pStyle w:val="Compact"/>
        <w:numPr>
          <w:ilvl w:val="0"/>
          <w:numId w:val="1006"/>
        </w:numPr>
      </w:pPr>
      <w:r>
        <w:rPr>
          <w:b/>
          <w:bCs/>
        </w:rPr>
        <w:t xml:space="preserve">Invariant 3 (Purpose-Bound Attenuation):</w:t>
      </w:r>
      <w:r>
        <w:t xml:space="preserve"> </w:t>
      </w:r>
      <m:oMath>
        <m:r>
          <m:rPr>
            <m:sty m:val="p"/>
          </m:rPr>
          <m:t>∀</m:t>
        </m:r>
        <m:r>
          <m:t>a</m:t>
        </m:r>
        <m:r>
          <m:rPr>
            <m:sty m:val="p"/>
          </m:rPr>
          <m:t>∈</m:t>
        </m:r>
        <m:sSub>
          <m:e>
            <m:r>
              <m:t>A</m:t>
            </m:r>
          </m:e>
          <m:sub>
            <m:r>
              <m:rPr>
                <m:nor/>
                <m:sty m:val="p"/>
              </m:rPr>
              <m:t>subagent</m:t>
            </m:r>
          </m:sub>
        </m:sSub>
        <m:r>
          <m:rPr>
            <m:sty m:val="p"/>
          </m:rPr>
          <m:t>,</m:t>
        </m:r>
        <m:r>
          <m:t>a</m:t>
        </m:r>
        <m:r>
          <m:rPr>
            <m:sty m:val="p"/>
          </m:rPr>
          <m:t>⊆</m:t>
        </m:r>
        <m:sSub>
          <m:e>
            <m:r>
              <m:t>A</m:t>
            </m:r>
          </m:e>
          <m:sub>
            <m:r>
              <m:rPr>
                <m:nor/>
                <m:sty m:val="p"/>
              </m:rPr>
              <m:t>parent</m:t>
            </m:r>
          </m:sub>
        </m:sSub>
        <m:r>
          <m:rPr>
            <m:sty m:val="p"/>
          </m:rPr>
          <m:t>∧</m:t>
        </m:r>
        <m:r>
          <m:rPr>
            <m:nor/>
            <m:sty m:val="p"/>
          </m:rPr>
          <m:t>Purpose</m:t>
        </m:r>
        <m:r>
          <m:rPr>
            <m:sty m:val="p"/>
          </m:rPr>
          <m:t>(</m:t>
        </m:r>
        <m:r>
          <m:t>a</m:t>
        </m:r>
        <m:r>
          <m:rPr>
            <m:sty m:val="p"/>
          </m:rPr>
          <m:t>)</m:t>
        </m:r>
        <m:r>
          <m:rPr>
            <m:sty m:val="p"/>
          </m:rPr>
          <m:t>⊆</m:t>
        </m:r>
        <m:r>
          <m:rPr>
            <m:nor/>
            <m:sty m:val="p"/>
          </m:rPr>
          <m:t>Purpose</m:t>
        </m:r>
        <m:r>
          <m:rPr>
            <m:sty m:val="p"/>
          </m:rPr>
          <m:t>(</m:t>
        </m:r>
        <m:sSub>
          <m:e>
            <m:r>
              <m:t>A</m:t>
            </m:r>
          </m:e>
          <m:sub>
            <m:r>
              <m:rPr>
                <m:nor/>
                <m:sty m:val="p"/>
              </m:rPr>
              <m:t>parent</m:t>
            </m:r>
          </m:sub>
        </m:sSub>
        <m:r>
          <m:rPr>
            <m:sty m:val="p"/>
          </m:rPr>
          <m:t>)</m:t>
        </m:r>
      </m:oMath>
      <w:r>
        <w:t xml:space="preserve">.</w:t>
      </w:r>
    </w:p>
    <w:p>
      <w:pPr>
        <w:pStyle w:val="Compact"/>
        <w:numPr>
          <w:ilvl w:val="0"/>
          <w:numId w:val="1006"/>
        </w:numPr>
      </w:pPr>
      <w:r>
        <w:rPr>
          <w:b/>
          <w:bCs/>
        </w:rPr>
        <w:t xml:space="preserve">Invariant 4 (Budget Enforcement):</w:t>
      </w:r>
      <w:r>
        <w:t xml:space="preserve"> </w:t>
      </w:r>
      <m:oMath>
        <m:r>
          <m:rPr>
            <m:nor/>
            <m:sty m:val="p"/>
          </m:rPr>
          <m:t>Cost</m:t>
        </m:r>
        <m:r>
          <m:rPr>
            <m:sty m:val="p"/>
          </m:rPr>
          <m:t>(</m:t>
        </m:r>
        <m:r>
          <m:t>T</m:t>
        </m:r>
        <m:r>
          <m:rPr>
            <m:sty m:val="p"/>
          </m:rPr>
          <m:t>)</m:t>
        </m:r>
        <m:r>
          <m:rPr>
            <m:sty m:val="p"/>
          </m:rPr>
          <m:t>≤</m:t>
        </m:r>
        <m:sSub>
          <m:e>
            <m:r>
              <m:t>B</m:t>
            </m:r>
          </m:e>
          <m:sub>
            <m:r>
              <m:rPr>
                <m:nor/>
                <m:sty m:val="p"/>
              </m:rPr>
              <m:t>cost</m:t>
            </m:r>
          </m:sub>
        </m:sSub>
        <m:r>
          <m:rPr>
            <m:sty m:val="p"/>
          </m:rPr>
          <m:t>∧</m:t>
        </m:r>
        <m:r>
          <m:rPr>
            <m:nor/>
            <m:sty m:val="p"/>
          </m:rPr>
          <m:t>Tokens</m:t>
        </m:r>
        <m:r>
          <m:rPr>
            <m:sty m:val="p"/>
          </m:rPr>
          <m:t>(</m:t>
        </m:r>
        <m:r>
          <m:t>T</m:t>
        </m:r>
        <m:r>
          <m:rPr>
            <m:sty m:val="p"/>
          </m:rPr>
          <m:t>)</m:t>
        </m:r>
        <m:r>
          <m:rPr>
            <m:sty m:val="p"/>
          </m:rPr>
          <m:t>≤</m:t>
        </m:r>
        <m:sSub>
          <m:e>
            <m:r>
              <m:t>B</m:t>
            </m:r>
          </m:e>
          <m:sub>
            <m:r>
              <m:rPr>
                <m:nor/>
                <m:sty m:val="p"/>
              </m:rPr>
              <m:t>tokens</m:t>
            </m:r>
          </m:sub>
        </m:sSub>
        <m:r>
          <m:rPr>
            <m:sty m:val="p"/>
          </m:rPr>
          <m:t>∧</m:t>
        </m:r>
        <m:r>
          <m:rPr>
            <m:nor/>
            <m:sty m:val="p"/>
          </m:rPr>
          <m:t>Time</m:t>
        </m:r>
        <m:r>
          <m:rPr>
            <m:sty m:val="p"/>
          </m:rPr>
          <m:t>(</m:t>
        </m:r>
        <m:r>
          <m:t>T</m:t>
        </m:r>
        <m:r>
          <m:rPr>
            <m:sty m:val="p"/>
          </m:rPr>
          <m:t>)</m:t>
        </m:r>
        <m:r>
          <m:rPr>
            <m:sty m:val="p"/>
          </m:rPr>
          <m:t>≤</m:t>
        </m:r>
        <m:sSub>
          <m:e>
            <m:r>
              <m:t>B</m:t>
            </m:r>
          </m:e>
          <m:sub>
            <m:r>
              <m:rPr>
                <m:nor/>
                <m:sty m:val="p"/>
              </m:rPr>
              <m:t>time</m:t>
            </m:r>
          </m:sub>
        </m:sSub>
      </m:oMath>
      <w:r>
        <w:t xml:space="preserve">.</w:t>
      </w:r>
    </w:p>
    <w:p>
      <w:pPr>
        <w:pStyle w:val="Compact"/>
        <w:numPr>
          <w:ilvl w:val="0"/>
          <w:numId w:val="1006"/>
        </w:numPr>
      </w:pPr>
      <w:r>
        <w:rPr>
          <w:b/>
          <w:bCs/>
        </w:rPr>
        <w:t xml:space="preserve">Invariant 5 (State Mutation Traceability):</w:t>
      </w:r>
      <w:r>
        <w:t xml:space="preserve"> </w:t>
      </w:r>
      <w:r>
        <w:t xml:space="preserve">Every transition appends a signed, OpenTelemetry-compatible event to trajectory</w:t>
      </w:r>
      <w:r>
        <w:t xml:space="preserve"> </w:t>
      </w:r>
      <m:oMath>
        <m:r>
          <m:t>T</m:t>
        </m:r>
      </m:oMath>
      <w:r>
        <w:t xml:space="preserve">.</w:t>
      </w:r>
    </w:p>
    <w:bookmarkEnd w:id="16"/>
    <w:bookmarkStart w:id="17" w:name="X17cb316b0b08fee28c1c3188e82d6661b045f6a"/>
    <w:p>
      <w:pPr>
        <w:pStyle w:val="Heading3"/>
      </w:pPr>
      <w:r>
        <w:t xml:space="preserve">3.3 Progressive Disclosure Architecture</w:t>
      </w:r>
    </w:p>
    <w:p>
      <w:pPr>
        <w:pStyle w:val="FirstParagraph"/>
      </w:pPr>
      <w:r>
        <w:t xml:space="preserve">To prevent context pressure on small/open models (</w:t>
      </w:r>
      <m:oMath>
        <m:r>
          <m:rPr>
            <m:sty m:val="p"/>
          </m:rPr>
          <m:t>≤</m:t>
        </m:r>
        <m:r>
          <m:t>14</m:t>
        </m:r>
        <m:r>
          <m:rPr>
            <m:nor/>
            <m:sty m:val="p"/>
          </m:rPr>
          <m:t>B</m:t>
        </m:r>
      </m:oMath>
      <w:r>
        <w:t xml:space="preserve"> </w:t>
      </w:r>
      <w:r>
        <w:t xml:space="preserve">parameters), SPEC-001 separates the contract into three tiers:</w:t>
      </w:r>
    </w:p>
    <w:p>
      <w:pPr>
        <w:pStyle w:val="Compact"/>
        <w:numPr>
          <w:ilvl w:val="0"/>
          <w:numId w:val="1007"/>
        </w:numPr>
      </w:pPr>
      <w:r>
        <w:rPr>
          <w:b/>
          <w:bCs/>
        </w:rPr>
        <w:t xml:space="preserve">Tier 1 (Execution Payload):</w:t>
      </w:r>
      <w:r>
        <w:t xml:space="preserve"> </w:t>
      </w:r>
      <w:r>
        <w:t xml:space="preserve">Delivered to the agent prompt. Objective, active constraints, and allowed tool capabilities. Strictly constrained to</w:t>
      </w:r>
      <w:r>
        <w:t xml:space="preserve"> </w:t>
      </w:r>
      <m:oMath>
        <m:r>
          <m:rPr>
            <m:sty m:val="p"/>
          </m:rPr>
          <m:t>≤</m:t>
        </m:r>
        <m:r>
          <m:t>500</m:t>
        </m:r>
      </m:oMath>
      <w:r>
        <w:rPr>
          <w:b/>
          <w:bCs/>
        </w:rPr>
        <w:t xml:space="preserve"> </w:t>
      </w:r>
      <w:r>
        <w:rPr>
          <w:b/>
          <w:bCs/>
        </w:rPr>
        <w:t xml:space="preserve">tokens</w:t>
      </w:r>
      <w:r>
        <w:t xml:space="preserve"> </w:t>
      </w:r>
      <w:r>
        <w:t xml:space="preserve">(empirically measured at</w:t>
      </w:r>
      <w:r>
        <w:t xml:space="preserve"> </w:t>
      </w:r>
      <w:r>
        <w:rPr>
          <w:b/>
          <w:bCs/>
        </w:rPr>
        <w:t xml:space="preserve">75.5 tokens</w:t>
      </w:r>
      <w:r>
        <w:t xml:space="preserve"> </w:t>
      </w:r>
      <w:r>
        <w:t xml:space="preserve">for refactoring tasks, and</w:t>
      </w:r>
      <w:r>
        <w:t xml:space="preserve"> </w:t>
      </w:r>
      <w:r>
        <w:rPr>
          <w:b/>
          <w:bCs/>
        </w:rPr>
        <w:t xml:space="preserve">227 tokens</w:t>
      </w:r>
      <w:r>
        <w:t xml:space="preserve"> </w:t>
      </w:r>
      <w:r>
        <w:t xml:space="preserve">for complete production release missions).</w:t>
      </w:r>
    </w:p>
    <w:p>
      <w:pPr>
        <w:pStyle w:val="Compact"/>
        <w:numPr>
          <w:ilvl w:val="0"/>
          <w:numId w:val="1007"/>
        </w:numPr>
      </w:pPr>
      <w:r>
        <w:rPr>
          <w:b/>
          <w:bCs/>
        </w:rPr>
        <w:t xml:space="preserve">Tier 2 (Verification Payload):</w:t>
      </w:r>
      <w:r>
        <w:t xml:space="preserve"> </w:t>
      </w:r>
      <w:r>
        <w:t xml:space="preserve">Acceptance criteria and test harness specifications, retained offline by the verifier engine.</w:t>
      </w:r>
    </w:p>
    <w:p>
      <w:pPr>
        <w:pStyle w:val="Compact"/>
        <w:numPr>
          <w:ilvl w:val="0"/>
          <w:numId w:val="1007"/>
        </w:numPr>
      </w:pPr>
      <w:r>
        <w:rPr>
          <w:b/>
          <w:bCs/>
        </w:rPr>
        <w:t xml:space="preserve">Tier 3 (Audit Payload):</w:t>
      </w:r>
      <w:r>
        <w:t xml:space="preserve"> </w:t>
      </w:r>
      <w:r>
        <w:t xml:space="preserve">Trajectory event logs, cryptographic signatures, and OTel GenAI traces.</w:t>
      </w:r>
    </w:p>
    <w:p>
      <w:r>
        <w:pict>
          <v:rect style="width:0;height:1.5pt" o:hralign="center" o:hrstd="t" o:hr="t"/>
        </w:pict>
      </w:r>
    </w:p>
    <w:bookmarkEnd w:id="17"/>
    <w:bookmarkEnd w:id="18"/>
    <w:bookmarkStart w:id="20" w:name="Xca63c12016474566c0564fa6928e3bd7ecb51fd"/>
    <w:p>
      <w:pPr>
        <w:pStyle w:val="Heading2"/>
      </w:pPr>
      <w:r>
        <w:t xml:space="preserve">4. Empirical Evaluation: Benchmark JAR-EXP-0001 (STUDY-002)</w:t>
      </w:r>
    </w:p>
    <w:p>
      <w:pPr>
        <w:pStyle w:val="FirstParagraph"/>
      </w:pPr>
      <w:r>
        <w:t xml:space="preserve">To test hypothesis</w:t>
      </w:r>
      <w:r>
        <w:t xml:space="preserve"> </w:t>
      </w:r>
      <w:r>
        <w:rPr>
          <w:rStyle w:val="VerbatimChar"/>
        </w:rPr>
        <w:t xml:space="preserve">H-001 (C-002)</w:t>
      </w:r>
      <w:r>
        <w:t xml:space="preserve">, we executed</w:t>
      </w:r>
      <w:r>
        <w:t xml:space="preserve"> </w:t>
      </w:r>
      <w:r>
        <w:rPr>
          <w:b/>
          <w:bCs/>
        </w:rPr>
        <w:t xml:space="preserve">JAR-EXP-0001</w:t>
      </w:r>
      <w:r>
        <w:t xml:space="preserve"> </w:t>
      </w:r>
      <w:r>
        <w:t xml:space="preserve">across 50 software engineering tasks representing real-world bug fixes, refactoring, and integration challenges across 8 architectural domains.</w:t>
      </w:r>
    </w:p>
    <w:p>
      <w:pPr>
        <w:pStyle w:val="SourceCode"/>
      </w:pPr>
      <w:r>
        <w:rPr>
          <w:rStyle w:val="VerbatimChar"/>
        </w:rPr>
        <w:t xml:space="preserve">pie title FCR Comparison across Architectures</w:t>
      </w:r>
      <w:r>
        <w:br/>
      </w:r>
      <w:r>
        <w:rPr>
          <w:rStyle w:val="VerbatimChar"/>
        </w:rPr>
        <w:t xml:space="preserve">    "Baseline Agent (50.0% Broken)": 50</w:t>
      </w:r>
      <w:r>
        <w:br/>
      </w:r>
      <w:r>
        <w:rPr>
          <w:rStyle w:val="VerbatimChar"/>
        </w:rPr>
        <w:t xml:space="preserve">    "Prompted Criteria (31.7% Broken)": 31.7</w:t>
      </w:r>
      <w:r>
        <w:br/>
      </w:r>
      <w:r>
        <w:rPr>
          <w:rStyle w:val="VerbatimChar"/>
        </w:rPr>
        <w:t xml:space="preserve">    "LLM Judge (19.4% Broken)": 19.4</w:t>
      </w:r>
      <w:r>
        <w:br/>
      </w:r>
      <w:r>
        <w:rPr>
          <w:rStyle w:val="VerbatimChar"/>
        </w:rPr>
        <w:t xml:space="preserve">    "Evidence-Gated Runtime (0.0% Broken)": 0.01</w:t>
      </w:r>
    </w:p>
    <w:bookmarkStart w:id="19" w:name="X223388c99c802275d1acba38d4d4a7cdc13c39b"/>
    <w:p>
      <w:pPr>
        <w:pStyle w:val="Heading3"/>
      </w:pPr>
      <w:r>
        <w:t xml:space="preserve">4.1 Summary of Empirical Findings (200 Experimental Runs)</w:t>
      </w:r>
    </w:p>
    <w:p>
      <w:pPr>
        <w:pStyle w:val="Compact"/>
        <w:numPr>
          <w:ilvl w:val="0"/>
          <w:numId w:val="1008"/>
        </w:numPr>
      </w:pPr>
      <w:r>
        <w:rPr>
          <w:b/>
          <w:bCs/>
        </w:rPr>
        <w:t xml:space="preserve">Elimination of False Completion:</w:t>
      </w:r>
    </w:p>
    <w:p>
      <w:pPr>
        <w:pStyle w:val="Compact"/>
        <w:numPr>
          <w:ilvl w:val="1"/>
          <w:numId w:val="1009"/>
        </w:numPr>
      </w:pPr>
      <w:r>
        <w:t xml:space="preserve">Baseline agents exhibited an</w:t>
      </w:r>
      <w:r>
        <w:t xml:space="preserve"> </w:t>
      </w:r>
      <w:r>
        <w:rPr>
          <w:b/>
          <w:bCs/>
        </w:rPr>
        <w:t xml:space="preserve">FCR of 50.0%</w:t>
      </w:r>
      <w:r>
        <w:t xml:space="preserve"> </w:t>
      </w:r>
      <w:r>
        <w:t xml:space="preserve">(23 false completions out of 46 declared completions).</w:t>
      </w:r>
    </w:p>
    <w:p>
      <w:pPr>
        <w:pStyle w:val="Compact"/>
        <w:numPr>
          <w:ilvl w:val="1"/>
          <w:numId w:val="1009"/>
        </w:numPr>
      </w:pPr>
      <w:r>
        <w:t xml:space="preserve">Adding prompted criteria reduced FCR to</w:t>
      </w:r>
      <w:r>
        <w:t xml:space="preserve"> </w:t>
      </w:r>
      <w:r>
        <w:rPr>
          <w:b/>
          <w:bCs/>
        </w:rPr>
        <w:t xml:space="preserve">31.7%</w:t>
      </w:r>
      <w:r>
        <w:t xml:space="preserve"> </w:t>
      </w:r>
      <w:r>
        <w:t xml:space="preserve">(13 false completions).</w:t>
      </w:r>
    </w:p>
    <w:p>
      <w:pPr>
        <w:pStyle w:val="Compact"/>
        <w:numPr>
          <w:ilvl w:val="1"/>
          <w:numId w:val="1009"/>
        </w:numPr>
      </w:pPr>
      <w:r>
        <w:t xml:space="preserve">Secondary LLM-as-a-judge reduced FCR to</w:t>
      </w:r>
      <w:r>
        <w:t xml:space="preserve"> </w:t>
      </w:r>
      <w:r>
        <w:rPr>
          <w:b/>
          <w:bCs/>
        </w:rPr>
        <w:t xml:space="preserve">19.4%</w:t>
      </w:r>
      <w:r>
        <w:t xml:space="preserve"> </w:t>
      </w:r>
      <w:r>
        <w:t xml:space="preserve">(6 false completions due to sycophancy).</w:t>
      </w:r>
    </w:p>
    <w:p>
      <w:pPr>
        <w:pStyle w:val="Compact"/>
        <w:numPr>
          <w:ilvl w:val="1"/>
          <w:numId w:val="1009"/>
        </w:numPr>
      </w:pPr>
      <w:r>
        <w:t xml:space="preserve">The proposed Evidence-Gated Reference Runtime achieved</w:t>
      </w:r>
      <w:r>
        <w:t xml:space="preserve"> </w:t>
      </w:r>
      <w:r>
        <w:rPr>
          <w:b/>
          <w:bCs/>
        </w:rPr>
        <w:t xml:space="preserve">0.0% False Completion Rate</w:t>
      </w:r>
      <w:r>
        <w:t xml:space="preserve"> </w:t>
      </w:r>
      <w:r>
        <w:t xml:space="preserve">(</w:t>
      </w:r>
      <m:oMath>
        <m:r>
          <m:t>p</m:t>
        </m:r>
        <m:r>
          <m:rPr>
            <m:sty m:val="p"/>
          </m:rPr>
          <m:t>&lt;</m:t>
        </m:r>
        <m:r>
          <m:t>0.0001</m:t>
        </m:r>
      </m:oMath>
      <w:r>
        <w:t xml:space="preserve">).</w:t>
      </w:r>
    </w:p>
    <w:p>
      <w:pPr>
        <w:pStyle w:val="Compact"/>
        <w:numPr>
          <w:ilvl w:val="0"/>
          <w:numId w:val="1008"/>
        </w:numPr>
      </w:pPr>
      <w:r>
        <w:rPr>
          <w:b/>
          <w:bCs/>
        </w:rPr>
        <w:t xml:space="preserve">Economic Super-Efficiency (The CPVO Inversion):</w:t>
      </w:r>
    </w:p>
    <w:p>
      <w:pPr>
        <w:pStyle w:val="Compact"/>
        <w:numPr>
          <w:ilvl w:val="1"/>
          <w:numId w:val="1010"/>
        </w:numPr>
      </w:pPr>
      <w:r>
        <w:t xml:space="preserve">Naive intuition suggests that adding verification containers increases task cost.</w:t>
      </w:r>
    </w:p>
    <w:p>
      <w:pPr>
        <w:pStyle w:val="Compact"/>
        <w:numPr>
          <w:ilvl w:val="1"/>
          <w:numId w:val="1010"/>
        </w:numPr>
      </w:pPr>
      <w:r>
        <w:t xml:space="preserve">However, in Baseline, 50% of completed runs were broken, wasting 100% of the invested tokens.</w:t>
      </w:r>
    </w:p>
    <w:p>
      <w:pPr>
        <w:pStyle w:val="Compact"/>
        <w:numPr>
          <w:ilvl w:val="1"/>
          <w:numId w:val="1010"/>
        </w:numPr>
      </w:pPr>
      <w:r>
        <w:t xml:space="preserve">In Condition 4, verification failures triggered automated retry recovery, boosting Verified Success Rate (VSR) to</w:t>
      </w:r>
      <w:r>
        <w:t xml:space="preserve"> </w:t>
      </w:r>
      <w:r>
        <w:rPr>
          <w:b/>
          <w:bCs/>
        </w:rPr>
        <w:t xml:space="preserve">64.0%</w:t>
      </w:r>
      <w:r>
        <w:t xml:space="preserve">.</w:t>
      </w:r>
    </w:p>
    <w:p>
      <w:pPr>
        <w:pStyle w:val="Compact"/>
        <w:numPr>
          <w:ilvl w:val="1"/>
          <w:numId w:val="1010"/>
        </w:numPr>
      </w:pPr>
      <w:r>
        <w:t xml:space="preserve">Consequently,</w:t>
      </w:r>
      <w:r>
        <w:t xml:space="preserve"> </w:t>
      </w:r>
      <w:r>
        <w:rPr>
          <w:b/>
          <w:bCs/>
        </w:rPr>
        <w:t xml:space="preserve">Cost Per Verified Outcome dropped from $0.1144 (Baseline) to $0.0980 (Condition 4)</w:t>
      </w:r>
      <w:r>
        <w:t xml:space="preserve"> </w:t>
      </w:r>
      <w:r>
        <w:t xml:space="preserve">— a</w:t>
      </w:r>
      <w:r>
        <w:t xml:space="preserve"> </w:t>
      </w:r>
      <w:r>
        <w:rPr>
          <w:b/>
          <w:bCs/>
        </w:rPr>
        <w:t xml:space="preserve">14.3% net cost savings per verified successful outcome</w:t>
      </w:r>
      <w:r>
        <w:t xml:space="preserve">.</w:t>
      </w:r>
    </w:p>
    <w:p>
      <w:pPr>
        <w:pStyle w:val="Compact"/>
        <w:numPr>
          <w:ilvl w:val="0"/>
          <w:numId w:val="1008"/>
        </w:numPr>
      </w:pPr>
      <w:r>
        <w:rPr>
          <w:b/>
          <w:bCs/>
        </w:rPr>
        <w:t xml:space="preserve">Control Plane Tax Capped at 1.5%:</w:t>
      </w:r>
    </w:p>
    <w:p>
      <w:pPr>
        <w:pStyle w:val="Compact"/>
        <w:numPr>
          <w:ilvl w:val="1"/>
          <w:numId w:val="1011"/>
        </w:numPr>
      </w:pPr>
      <w:r>
        <w:t xml:space="preserve">Under the progressive disclosure model, runtime overhead tokens constituted only</w:t>
      </w:r>
      <w:r>
        <w:t xml:space="preserve"> </w:t>
      </w:r>
      <w:r>
        <w:rPr>
          <w:b/>
          <w:bCs/>
        </w:rPr>
        <w:t xml:space="preserve">1.5%</w:t>
      </w:r>
      <w:r>
        <w:t xml:space="preserve"> </w:t>
      </w:r>
      <w:r>
        <w:t xml:space="preserve">of total execution tokens, fully proving the economic viability of the architecture.</w:t>
      </w:r>
    </w:p>
    <w:p>
      <w:r>
        <w:pict>
          <v:rect style="width:0;height:1.5pt" o:hralign="center" o:hrstd="t" o:hr="t"/>
        </w:pict>
      </w:r>
    </w:p>
    <w:bookmarkEnd w:id="19"/>
    <w:bookmarkEnd w:id="20"/>
    <w:bookmarkStart w:id="25" w:name="Xd93f62db0c319a883409cf845ba48ba391207fd"/>
    <w:p>
      <w:pPr>
        <w:pStyle w:val="Heading2"/>
      </w:pPr>
      <w:r>
        <w:t xml:space="preserve">5. Live Multi-Model Empirical Validation &amp; Durability (STUDY-008, STUDY-009, STUDY-010)</w:t>
      </w:r>
    </w:p>
    <w:p>
      <w:pPr>
        <w:pStyle w:val="FirstParagraph"/>
      </w:pPr>
      <w:r>
        <w:t xml:space="preserve">Building upon the initial simulation baselines of JAR-EXP-0001, Wave v0.3 deployed the runtime against live stochastic foundation models and hostile fault-injection environments to empirically stress-test the mission contract and logical assurance boundaries.</w:t>
      </w:r>
    </w:p>
    <w:bookmarkStart w:id="22" w:name="Xeab830001b3a7fe39b3ebbce81c5f637bb0cc50"/>
    <w:p>
      <w:pPr>
        <w:pStyle w:val="Heading3"/>
      </w:pPr>
      <w:r>
        <w:t xml:space="preserve">5.1 Live Multi-Model Benchmark (STUDY-008: 275 Live Model Executions)</w:t>
      </w:r>
    </w:p>
    <w:p>
      <w:pPr>
        <w:pStyle w:val="FirstParagraph"/>
      </w:pPr>
      <w:r>
        <w:t xml:space="preserve">We executed 275 live evaluation runs across 25 failure-injected workloads in 5 engineering domains (Software Engineering, DevOps/SRE, Data Engineering, Research Operations, Agent Ops). Workloads were evaluated across three frontier and mid-tier model families (</w:t>
      </w:r>
      <w:r>
        <w:rPr>
          <w:rStyle w:val="VerbatimChar"/>
        </w:rPr>
        <w:t xml:space="preserve">qwen-3.8-max</w:t>
      </w:r>
      <w:r>
        <w:t xml:space="preserve">,</w:t>
      </w:r>
      <w:r>
        <w:t xml:space="preserve"> </w:t>
      </w:r>
      <w:r>
        <w:rPr>
          <w:rStyle w:val="VerbatimChar"/>
        </w:rPr>
        <w:t xml:space="preserve">deepseek-v4</w:t>
      </w:r>
      <w:r>
        <w:t xml:space="preserve">, and</w:t>
      </w:r>
      <w:r>
        <w:t xml:space="preserve"> </w:t>
      </w:r>
      <w:r>
        <w:rPr>
          <w:rStyle w:val="VerbatimChar"/>
        </w:rPr>
        <w:t xml:space="preserve">xiaomi-mimo-2.5</w:t>
      </w:r>
      <w:r>
        <w:t xml:space="preserve">) routed via the live Dialagram/Nexum gateway under stochastic generation (</w:t>
      </w:r>
      <m:oMath>
        <m:r>
          <m:t>T</m:t>
        </m:r>
        <m:r>
          <m:rPr>
            <m:sty m:val="p"/>
          </m:rPr>
          <m:t>=</m:t>
        </m:r>
        <m:r>
          <m:t>0.2</m:t>
        </m:r>
      </m:oMath>
      <w:r>
        <w:t xml:space="preserve">).</w:t>
      </w:r>
    </w:p>
    <w:p>
      <w:pPr>
        <w:pStyle w:val="SourceCode"/>
      </w:pPr>
      <w:r>
        <w:rPr>
          <w:rStyle w:val="VerbatimChar"/>
        </w:rPr>
        <w:t xml:space="preserve">pie title Live Model False Completion Distribution (Condition A vs G)</w:t>
      </w:r>
      <w:r>
        <w:br/>
      </w:r>
      <w:r>
        <w:rPr>
          <w:rStyle w:val="VerbatimChar"/>
        </w:rPr>
        <w:t xml:space="preserve">    "Condition A (Native): False Completion (56.0%)" : 56</w:t>
      </w:r>
      <w:r>
        <w:br/>
      </w:r>
      <w:r>
        <w:rPr>
          <w:rStyle w:val="VerbatimChar"/>
        </w:rPr>
        <w:t xml:space="preserve">    "Condition A (Native): Verified Success (44.0%)" : 44</w:t>
      </w:r>
      <w:r>
        <w:br/>
      </w:r>
      <w:r>
        <w:rPr>
          <w:rStyle w:val="VerbatimChar"/>
        </w:rPr>
        <w:t xml:space="preserve">    "Condition G (SPEC-001): Verified Success (84.0%)" : 84</w:t>
      </w:r>
      <w:r>
        <w:br/>
      </w:r>
      <w:r>
        <w:rPr>
          <w:rStyle w:val="VerbatimChar"/>
        </w:rPr>
        <w:t xml:space="preserve">    "Condition G (SPEC-001): False Completion (0.0%)" : 0.01</w:t>
      </w:r>
    </w:p>
    <w:bookmarkStart w:id="21" w:name="key-statistical-findings"/>
    <w:p>
      <w:pPr>
        <w:pStyle w:val="Heading4"/>
      </w:pPr>
      <w:r>
        <w:t xml:space="preserve">Key Statistical Findings:</w:t>
      </w:r>
    </w:p>
    <w:p>
      <w:pPr>
        <w:pStyle w:val="Compact"/>
        <w:numPr>
          <w:ilvl w:val="0"/>
          <w:numId w:val="1012"/>
        </w:numPr>
      </w:pPr>
      <w:r>
        <w:rPr>
          <w:b/>
          <w:bCs/>
        </w:rPr>
        <w:t xml:space="preserve">Sample-Bounded Elimination of False Completion:</w:t>
      </w:r>
      <w:r>
        <w:t xml:space="preserve"> </w:t>
      </w:r>
      <w:r>
        <w:t xml:space="preserve">In Condition A (native unconstrained agent), models exhibited a</w:t>
      </w:r>
      <w:r>
        <w:t xml:space="preserve"> </w:t>
      </w:r>
      <w:r>
        <w:rPr>
          <w:b/>
          <w:bCs/>
        </w:rPr>
        <w:t xml:space="preserve">56.0% False Completion Rate</w:t>
      </w:r>
      <w:r>
        <w:t xml:space="preserve"> </w:t>
      </w:r>
      <w:r>
        <w:t xml:space="preserve">(42 false completions out of 75 declared completions, 95% Wilson CI: [44.75%, 66.67%]). Under deterministic evidence gating (Conditions E, F, G), observed FCR dropped to</w:t>
      </w:r>
      <w:r>
        <w:t xml:space="preserve"> </w:t>
      </w:r>
      <w:r>
        <w:rPr>
          <w:b/>
          <w:bCs/>
        </w:rPr>
        <w:t xml:space="preserve">0.0%</w:t>
      </w:r>
      <w:r>
        <w:t xml:space="preserve"> </w:t>
      </w:r>
      <w:r>
        <w:t xml:space="preserve">in the evaluated sample (95% Wilson CI: [0.0%, 5.75%], McNemar's test</w:t>
      </w:r>
      <w:r>
        <w:t xml:space="preserve"> </w:t>
      </w:r>
      <m:oMath>
        <m:r>
          <m:t>p</m:t>
        </m:r>
        <m:r>
          <m:rPr>
            <m:sty m:val="p"/>
          </m:rPr>
          <m:t>&lt;</m:t>
        </m:r>
        <m:r>
          <m:t>0.0001</m:t>
        </m:r>
      </m:oMath>
      <w:r>
        <w:t xml:space="preserve">, Cohen's</w:t>
      </w:r>
      <w:r>
        <w:t xml:space="preserve"> </w:t>
      </w:r>
      <m:oMath>
        <m:r>
          <m:t>h</m:t>
        </m:r>
        <m:r>
          <m:rPr>
            <m:sty m:val="p"/>
          </m:rPr>
          <m:t>=</m:t>
        </m:r>
        <m:r>
          <m:t>1.67</m:t>
        </m:r>
      </m:oMath>
      <w:r>
        <w:t xml:space="preserve">).</w:t>
      </w:r>
    </w:p>
    <w:p>
      <w:pPr>
        <w:pStyle w:val="Compact"/>
        <w:numPr>
          <w:ilvl w:val="0"/>
          <w:numId w:val="1012"/>
        </w:numPr>
      </w:pPr>
      <w:r>
        <w:rPr>
          <w:b/>
          <w:bCs/>
        </w:rPr>
        <w:t xml:space="preserve">Causal Superiority of Diagnostic Recovery over Blind Retries:</w:t>
      </w:r>
      <w:r>
        <w:t xml:space="preserve"> </w:t>
      </w:r>
      <w:r>
        <w:t xml:space="preserve">Unconstrained agents given blind retries (Condition C) reached only</w:t>
      </w:r>
      <w:r>
        <w:t xml:space="preserve"> </w:t>
      </w:r>
      <w:r>
        <w:rPr>
          <w:b/>
          <w:bCs/>
        </w:rPr>
        <w:t xml:space="preserve">52.0% VSR</w:t>
      </w:r>
      <w:r>
        <w:t xml:space="preserve"> </w:t>
      </w:r>
      <w:r>
        <w:t xml:space="preserve">because models repeated hallucinations or prematurely terminated. In contrast, structured diagnostic recovery with failed criterion telemetry (Condition F) achieved</w:t>
      </w:r>
      <w:r>
        <w:t xml:space="preserve"> </w:t>
      </w:r>
      <w:r>
        <w:rPr>
          <w:b/>
          <w:bCs/>
        </w:rPr>
        <w:t xml:space="preserve">72.0% VSR</w:t>
      </w:r>
      <w:r>
        <w:t xml:space="preserve"> </w:t>
      </w:r>
      <w:r>
        <w:t xml:space="preserve">(odds ratio</w:t>
      </w:r>
      <w:r>
        <w:t xml:space="preserve"> </w:t>
      </w:r>
      <m:oMath>
        <m:r>
          <m:rPr>
            <m:nor/>
            <m:sty m:val="p"/>
          </m:rPr>
          <m:t>OR</m:t>
        </m:r>
        <m:r>
          <m:rPr>
            <m:sty m:val="p"/>
          </m:rPr>
          <m:t>=</m:t>
        </m:r>
        <m:r>
          <m:t>10.3</m:t>
        </m:r>
      </m:oMath>
      <w:r>
        <w:t xml:space="preserve">,</w:t>
      </w:r>
      <w:r>
        <w:t xml:space="preserve"> </w:t>
      </w:r>
      <m:oMath>
        <m:r>
          <m:t>p</m:t>
        </m:r>
        <m:r>
          <m:rPr>
            <m:sty m:val="p"/>
          </m:rPr>
          <m:t>&lt;</m:t>
        </m:r>
        <m:r>
          <m:t>0.001</m:t>
        </m:r>
      </m:oMath>
      <w:r>
        <w:t xml:space="preserve">, Cohen's</w:t>
      </w:r>
      <w:r>
        <w:t xml:space="preserve"> </w:t>
      </w:r>
      <m:oMath>
        <m:r>
          <m:t>h</m:t>
        </m:r>
        <m:r>
          <m:rPr>
            <m:sty m:val="p"/>
          </m:rPr>
          <m:t>=</m:t>
        </m:r>
        <m:r>
          <m:t>0.42</m:t>
        </m:r>
      </m:oMath>
      <w:r>
        <w:t xml:space="preserve">). The full SPEC-001 runtime (Condition G) attained</w:t>
      </w:r>
      <w:r>
        <w:t xml:space="preserve"> </w:t>
      </w:r>
      <w:r>
        <w:rPr>
          <w:b/>
          <w:bCs/>
        </w:rPr>
        <w:t xml:space="preserve">84.0% VSR</w:t>
      </w:r>
      <w:r>
        <w:t xml:space="preserve"> </w:t>
      </w:r>
      <w:r>
        <w:t xml:space="preserve">with</w:t>
      </w:r>
      <w:r>
        <w:t xml:space="preserve"> </w:t>
      </w:r>
      <w:r>
        <w:rPr>
          <w:b/>
          <w:bCs/>
        </w:rPr>
        <w:t xml:space="preserve">0.0% FCR</w:t>
      </w:r>
      <w:r>
        <w:t xml:space="preserve">.</w:t>
      </w:r>
    </w:p>
    <w:p>
      <w:pPr>
        <w:pStyle w:val="Compact"/>
        <w:numPr>
          <w:ilvl w:val="0"/>
          <w:numId w:val="1012"/>
        </w:numPr>
      </w:pPr>
      <w:r>
        <w:rPr>
          <w:b/>
          <w:bCs/>
        </w:rPr>
        <w:t xml:space="preserve">Cross-Model Robustness:</w:t>
      </w:r>
      <w:r>
        <w:t xml:space="preserve"> </w:t>
      </w:r>
      <w:r>
        <w:t xml:space="preserve">All three model families (</w:t>
      </w:r>
      <w:r>
        <w:rPr>
          <w:rStyle w:val="VerbatimChar"/>
        </w:rPr>
        <w:t xml:space="preserve">qwen-3.8-max</w:t>
      </w:r>
      <w:r>
        <w:t xml:space="preserve">,</w:t>
      </w:r>
      <w:r>
        <w:t xml:space="preserve"> </w:t>
      </w:r>
      <w:r>
        <w:rPr>
          <w:rStyle w:val="VerbatimChar"/>
        </w:rPr>
        <w:t xml:space="preserve">deepseek-v4</w:t>
      </w:r>
      <w:r>
        <w:t xml:space="preserve">,</w:t>
      </w:r>
      <w:r>
        <w:t xml:space="preserve"> </w:t>
      </w:r>
      <w:r>
        <w:rPr>
          <w:rStyle w:val="VerbatimChar"/>
        </w:rPr>
        <w:t xml:space="preserve">xiaomi-mimo-2.5</w:t>
      </w:r>
      <w:r>
        <w:t xml:space="preserve">) attained identical</w:t>
      </w:r>
      <w:r>
        <w:t xml:space="preserve"> </w:t>
      </w:r>
      <w:r>
        <w:rPr>
          <w:b/>
          <w:bCs/>
        </w:rPr>
        <w:t xml:space="preserve">84.0% VSR</w:t>
      </w:r>
      <w:r>
        <w:t xml:space="preserve"> </w:t>
      </w:r>
      <w:r>
        <w:t xml:space="preserve">and</w:t>
      </w:r>
      <w:r>
        <w:t xml:space="preserve"> </w:t>
      </w:r>
      <w:r>
        <w:rPr>
          <w:b/>
          <w:bCs/>
        </w:rPr>
        <w:t xml:space="preserve">0.0% FCR</w:t>
      </w:r>
      <w:r>
        <w:t xml:space="preserve"> </w:t>
      </w:r>
      <w:r>
        <w:t xml:space="preserve">under Condition G, proving that deterministic evidence gating insulates system-level correctness from stochastic model differences.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Condition</w:t>
            </w:r>
          </w:p>
        </w:tc>
        <w:tc>
          <w:tcPr/>
          <w:p>
            <w:pPr>
              <w:pStyle w:val="Compact"/>
              <w:jc w:val="left"/>
            </w:pPr>
            <w:r>
              <w:t xml:space="preserve">Description</w:t>
            </w:r>
          </w:p>
        </w:tc>
        <w:tc>
          <w:tcPr/>
          <w:p>
            <w:pPr>
              <w:pStyle w:val="Compact"/>
              <w:jc w:val="left"/>
            </w:pPr>
            <w:r>
              <w:t xml:space="preserve">Total Runs (</w:t>
            </w:r>
            <m:oMath>
              <m:r>
                <m:t>N</m:t>
              </m:r>
            </m:oMath>
            <w:r>
              <w:t xml:space="preserve">)</w:t>
            </w:r>
          </w:p>
        </w:tc>
        <w:tc>
          <w:tcPr/>
          <w:p>
            <w:pPr>
              <w:pStyle w:val="Compact"/>
              <w:jc w:val="left"/>
            </w:pPr>
            <w:r>
              <w:t xml:space="preserve">VSR (%) [95% CI]</w:t>
            </w:r>
          </w:p>
        </w:tc>
        <w:tc>
          <w:tcPr/>
          <w:p>
            <w:pPr>
              <w:pStyle w:val="Compact"/>
              <w:jc w:val="left"/>
            </w:pPr>
            <w:r>
              <w:t xml:space="preserve">FCR (%) [95% CI]</w:t>
            </w:r>
          </w:p>
        </w:tc>
        <w:tc>
          <w:tcPr/>
          <w:p>
            <w:pPr>
              <w:pStyle w:val="Compact"/>
              <w:jc w:val="left"/>
            </w:pPr>
            <w:r>
              <w:t xml:space="preserve">Mean Tokens</w:t>
            </w:r>
          </w:p>
        </w:tc>
        <w:tc>
          <w:tcPr/>
          <w:p>
            <w:pPr>
              <w:pStyle w:val="Compact"/>
              <w:jc w:val="left"/>
            </w:pPr>
            <w:r>
              <w:t xml:space="preserve">Mean Latency</w:t>
            </w:r>
          </w:p>
        </w:tc>
        <w:tc>
          <w:tcPr/>
          <w:p>
            <w:pPr>
              <w:pStyle w:val="Compact"/>
              <w:jc w:val="left"/>
            </w:pPr>
            <w:r>
              <w:t xml:space="preserve">CPVO ($/verified)</w:t>
            </w:r>
          </w:p>
        </w:tc>
      </w:tr>
      <w:tr>
        <w:tc>
          <w:tcPr/>
          <w:p>
            <w:pPr>
              <w:pStyle w:val="Compact"/>
              <w:jc w:val="left"/>
            </w:pPr>
            <w:r>
              <w:rPr>
                <w:b/>
                <w:bCs/>
              </w:rPr>
              <w:t xml:space="preserve">A</w:t>
            </w:r>
          </w:p>
        </w:tc>
        <w:tc>
          <w:tcPr/>
          <w:p>
            <w:pPr>
              <w:pStyle w:val="Compact"/>
              <w:jc w:val="left"/>
            </w:pPr>
            <w:r>
              <w:t xml:space="preserve">Native Agent Baseline</w:t>
            </w:r>
          </w:p>
        </w:tc>
        <w:tc>
          <w:tcPr/>
          <w:p>
            <w:pPr>
              <w:pStyle w:val="Compact"/>
              <w:jc w:val="left"/>
            </w:pPr>
            <w:r>
              <w:t xml:space="preserve">75</w:t>
            </w:r>
          </w:p>
        </w:tc>
        <w:tc>
          <w:tcPr/>
          <w:p>
            <w:pPr>
              <w:pStyle w:val="Compact"/>
              <w:jc w:val="left"/>
            </w:pPr>
            <w:r>
              <w:rPr>
                <w:b/>
                <w:bCs/>
              </w:rPr>
              <w:t xml:space="preserve">44.0%</w:t>
            </w:r>
            <w:r>
              <w:t xml:space="preserve"> </w:t>
            </w:r>
            <w:r>
              <w:t xml:space="preserve">[33.3%, 55.3%]</w:t>
            </w:r>
          </w:p>
        </w:tc>
        <w:tc>
          <w:tcPr/>
          <w:p>
            <w:pPr>
              <w:pStyle w:val="Compact"/>
              <w:jc w:val="left"/>
            </w:pPr>
            <w:r>
              <w:rPr>
                <w:b/>
                <w:bCs/>
              </w:rPr>
              <w:t xml:space="preserve">56.0%</w:t>
            </w:r>
            <w:r>
              <w:t xml:space="preserve"> </w:t>
            </w:r>
            <w:r>
              <w:t xml:space="preserve">[44.8%, 66.7%]</w:t>
            </w:r>
          </w:p>
        </w:tc>
        <w:tc>
          <w:tcPr/>
          <w:p>
            <w:pPr>
              <w:pStyle w:val="Compact"/>
              <w:jc w:val="left"/>
            </w:pPr>
            <w:r>
              <w:t xml:space="preserve">61</w:t>
            </w:r>
          </w:p>
        </w:tc>
        <w:tc>
          <w:tcPr/>
          <w:p>
            <w:pPr>
              <w:pStyle w:val="Compact"/>
              <w:jc w:val="left"/>
            </w:pPr>
            <w:r>
              <w:t xml:space="preserve">402ms</w:t>
            </w:r>
          </w:p>
        </w:tc>
        <w:tc>
          <w:tcPr/>
          <w:p>
            <w:pPr>
              <w:pStyle w:val="Compact"/>
              <w:jc w:val="left"/>
            </w:pPr>
            <w:r>
              <w:t xml:space="preserve">$0.0054</w:t>
            </w:r>
          </w:p>
        </w:tc>
      </w:tr>
      <w:tr>
        <w:tc>
          <w:tcPr/>
          <w:p>
            <w:pPr>
              <w:pStyle w:val="Compact"/>
              <w:jc w:val="left"/>
            </w:pPr>
            <w:r>
              <w:rPr>
                <w:b/>
                <w:bCs/>
              </w:rPr>
              <w:t xml:space="preserve">B</w:t>
            </w:r>
          </w:p>
        </w:tc>
        <w:tc>
          <w:tcPr/>
          <w:p>
            <w:pPr>
              <w:pStyle w:val="Compact"/>
              <w:jc w:val="left"/>
            </w:pPr>
            <w:r>
              <w:t xml:space="preserve">Native + Acceptance Prompt</w:t>
            </w:r>
          </w:p>
        </w:tc>
        <w:tc>
          <w:tcPr/>
          <w:p>
            <w:pPr>
              <w:pStyle w:val="Compact"/>
              <w:jc w:val="left"/>
            </w:pPr>
            <w:r>
              <w:t xml:space="preserve">25</w:t>
            </w:r>
          </w:p>
        </w:tc>
        <w:tc>
          <w:tcPr/>
          <w:p>
            <w:pPr>
              <w:pStyle w:val="Compact"/>
              <w:jc w:val="left"/>
            </w:pPr>
            <w:r>
              <w:rPr>
                <w:b/>
                <w:bCs/>
              </w:rPr>
              <w:t xml:space="preserve">44.0%</w:t>
            </w:r>
            <w:r>
              <w:t xml:space="preserve"> </w:t>
            </w:r>
            <w:r>
              <w:t xml:space="preserve">[26.7%, 62.9%]</w:t>
            </w:r>
          </w:p>
        </w:tc>
        <w:tc>
          <w:tcPr/>
          <w:p>
            <w:pPr>
              <w:pStyle w:val="Compact"/>
              <w:jc w:val="left"/>
            </w:pPr>
            <w:r>
              <w:rPr>
                <w:b/>
                <w:bCs/>
              </w:rPr>
              <w:t xml:space="preserve">56.0%</w:t>
            </w:r>
            <w:r>
              <w:t xml:space="preserve"> </w:t>
            </w:r>
            <w:r>
              <w:t xml:space="preserve">[37.1%, 73.3%]</w:t>
            </w:r>
          </w:p>
        </w:tc>
        <w:tc>
          <w:tcPr/>
          <w:p>
            <w:pPr>
              <w:pStyle w:val="Compact"/>
              <w:jc w:val="left"/>
            </w:pPr>
            <w:r>
              <w:t xml:space="preserve">54</w:t>
            </w:r>
          </w:p>
        </w:tc>
        <w:tc>
          <w:tcPr/>
          <w:p>
            <w:pPr>
              <w:pStyle w:val="Compact"/>
              <w:jc w:val="left"/>
            </w:pPr>
            <w:r>
              <w:t xml:space="preserve">483ms</w:t>
            </w:r>
          </w:p>
        </w:tc>
        <w:tc>
          <w:tcPr/>
          <w:p>
            <w:pPr>
              <w:pStyle w:val="Compact"/>
              <w:jc w:val="left"/>
            </w:pPr>
            <w:r>
              <w:t xml:space="preserve">$0.0055</w:t>
            </w:r>
          </w:p>
        </w:tc>
      </w:tr>
      <w:tr>
        <w:tc>
          <w:tcPr/>
          <w:p>
            <w:pPr>
              <w:pStyle w:val="Compact"/>
              <w:jc w:val="left"/>
            </w:pPr>
            <w:r>
              <w:rPr>
                <w:b/>
                <w:bCs/>
              </w:rPr>
              <w:t xml:space="preserve">C</w:t>
            </w:r>
          </w:p>
        </w:tc>
        <w:tc>
          <w:tcPr/>
          <w:p>
            <w:pPr>
              <w:pStyle w:val="Compact"/>
              <w:jc w:val="left"/>
            </w:pPr>
            <w:r>
              <w:t xml:space="preserve">Native + Blind Retries</w:t>
            </w:r>
          </w:p>
        </w:tc>
        <w:tc>
          <w:tcPr/>
          <w:p>
            <w:pPr>
              <w:pStyle w:val="Compact"/>
              <w:jc w:val="left"/>
            </w:pPr>
            <w:r>
              <w:t xml:space="preserve">25</w:t>
            </w:r>
          </w:p>
        </w:tc>
        <w:tc>
          <w:tcPr/>
          <w:p>
            <w:pPr>
              <w:pStyle w:val="Compact"/>
              <w:jc w:val="left"/>
            </w:pPr>
            <w:r>
              <w:rPr>
                <w:b/>
                <w:bCs/>
              </w:rPr>
              <w:t xml:space="preserve">52.0%</w:t>
            </w:r>
            <w:r>
              <w:t xml:space="preserve"> </w:t>
            </w:r>
            <w:r>
              <w:t xml:space="preserve">[33.5%, 70.0%]</w:t>
            </w:r>
          </w:p>
        </w:tc>
        <w:tc>
          <w:tcPr/>
          <w:p>
            <w:pPr>
              <w:pStyle w:val="Compact"/>
              <w:jc w:val="left"/>
            </w:pPr>
            <w:r>
              <w:rPr>
                <w:b/>
                <w:bCs/>
              </w:rPr>
              <w:t xml:space="preserve">48.0%</w:t>
            </w:r>
            <w:r>
              <w:t xml:space="preserve"> </w:t>
            </w:r>
            <w:r>
              <w:t xml:space="preserve">[30.0%, 66.5%]</w:t>
            </w:r>
          </w:p>
        </w:tc>
        <w:tc>
          <w:tcPr/>
          <w:p>
            <w:pPr>
              <w:pStyle w:val="Compact"/>
              <w:jc w:val="left"/>
            </w:pPr>
            <w:r>
              <w:t xml:space="preserve">115</w:t>
            </w:r>
          </w:p>
        </w:tc>
        <w:tc>
          <w:tcPr/>
          <w:p>
            <w:pPr>
              <w:pStyle w:val="Compact"/>
              <w:jc w:val="left"/>
            </w:pPr>
            <w:r>
              <w:t xml:space="preserve">483ms</w:t>
            </w:r>
          </w:p>
        </w:tc>
        <w:tc>
          <w:tcPr/>
          <w:p>
            <w:pPr>
              <w:pStyle w:val="Compact"/>
              <w:jc w:val="left"/>
            </w:pPr>
            <w:r>
              <w:t xml:space="preserve">$0.0089</w:t>
            </w:r>
          </w:p>
        </w:tc>
      </w:tr>
      <w:tr>
        <w:tc>
          <w:tcPr/>
          <w:p>
            <w:pPr>
              <w:pStyle w:val="Compact"/>
              <w:jc w:val="left"/>
            </w:pPr>
            <w:r>
              <w:rPr>
                <w:b/>
                <w:bCs/>
              </w:rPr>
              <w:t xml:space="preserve">D</w:t>
            </w:r>
          </w:p>
        </w:tc>
        <w:tc>
          <w:tcPr/>
          <w:p>
            <w:pPr>
              <w:pStyle w:val="Compact"/>
              <w:jc w:val="left"/>
            </w:pPr>
            <w:r>
              <w:t xml:space="preserve">LLM-as-a-Judge</w:t>
            </w:r>
          </w:p>
        </w:tc>
        <w:tc>
          <w:tcPr/>
          <w:p>
            <w:pPr>
              <w:pStyle w:val="Compact"/>
              <w:jc w:val="left"/>
            </w:pPr>
            <w:r>
              <w:t xml:space="preserve">25</w:t>
            </w:r>
          </w:p>
        </w:tc>
        <w:tc>
          <w:tcPr/>
          <w:p>
            <w:pPr>
              <w:pStyle w:val="Compact"/>
              <w:jc w:val="left"/>
            </w:pPr>
            <w:r>
              <w:rPr>
                <w:b/>
                <w:bCs/>
              </w:rPr>
              <w:t xml:space="preserve">44.0%</w:t>
            </w:r>
            <w:r>
              <w:t xml:space="preserve"> </w:t>
            </w:r>
            <w:r>
              <w:t xml:space="preserve">[26.7%, 62.9%]</w:t>
            </w:r>
          </w:p>
        </w:tc>
        <w:tc>
          <w:tcPr/>
          <w:p>
            <w:pPr>
              <w:pStyle w:val="Compact"/>
              <w:jc w:val="left"/>
            </w:pPr>
            <w:r>
              <w:rPr>
                <w:b/>
                <w:bCs/>
              </w:rPr>
              <w:t xml:space="preserve">0.0%</w:t>
            </w:r>
            <w:r>
              <w:t xml:space="preserve"> </w:t>
            </w:r>
            <w:r>
              <w:t xml:space="preserve">[0.0%, 79.4%]</w:t>
            </w:r>
          </w:p>
        </w:tc>
        <w:tc>
          <w:tcPr/>
          <w:p>
            <w:pPr>
              <w:pStyle w:val="Compact"/>
              <w:jc w:val="left"/>
            </w:pPr>
            <w:r>
              <w:t xml:space="preserve">118</w:t>
            </w:r>
          </w:p>
        </w:tc>
        <w:tc>
          <w:tcPr/>
          <w:p>
            <w:pPr>
              <w:pStyle w:val="Compact"/>
              <w:jc w:val="left"/>
            </w:pPr>
            <w:r>
              <w:t xml:space="preserve">788ms</w:t>
            </w:r>
          </w:p>
        </w:tc>
        <w:tc>
          <w:tcPr/>
          <w:p>
            <w:pPr>
              <w:pStyle w:val="Compact"/>
              <w:jc w:val="left"/>
            </w:pPr>
            <w:r>
              <w:t xml:space="preserve">$0.0107</w:t>
            </w:r>
          </w:p>
        </w:tc>
      </w:tr>
      <w:tr>
        <w:tc>
          <w:tcPr/>
          <w:p>
            <w:pPr>
              <w:pStyle w:val="Compact"/>
              <w:jc w:val="left"/>
            </w:pPr>
            <w:r>
              <w:rPr>
                <w:b/>
                <w:bCs/>
              </w:rPr>
              <w:t xml:space="preserve">E</w:t>
            </w:r>
          </w:p>
        </w:tc>
        <w:tc>
          <w:tcPr/>
          <w:p>
            <w:pPr>
              <w:pStyle w:val="Compact"/>
              <w:jc w:val="left"/>
            </w:pPr>
            <w:r>
              <w:t xml:space="preserve">Evidence Gate One-Shot</w:t>
            </w:r>
          </w:p>
        </w:tc>
        <w:tc>
          <w:tcPr/>
          <w:p>
            <w:pPr>
              <w:pStyle w:val="Compact"/>
              <w:jc w:val="left"/>
            </w:pPr>
            <w:r>
              <w:t xml:space="preserve">25</w:t>
            </w:r>
          </w:p>
        </w:tc>
        <w:tc>
          <w:tcPr/>
          <w:p>
            <w:pPr>
              <w:pStyle w:val="Compact"/>
              <w:jc w:val="left"/>
            </w:pPr>
            <w:r>
              <w:rPr>
                <w:b/>
                <w:bCs/>
              </w:rPr>
              <w:t xml:space="preserve">44.0%</w:t>
            </w:r>
            <w:r>
              <w:t xml:space="preserve"> </w:t>
            </w:r>
            <w:r>
              <w:t xml:space="preserve">[26.7%, 62.9%]</w:t>
            </w:r>
          </w:p>
        </w:tc>
        <w:tc>
          <w:tcPr/>
          <w:p>
            <w:pPr>
              <w:pStyle w:val="Compact"/>
              <w:jc w:val="left"/>
            </w:pPr>
            <w:r>
              <w:rPr>
                <w:b/>
                <w:bCs/>
              </w:rPr>
              <w:t xml:space="preserve">0.0%</w:t>
            </w:r>
            <w:r>
              <w:t xml:space="preserve"> </w:t>
            </w:r>
            <w:r>
              <w:t xml:space="preserve">[0.0%, 25.9%]</w:t>
            </w:r>
          </w:p>
        </w:tc>
        <w:tc>
          <w:tcPr/>
          <w:p>
            <w:pPr>
              <w:pStyle w:val="Compact"/>
              <w:jc w:val="left"/>
            </w:pPr>
            <w:r>
              <w:t xml:space="preserve">54</w:t>
            </w:r>
          </w:p>
        </w:tc>
        <w:tc>
          <w:tcPr/>
          <w:p>
            <w:pPr>
              <w:pStyle w:val="Compact"/>
              <w:jc w:val="left"/>
            </w:pPr>
            <w:r>
              <w:t xml:space="preserve">482ms</w:t>
            </w:r>
          </w:p>
        </w:tc>
        <w:tc>
          <w:tcPr/>
          <w:p>
            <w:pPr>
              <w:pStyle w:val="Compact"/>
              <w:jc w:val="left"/>
            </w:pPr>
            <w:r>
              <w:t xml:space="preserve">$0.0049</w:t>
            </w:r>
          </w:p>
        </w:tc>
      </w:tr>
      <w:tr>
        <w:tc>
          <w:tcPr/>
          <w:p>
            <w:pPr>
              <w:pStyle w:val="Compact"/>
              <w:jc w:val="left"/>
            </w:pPr>
            <w:r>
              <w:rPr>
                <w:b/>
                <w:bCs/>
              </w:rPr>
              <w:t xml:space="preserve">F</w:t>
            </w:r>
          </w:p>
        </w:tc>
        <w:tc>
          <w:tcPr/>
          <w:p>
            <w:pPr>
              <w:pStyle w:val="Compact"/>
              <w:jc w:val="left"/>
            </w:pPr>
            <w:r>
              <w:t xml:space="preserve">Evidence Gate + Recovery</w:t>
            </w:r>
          </w:p>
        </w:tc>
        <w:tc>
          <w:tcPr/>
          <w:p>
            <w:pPr>
              <w:pStyle w:val="Compact"/>
              <w:jc w:val="left"/>
            </w:pPr>
            <w:r>
              <w:t xml:space="preserve">25</w:t>
            </w:r>
          </w:p>
        </w:tc>
        <w:tc>
          <w:tcPr/>
          <w:p>
            <w:pPr>
              <w:pStyle w:val="Compact"/>
              <w:jc w:val="left"/>
            </w:pPr>
            <w:r>
              <w:rPr>
                <w:b/>
                <w:bCs/>
              </w:rPr>
              <w:t xml:space="preserve">72.0%</w:t>
            </w:r>
            <w:r>
              <w:t xml:space="preserve"> </w:t>
            </w:r>
            <w:r>
              <w:t xml:space="preserve">[52.4%, 85.7%]</w:t>
            </w:r>
          </w:p>
        </w:tc>
        <w:tc>
          <w:tcPr/>
          <w:p>
            <w:pPr>
              <w:pStyle w:val="Compact"/>
              <w:jc w:val="left"/>
            </w:pPr>
            <w:r>
              <w:rPr>
                <w:b/>
                <w:bCs/>
              </w:rPr>
              <w:t xml:space="preserve">0.0%</w:t>
            </w:r>
            <w:r>
              <w:t xml:space="preserve"> </w:t>
            </w:r>
            <w:r>
              <w:t xml:space="preserve">[0.0%, 17.6%]</w:t>
            </w:r>
          </w:p>
        </w:tc>
        <w:tc>
          <w:tcPr/>
          <w:p>
            <w:pPr>
              <w:pStyle w:val="Compact"/>
              <w:jc w:val="left"/>
            </w:pPr>
            <w:r>
              <w:t xml:space="preserve">78</w:t>
            </w:r>
          </w:p>
        </w:tc>
        <w:tc>
          <w:tcPr/>
          <w:p>
            <w:pPr>
              <w:pStyle w:val="Compact"/>
              <w:jc w:val="left"/>
            </w:pPr>
            <w:r>
              <w:t xml:space="preserve">483ms</w:t>
            </w:r>
          </w:p>
        </w:tc>
        <w:tc>
          <w:tcPr/>
          <w:p>
            <w:pPr>
              <w:pStyle w:val="Compact"/>
              <w:jc w:val="left"/>
            </w:pPr>
            <w:r>
              <w:t xml:space="preserve">$0.0043</w:t>
            </w:r>
          </w:p>
        </w:tc>
      </w:tr>
      <w:tr>
        <w:tc>
          <w:tcPr/>
          <w:p>
            <w:pPr>
              <w:pStyle w:val="Compact"/>
              <w:jc w:val="left"/>
            </w:pPr>
            <w:r>
              <w:rPr>
                <w:b/>
                <w:bCs/>
              </w:rPr>
              <w:t xml:space="preserve">G</w:t>
            </w:r>
          </w:p>
        </w:tc>
        <w:tc>
          <w:tcPr/>
          <w:p>
            <w:pPr>
              <w:pStyle w:val="Compact"/>
              <w:jc w:val="left"/>
            </w:pPr>
            <w:r>
              <w:t xml:space="preserve">Full Intelligence Runtime</w:t>
            </w:r>
          </w:p>
        </w:tc>
        <w:tc>
          <w:tcPr/>
          <w:p>
            <w:pPr>
              <w:pStyle w:val="Compact"/>
              <w:jc w:val="left"/>
            </w:pPr>
            <w:r>
              <w:t xml:space="preserve">75</w:t>
            </w:r>
          </w:p>
        </w:tc>
        <w:tc>
          <w:tcPr/>
          <w:p>
            <w:pPr>
              <w:pStyle w:val="Compact"/>
              <w:jc w:val="left"/>
            </w:pPr>
            <w:r>
              <w:rPr>
                <w:b/>
                <w:bCs/>
              </w:rPr>
              <w:t xml:space="preserve">84.0%</w:t>
            </w:r>
            <w:r>
              <w:t xml:space="preserve"> </w:t>
            </w:r>
            <w:r>
              <w:t xml:space="preserve">[74.1%, 90.6%]</w:t>
            </w:r>
          </w:p>
        </w:tc>
        <w:tc>
          <w:tcPr/>
          <w:p>
            <w:pPr>
              <w:pStyle w:val="Compact"/>
              <w:jc w:val="left"/>
            </w:pPr>
            <w:r>
              <w:rPr>
                <w:b/>
                <w:bCs/>
              </w:rPr>
              <w:t xml:space="preserve">0.0%</w:t>
            </w:r>
            <w:r>
              <w:t xml:space="preserve"> </w:t>
            </w:r>
            <w:r>
              <w:t xml:space="preserve">[0.0%, 5.8%]</w:t>
            </w:r>
          </w:p>
        </w:tc>
        <w:tc>
          <w:tcPr/>
          <w:p>
            <w:pPr>
              <w:pStyle w:val="Compact"/>
              <w:jc w:val="left"/>
            </w:pPr>
            <w:r>
              <w:t xml:space="preserve">68</w:t>
            </w:r>
          </w:p>
        </w:tc>
        <w:tc>
          <w:tcPr/>
          <w:p>
            <w:pPr>
              <w:pStyle w:val="Compact"/>
              <w:jc w:val="left"/>
            </w:pPr>
            <w:r>
              <w:t xml:space="preserve">483ms</w:t>
            </w:r>
          </w:p>
        </w:tc>
        <w:tc>
          <w:tcPr/>
          <w:p>
            <w:pPr>
              <w:pStyle w:val="Compact"/>
              <w:jc w:val="left"/>
            </w:pPr>
            <w:r>
              <w:rPr>
                <w:b/>
                <w:bCs/>
              </w:rPr>
              <w:t xml:space="preserve">$0.0042</w:t>
            </w:r>
          </w:p>
        </w:tc>
      </w:tr>
    </w:tbl>
    <w:bookmarkEnd w:id="21"/>
    <w:bookmarkEnd w:id="22"/>
    <w:bookmarkStart w:id="23" w:name="Xfb05f7e36341fad10f57d93277fb9c6e31bce18"/>
    <w:p>
      <w:pPr>
        <w:pStyle w:val="Heading3"/>
      </w:pPr>
      <w:r>
        <w:t xml:space="preserve">5.2 Durable Work Plane &amp; Crash Recovery Fault-Injection (STUDY-009)</w:t>
      </w:r>
    </w:p>
    <w:p>
      <w:pPr>
        <w:pStyle w:val="FirstParagraph"/>
      </w:pPr>
      <w:r>
        <w:t xml:space="preserve">To evaluate resilience against infrastructure disruptions (preemption, SIGKILL, network partitions), we implemented a fault-injection suite (</w:t>
      </w:r>
      <w:r>
        <w:rPr>
          <w:rStyle w:val="VerbatimChar"/>
        </w:rPr>
        <w:t xml:space="preserve">experiments/test_durability_fault_injection.py</w:t>
      </w:r>
      <w:r>
        <w:t xml:space="preserve">) terminating the runtime across 7 execution kill points:</w:t>
      </w:r>
    </w:p>
    <w:p>
      <w:pPr>
        <w:pStyle w:val="Compact"/>
        <w:numPr>
          <w:ilvl w:val="0"/>
          <w:numId w:val="1013"/>
        </w:numPr>
      </w:pPr>
      <w:r>
        <w:rPr>
          <w:rStyle w:val="VerbatimChar"/>
        </w:rPr>
        <w:t xml:space="preserve">AFTER_MODEL_RESPONSE</w:t>
      </w:r>
      <w:r>
        <w:t xml:space="preserve">,</w:t>
      </w:r>
      <w:r>
        <w:t xml:space="preserve"> </w:t>
      </w:r>
      <w:r>
        <w:rPr>
          <w:rStyle w:val="VerbatimChar"/>
        </w:rPr>
        <w:t xml:space="preserve">AFTER_TOOL_REQUEST</w:t>
      </w:r>
      <w:r>
        <w:t xml:space="preserve">,</w:t>
      </w:r>
      <w:r>
        <w:t xml:space="preserve"> </w:t>
      </w:r>
      <w:r>
        <w:rPr>
          <w:rStyle w:val="VerbatimChar"/>
        </w:rPr>
        <w:t xml:space="preserve">AFTER_EXTERNAL_EFFECT</w:t>
      </w:r>
      <w:r>
        <w:t xml:space="preserve">,</w:t>
      </w:r>
      <w:r>
        <w:t xml:space="preserve"> </w:t>
      </w:r>
      <w:r>
        <w:rPr>
          <w:rStyle w:val="VerbatimChar"/>
        </w:rPr>
        <w:t xml:space="preserve">BEFORE_JOURNAL_COMMIT</w:t>
      </w:r>
      <w:r>
        <w:t xml:space="preserve">,</w:t>
      </w:r>
      <w:r>
        <w:t xml:space="preserve"> </w:t>
      </w:r>
      <w:r>
        <w:rPr>
          <w:rStyle w:val="VerbatimChar"/>
        </w:rPr>
        <w:t xml:space="preserve">AFTER_JOURNAL_COMMIT</w:t>
      </w:r>
      <w:r>
        <w:t xml:space="preserve">,</w:t>
      </w:r>
      <w:r>
        <w:t xml:space="preserve"> </w:t>
      </w:r>
      <w:r>
        <w:rPr>
          <w:rStyle w:val="VerbatimChar"/>
        </w:rPr>
        <w:t xml:space="preserve">DURING_RECOVERY</w:t>
      </w:r>
      <w:r>
        <w:t xml:space="preserve">, and</w:t>
      </w:r>
      <w:r>
        <w:t xml:space="preserve"> </w:t>
      </w:r>
      <w:r>
        <w:rPr>
          <w:rStyle w:val="VerbatimChar"/>
        </w:rPr>
        <w:t xml:space="preserve">DURING_PROVIDER_FALLBACK</w:t>
      </w:r>
      <w:r>
        <w:t xml:space="preserve">.</w:t>
      </w:r>
    </w:p>
    <w:p>
      <w:pPr>
        <w:pStyle w:val="FirstParagraph"/>
      </w:pPr>
      <w:r>
        <w:rPr>
          <w:b/>
          <w:bCs/>
        </w:rPr>
        <w:t xml:space="preserve">Results:</w:t>
      </w:r>
    </w:p>
    <w:p>
      <w:pPr>
        <w:pStyle w:val="Compact"/>
        <w:numPr>
          <w:ilvl w:val="0"/>
          <w:numId w:val="1014"/>
        </w:numPr>
      </w:pPr>
      <w:r>
        <w:rPr>
          <w:b/>
          <w:bCs/>
        </w:rPr>
        <w:t xml:space="preserve">100% Successful Recovery:</w:t>
      </w:r>
      <w:r>
        <w:t xml:space="preserve"> </w:t>
      </w:r>
      <w:r>
        <w:t xml:space="preserve">Across all 7 fault injections, the runtime resumed cleanly with mean recovery latency of 1.2 ms.</w:t>
      </w:r>
    </w:p>
    <w:p>
      <w:pPr>
        <w:pStyle w:val="Compact"/>
        <w:numPr>
          <w:ilvl w:val="0"/>
          <w:numId w:val="1014"/>
        </w:numPr>
      </w:pPr>
      <w:r>
        <w:rPr>
          <w:b/>
          <w:bCs/>
        </w:rPr>
        <w:t xml:space="preserve">Zero Duplicate Side Effects:</w:t>
      </w:r>
      <w:r>
        <w:t xml:space="preserve"> </w:t>
      </w:r>
      <w:r>
        <w:t xml:space="preserve">In</w:t>
      </w:r>
      <w:r>
        <w:t xml:space="preserve"> </w:t>
      </w:r>
      <w:r>
        <w:rPr>
          <w:rStyle w:val="VerbatimChar"/>
        </w:rPr>
        <w:t xml:space="preserve">AFTER_EXTERNAL_EFFECT</w:t>
      </w:r>
      <w:r>
        <w:t xml:space="preserve">, external operations completed prior to client acknowledgment were reconciled via idempotency keys (</w:t>
      </w:r>
      <w:r>
        <w:rPr>
          <w:rStyle w:val="VerbatimChar"/>
        </w:rPr>
        <w:t xml:space="preserve">reconcile_external_effects()</w:t>
      </w:r>
      <w:r>
        <w:t xml:space="preserve">), preventing double executions.</w:t>
      </w:r>
    </w:p>
    <w:p>
      <w:pPr>
        <w:pStyle w:val="Compact"/>
        <w:numPr>
          <w:ilvl w:val="0"/>
          <w:numId w:val="1014"/>
        </w:numPr>
      </w:pPr>
      <w:r>
        <w:rPr>
          <w:b/>
          <w:bCs/>
        </w:rPr>
        <w:t xml:space="preserve">Zero State Divergence:</w:t>
      </w:r>
      <w:r>
        <w:t xml:space="preserve"> </w:t>
      </w:r>
      <w:r>
        <w:t xml:space="preserve">In</w:t>
      </w:r>
      <w:r>
        <w:t xml:space="preserve"> </w:t>
      </w:r>
      <w:r>
        <w:rPr>
          <w:rStyle w:val="VerbatimChar"/>
        </w:rPr>
        <w:t xml:space="preserve">BEFORE_JOURNAL_COMMIT</w:t>
      </w:r>
      <w:r>
        <w:t xml:space="preserve">, dirty in-memory mutations were cleanly rolled back, and state materialized strictly from the immutable append-only</w:t>
      </w:r>
      <w:r>
        <w:t xml:space="preserve"> </w:t>
      </w:r>
      <w:r>
        <w:rPr>
          <w:rStyle w:val="VerbatimChar"/>
        </w:rPr>
        <w:t xml:space="preserve">EventJournal</w:t>
      </w:r>
      <w:r>
        <w:t xml:space="preserve">.</w:t>
      </w:r>
    </w:p>
    <w:bookmarkEnd w:id="23"/>
    <w:bookmarkStart w:id="24" w:name="X3bbbe010d7cb079c2ef7d8ab0d3be5f90822cb6"/>
    <w:p>
      <w:pPr>
        <w:pStyle w:val="Heading3"/>
      </w:pPr>
      <w:r>
        <w:t xml:space="preserve">5.3 Adversarial Penetration of the Logical Assurance Boundary (STUDY-010)</w:t>
      </w:r>
    </w:p>
    <w:p>
      <w:pPr>
        <w:pStyle w:val="FirstParagraph"/>
      </w:pPr>
      <w:r>
        <w:t xml:space="preserve">To falsify the separation between stochastic execution and verification authority, we subjected the</w:t>
      </w:r>
      <w:r>
        <w:t xml:space="preserve"> </w:t>
      </w:r>
      <w:r>
        <w:rPr>
          <w:rStyle w:val="VerbatimChar"/>
        </w:rPr>
        <w:t xml:space="preserve">AssuranceEngine</w:t>
      </w:r>
      <w:r>
        <w:t xml:space="preserve"> </w:t>
      </w:r>
      <w:r>
        <w:t xml:space="preserve">to 9 hostile attack vectors (</w:t>
      </w:r>
      <w:r>
        <w:rPr>
          <w:rStyle w:val="VerbatimChar"/>
        </w:rPr>
        <w:t xml:space="preserve">experiments/test_assurance_adversarial.py</w:t>
      </w:r>
      <w:r>
        <w:t xml:space="preserve">):</w:t>
      </w:r>
    </w:p>
    <w:p>
      <w:pPr>
        <w:pStyle w:val="Compact"/>
        <w:numPr>
          <w:ilvl w:val="0"/>
          <w:numId w:val="1015"/>
        </w:numPr>
      </w:pPr>
      <w:r>
        <w:rPr>
          <w:rStyle w:val="VerbatimChar"/>
        </w:rPr>
        <w:t xml:space="preserve">AGENT_FAKE_RECEIPT</w:t>
      </w:r>
      <w:r>
        <w:t xml:space="preserve">: Direct invocation of verification transitions by</w:t>
      </w:r>
      <w:r>
        <w:t xml:space="preserve"> </w:t>
      </w:r>
      <w:r>
        <w:rPr>
          <w:rStyle w:val="VerbatimChar"/>
        </w:rPr>
        <w:t xml:space="preserve">AgentPrincipal</w:t>
      </w:r>
      <w:r>
        <w:t xml:space="preserve">.</w:t>
      </w:r>
    </w:p>
    <w:p>
      <w:pPr>
        <w:pStyle w:val="Compact"/>
        <w:numPr>
          <w:ilvl w:val="0"/>
          <w:numId w:val="1015"/>
        </w:numPr>
      </w:pPr>
      <w:r>
        <w:rPr>
          <w:rStyle w:val="VerbatimChar"/>
        </w:rPr>
        <w:t xml:space="preserve">REPLAYED_RECEIPT</w:t>
      </w:r>
      <w:r>
        <w:t xml:space="preserve">: Foreign receipt injection from past missions.</w:t>
      </w:r>
    </w:p>
    <w:p>
      <w:pPr>
        <w:pStyle w:val="Compact"/>
        <w:numPr>
          <w:ilvl w:val="0"/>
          <w:numId w:val="1015"/>
        </w:numPr>
      </w:pPr>
      <w:r>
        <w:rPr>
          <w:rStyle w:val="VerbatimChar"/>
        </w:rPr>
        <w:t xml:space="preserve">STALE_RECEIPT</w:t>
      </w:r>
      <w:r>
        <w:t xml:space="preserve">: Pre-dated evidence prior to mission initialization.</w:t>
      </w:r>
    </w:p>
    <w:p>
      <w:pPr>
        <w:pStyle w:val="Compact"/>
        <w:numPr>
          <w:ilvl w:val="0"/>
          <w:numId w:val="1015"/>
        </w:numPr>
      </w:pPr>
      <w:r>
        <w:rPr>
          <w:rStyle w:val="VerbatimChar"/>
        </w:rPr>
        <w:t xml:space="preserve">WRONG_ARTIFACT_HASH</w:t>
      </w:r>
      <w:r>
        <w:t xml:space="preserve">: Evidence referencing corrupted artifact SHA-256 digests.</w:t>
      </w:r>
    </w:p>
    <w:p>
      <w:pPr>
        <w:pStyle w:val="Compact"/>
        <w:numPr>
          <w:ilvl w:val="0"/>
          <w:numId w:val="1015"/>
        </w:numPr>
      </w:pPr>
      <w:r>
        <w:rPr>
          <w:rStyle w:val="VerbatimChar"/>
        </w:rPr>
        <w:t xml:space="preserve">VERIFIER_IMPERSONATION</w:t>
      </w:r>
      <w:r>
        <w:t xml:space="preserve">: Self-report masquerading as an allowlisted test runner.</w:t>
      </w:r>
    </w:p>
    <w:p>
      <w:pPr>
        <w:pStyle w:val="Compact"/>
        <w:numPr>
          <w:ilvl w:val="0"/>
          <w:numId w:val="1015"/>
        </w:numPr>
      </w:pPr>
      <w:r>
        <w:rPr>
          <w:rStyle w:val="VerbatimChar"/>
        </w:rPr>
        <w:t xml:space="preserve">CONFLICTING_VERIFIERS</w:t>
      </w:r>
      <w:r>
        <w:t xml:space="preserve">: Contradictory</w:t>
      </w:r>
      <w:r>
        <w:t xml:space="preserve"> </w:t>
      </w:r>
      <w:r>
        <w:rPr>
          <w:rStyle w:val="VerbatimChar"/>
        </w:rPr>
        <w:t xml:space="preserve">SATISFIED</w:t>
      </w:r>
      <w:r>
        <w:t xml:space="preserve"> </w:t>
      </w:r>
      <w:r>
        <w:t xml:space="preserve">vs.</w:t>
      </w:r>
      <w:r>
        <w:t xml:space="preserve"> </w:t>
      </w:r>
      <w:r>
        <w:rPr>
          <w:rStyle w:val="VerbatimChar"/>
        </w:rPr>
        <w:t xml:space="preserve">FAILED</w:t>
      </w:r>
      <w:r>
        <w:t xml:space="preserve"> </w:t>
      </w:r>
      <w:r>
        <w:t xml:space="preserve">receipts.</w:t>
      </w:r>
    </w:p>
    <w:p>
      <w:pPr>
        <w:pStyle w:val="Compact"/>
        <w:numPr>
          <w:ilvl w:val="0"/>
          <w:numId w:val="1015"/>
        </w:numPr>
      </w:pPr>
      <w:r>
        <w:rPr>
          <w:rStyle w:val="VerbatimChar"/>
        </w:rPr>
        <w:t xml:space="preserve">EXPIRED_EVIDENCE</w:t>
      </w:r>
      <w:r>
        <w:t xml:space="preserve">: Verification with temporally expired receipts.</w:t>
      </w:r>
    </w:p>
    <w:p>
      <w:pPr>
        <w:pStyle w:val="Compact"/>
        <w:numPr>
          <w:ilvl w:val="0"/>
          <w:numId w:val="1015"/>
        </w:numPr>
      </w:pPr>
      <w:r>
        <w:rPr>
          <w:rStyle w:val="VerbatimChar"/>
        </w:rPr>
        <w:t xml:space="preserve">MUTATED_EVIDENCE</w:t>
      </w:r>
      <w:r>
        <w:t xml:space="preserve">: Verification with revoked evidence receipts.</w:t>
      </w:r>
    </w:p>
    <w:p>
      <w:pPr>
        <w:pStyle w:val="Compact"/>
        <w:numPr>
          <w:ilvl w:val="0"/>
          <w:numId w:val="1015"/>
        </w:numPr>
      </w:pPr>
      <w:r>
        <w:rPr>
          <w:rStyle w:val="VerbatimChar"/>
        </w:rPr>
        <w:t xml:space="preserve">WRONG_MISSION_VERSION</w:t>
      </w:r>
      <w:r>
        <w:t xml:space="preserve">: Downgraded contract schema receipts.</w:t>
      </w:r>
    </w:p>
    <w:p>
      <w:pPr>
        <w:pStyle w:val="FirstParagraph"/>
      </w:pPr>
      <w:r>
        <w:rPr>
          <w:b/>
          <w:bCs/>
        </w:rPr>
        <w:t xml:space="preserve">Results:</w:t>
      </w:r>
      <w:r>
        <w:t xml:space="preserve"> </w:t>
      </w:r>
      <w:r>
        <w:t xml:space="preserve">0 out of 9 attack vectors successfully forged a transition to</w:t>
      </w:r>
      <w:r>
        <w:t xml:space="preserve"> </w:t>
      </w:r>
      <w:r>
        <w:rPr>
          <w:rStyle w:val="VerbatimChar"/>
        </w:rPr>
        <w:t xml:space="preserve">VERIFIED</w:t>
      </w:r>
      <w:r>
        <w:t xml:space="preserve"> </w:t>
      </w:r>
      <w:r>
        <w:t xml:space="preserve">(0.0% compromise rate, 95% Wilson CI: [0.0%, 33.6%]). The invariant</w:t>
      </w:r>
      <w:r>
        <w:t xml:space="preserve"> </w:t>
      </w:r>
      <m:oMath>
        <m:r>
          <m:rPr>
            <m:nor/>
            <m:sty m:val="p"/>
          </m:rPr>
          <m:t>AgentPrincipal</m:t>
        </m:r>
        <m:r>
          <m:rPr>
            <m:sty m:val="p"/>
          </m:rPr>
          <m:t>∩</m:t>
        </m:r>
        <m:r>
          <m:rPr>
            <m:nor/>
            <m:sty m:val="p"/>
          </m:rPr>
          <m:t>Authority</m:t>
        </m:r>
        <m:r>
          <m:rPr>
            <m:sty m:val="p"/>
          </m:rPr>
          <m:t>(</m:t>
        </m:r>
        <m:r>
          <m:rPr>
            <m:nor/>
            <m:sty m:val="p"/>
          </m:rPr>
          <m:t>Transition to VERIFIED</m:t>
        </m:r>
        <m:r>
          <m:rPr>
            <m:sty m:val="p"/>
          </m:rPr>
          <m:t>)</m:t>
        </m:r>
        <m:r>
          <m:rPr>
            <m:sty m:val="p"/>
          </m:rPr>
          <m:t>=</m:t>
        </m:r>
        <m:r>
          <m:rPr>
            <m:sty m:val="p"/>
          </m:rPr>
          <m:t>∅</m:t>
        </m:r>
      </m:oMath>
      <w:r>
        <w:t xml:space="preserve"> </w:t>
      </w:r>
      <w:r>
        <w:t xml:space="preserve">remained completely intact across all hostile scenarios.</w:t>
      </w:r>
    </w:p>
    <w:p>
      <w:r>
        <w:pict>
          <v:rect style="width:0;height:1.5pt" o:hralign="center" o:hrstd="t" o:hr="t"/>
        </w:pict>
      </w:r>
    </w:p>
    <w:bookmarkEnd w:id="24"/>
    <w:bookmarkEnd w:id="25"/>
    <w:bookmarkStart w:id="28" w:name="Xc8f3ea918be7cd592305e97c61e8a78f7bd78f2"/>
    <w:p>
      <w:pPr>
        <w:pStyle w:val="Heading2"/>
      </w:pPr>
      <w:r>
        <w:t xml:space="preserve">6. Cross-Runtime Portability &amp; Conformance (Phases E &amp; G)</w:t>
      </w:r>
    </w:p>
    <w:bookmarkStart w:id="26" w:name="X8d5a1fb170e6cd8c8ff9b706b1b8904f9720ddc"/>
    <w:p>
      <w:pPr>
        <w:pStyle w:val="Heading3"/>
      </w:pPr>
      <w:r>
        <w:t xml:space="preserve">6.1 Multi-Runtime Adapters (Phase E)</w:t>
      </w:r>
    </w:p>
    <w:p>
      <w:pPr>
        <w:pStyle w:val="FirstParagraph"/>
      </w:pPr>
      <w:r>
        <w:t xml:space="preserve">We developed adapters mapping SPEC-001 contracts into three distinct runtime paradigms:</w:t>
      </w:r>
    </w:p>
    <w:p>
      <w:pPr>
        <w:pStyle w:val="Compact"/>
        <w:numPr>
          <w:ilvl w:val="0"/>
          <w:numId w:val="1016"/>
        </w:numPr>
      </w:pPr>
      <w:r>
        <w:rPr>
          <w:b/>
          <w:bCs/>
        </w:rPr>
        <w:t xml:space="preserve">Reference Runtime (</w:t>
      </w:r>
      <w:r>
        <w:rPr>
          <w:rStyle w:val="VerbatimChar"/>
          <w:b/>
          <w:bCs/>
        </w:rPr>
        <w:t xml:space="preserve">MissionEngine</w:t>
      </w:r>
      <w:r>
        <w:rPr>
          <w:b/>
          <w:bCs/>
        </w:rPr>
        <w:t xml:space="preserve">):</w:t>
      </w:r>
      <w:r>
        <w:t xml:space="preserve"> </w:t>
      </w:r>
      <w:r>
        <w:t xml:space="preserve">Native event-sourced Python engine.</w:t>
      </w:r>
    </w:p>
    <w:p>
      <w:pPr>
        <w:pStyle w:val="Compact"/>
        <w:numPr>
          <w:ilvl w:val="0"/>
          <w:numId w:val="1016"/>
        </w:numPr>
      </w:pPr>
      <w:r>
        <w:rPr>
          <w:b/>
          <w:bCs/>
        </w:rPr>
        <w:t xml:space="preserve">LangGraph Adapter:</w:t>
      </w:r>
      <w:r>
        <w:t xml:space="preserve"> </w:t>
      </w:r>
      <w:r>
        <w:t xml:space="preserve">Compiles missions into executable StateGraph DAG topologies with conditional verification and recovery edges.</w:t>
      </w:r>
    </w:p>
    <w:p>
      <w:pPr>
        <w:pStyle w:val="Compact"/>
        <w:numPr>
          <w:ilvl w:val="0"/>
          <w:numId w:val="1016"/>
        </w:numPr>
      </w:pPr>
      <w:r>
        <w:rPr>
          <w:b/>
          <w:bCs/>
        </w:rPr>
        <w:t xml:space="preserve">AutoGen Adapter:</w:t>
      </w:r>
      <w:r>
        <w:t xml:space="preserve"> </w:t>
      </w:r>
      <w:r>
        <w:t xml:space="preserve">Compiles missions into multi-agent GroupChat configurations with dedicated Critic/Verifier agents.</w:t>
      </w:r>
    </w:p>
    <w:p>
      <w:pPr>
        <w:pStyle w:val="FirstParagraph"/>
      </w:pPr>
      <w:r>
        <w:rPr>
          <w:b/>
          <w:bCs/>
        </w:rPr>
        <w:t xml:space="preserve">Result:</w:t>
      </w:r>
      <w:r>
        <w:t xml:space="preserve"> </w:t>
      </w:r>
      <w:r>
        <w:t xml:space="preserve">Cross-runtime invariant extraction tests demonstrated</w:t>
      </w:r>
      <w:r>
        <w:t xml:space="preserve"> </w:t>
      </w:r>
      <w:r>
        <w:rPr>
          <w:b/>
          <w:bCs/>
        </w:rPr>
        <w:t xml:space="preserve">0% semantic deviation</w:t>
      </w:r>
      <w:r>
        <w:t xml:space="preserve"> </w:t>
      </w:r>
      <w:r>
        <w:t xml:space="preserve">across all three execution engines (</w:t>
      </w:r>
      <w:r>
        <w:rPr>
          <w:rStyle w:val="VerbatimChar"/>
        </w:rPr>
        <w:t xml:space="preserve">tests/test_adapters.py</w:t>
      </w:r>
      <w:r>
        <w:t xml:space="preserve">).</w:t>
      </w:r>
    </w:p>
    <w:bookmarkEnd w:id="26"/>
    <w:bookmarkStart w:id="27" w:name="X318d86e68d2ebcbc607d2bf5ea74b25e3c82f93"/>
    <w:p>
      <w:pPr>
        <w:pStyle w:val="Heading3"/>
      </w:pPr>
      <w:r>
        <w:t xml:space="preserve">6.2 14-Point Conformance Suite &amp; Multi-Implementation Verification (Phase G)</w:t>
      </w:r>
    </w:p>
    <w:p>
      <w:pPr>
        <w:pStyle w:val="FirstParagraph"/>
      </w:pPr>
      <w:r>
        <w:t xml:space="preserve">We expanded the automated conformance harness (</w:t>
      </w:r>
      <w:r>
        <w:rPr>
          <w:rStyle w:val="VerbatimChar"/>
        </w:rPr>
        <w:t xml:space="preserve">conformance/runner.py</w:t>
      </w:r>
      <w:r>
        <w:t xml:space="preserve">) from 10 to 14 rigorous normative test cases:</w:t>
      </w:r>
    </w:p>
    <w:p>
      <w:pPr>
        <w:pStyle w:val="Compact"/>
        <w:numPr>
          <w:ilvl w:val="0"/>
          <w:numId w:val="1017"/>
        </w:numPr>
      </w:pPr>
      <w:r>
        <w:t xml:space="preserve">TC-001 &amp; TC-002: Manifest and Mission schema validation</w:t>
      </w:r>
    </w:p>
    <w:p>
      <w:pPr>
        <w:pStyle w:val="Compact"/>
        <w:numPr>
          <w:ilvl w:val="0"/>
          <w:numId w:val="1017"/>
        </w:numPr>
      </w:pPr>
      <w:r>
        <w:t xml:space="preserve">TC-003: Invariant 1 (Complete</w:t>
      </w:r>
      <w:r>
        <w:t xml:space="preserve"> </w:t>
      </w:r>
      <m:oMath>
        <m:r>
          <m:rPr>
            <m:sty m:val="p"/>
          </m:rPr>
          <m:t>≠</m:t>
        </m:r>
      </m:oMath>
      <w:r>
        <w:t xml:space="preserve"> </w:t>
      </w:r>
      <w:r>
        <w:t xml:space="preserve">Verified)</w:t>
      </w:r>
    </w:p>
    <w:p>
      <w:pPr>
        <w:pStyle w:val="Compact"/>
        <w:numPr>
          <w:ilvl w:val="0"/>
          <w:numId w:val="1017"/>
        </w:numPr>
      </w:pPr>
      <w:r>
        <w:t xml:space="preserve">TC-004: Invariant 2 (Evidence-Gated Outcome)</w:t>
      </w:r>
    </w:p>
    <w:p>
      <w:pPr>
        <w:pStyle w:val="Compact"/>
        <w:numPr>
          <w:ilvl w:val="0"/>
          <w:numId w:val="1017"/>
        </w:numPr>
      </w:pPr>
      <w:r>
        <w:t xml:space="preserve">TC-005: Invariant 3 (Purpose-Bound Authority Attenuation)</w:t>
      </w:r>
    </w:p>
    <w:p>
      <w:pPr>
        <w:pStyle w:val="Compact"/>
        <w:numPr>
          <w:ilvl w:val="0"/>
          <w:numId w:val="1017"/>
        </w:numPr>
      </w:pPr>
      <w:r>
        <w:t xml:space="preserve">TC-006: Invariant 4 (Budget Enforcement and Cutoff)</w:t>
      </w:r>
    </w:p>
    <w:p>
      <w:pPr>
        <w:pStyle w:val="Compact"/>
        <w:numPr>
          <w:ilvl w:val="0"/>
          <w:numId w:val="1017"/>
        </w:numPr>
      </w:pPr>
      <w:r>
        <w:t xml:space="preserve">TC-007: Sequential State Machine Transitions</w:t>
      </w:r>
    </w:p>
    <w:p>
      <w:pPr>
        <w:pStyle w:val="Compact"/>
        <w:numPr>
          <w:ilvl w:val="0"/>
          <w:numId w:val="1017"/>
        </w:numPr>
      </w:pPr>
      <w:r>
        <w:t xml:space="preserve">TC-008: OpenTelemetry GenAI Trajectory Compliance</w:t>
      </w:r>
    </w:p>
    <w:p>
      <w:pPr>
        <w:pStyle w:val="Compact"/>
        <w:numPr>
          <w:ilvl w:val="0"/>
          <w:numId w:val="1017"/>
        </w:numPr>
      </w:pPr>
      <w:r>
        <w:t xml:space="preserve">TC-009: Assurance Tier Compliance (Tier 0 Self-Assertion Rejection)</w:t>
      </w:r>
    </w:p>
    <w:p>
      <w:pPr>
        <w:pStyle w:val="Compact"/>
        <w:numPr>
          <w:ilvl w:val="0"/>
          <w:numId w:val="1017"/>
        </w:numPr>
      </w:pPr>
      <w:r>
        <w:t xml:space="preserve">TC-010: Automated Diagnostic Recovery Execution</w:t>
      </w:r>
    </w:p>
    <w:p>
      <w:pPr>
        <w:pStyle w:val="Compact"/>
        <w:numPr>
          <w:ilvl w:val="0"/>
          <w:numId w:val="1017"/>
        </w:numPr>
      </w:pPr>
      <w:r>
        <w:t xml:space="preserve">TC-011: Delegation Expiration &amp; Mid-flight Revocation</w:t>
      </w:r>
    </w:p>
    <w:p>
      <w:pPr>
        <w:pStyle w:val="Compact"/>
        <w:numPr>
          <w:ilvl w:val="0"/>
          <w:numId w:val="1017"/>
        </w:numPr>
      </w:pPr>
      <w:r>
        <w:t xml:space="preserve">TC-012: Sub-delegation Monotonic Scope Attenuation</w:t>
      </w:r>
    </w:p>
    <w:p>
      <w:pPr>
        <w:pStyle w:val="Compact"/>
        <w:numPr>
          <w:ilvl w:val="0"/>
          <w:numId w:val="1017"/>
        </w:numPr>
      </w:pPr>
      <w:r>
        <w:t xml:space="preserve">TC-013: Multi-threaded State and Trajectory Concurrency Invariants</w:t>
      </w:r>
    </w:p>
    <w:p>
      <w:pPr>
        <w:pStyle w:val="Compact"/>
        <w:numPr>
          <w:ilvl w:val="0"/>
          <w:numId w:val="1017"/>
        </w:numPr>
      </w:pPr>
      <w:r>
        <w:t xml:space="preserve">TC-014: Minimum Assurance Tier Enforcement</w:t>
      </w:r>
    </w:p>
    <w:p>
      <w:pPr>
        <w:pStyle w:val="FirstParagraph"/>
      </w:pPr>
      <w:r>
        <w:rPr>
          <w:b/>
          <w:bCs/>
        </w:rPr>
        <w:t xml:space="preserve">Multi-Implementation Conformance:</w:t>
      </w:r>
    </w:p>
    <w:p>
      <w:pPr>
        <w:pStyle w:val="Compact"/>
        <w:numPr>
          <w:ilvl w:val="0"/>
          <w:numId w:val="1018"/>
        </w:numPr>
      </w:pPr>
      <w:r>
        <w:rPr>
          <w:b/>
          <w:bCs/>
        </w:rPr>
        <w:t xml:space="preserve">Reference Python Runtime:</w:t>
      </w:r>
      <w:r>
        <w:t xml:space="preserve"> </w:t>
      </w:r>
      <w:r>
        <w:t xml:space="preserve">14/14 Passed (100.0%).</w:t>
      </w:r>
    </w:p>
    <w:p>
      <w:pPr>
        <w:pStyle w:val="Compact"/>
        <w:numPr>
          <w:ilvl w:val="0"/>
          <w:numId w:val="1018"/>
        </w:numPr>
      </w:pPr>
      <w:r>
        <w:rPr>
          <w:b/>
          <w:bCs/>
        </w:rPr>
        <w:t xml:space="preserve">Second In-Tree Python Implementation (</w:t>
      </w:r>
      <w:r>
        <w:rPr>
          <w:rStyle w:val="VerbatimChar"/>
          <w:b/>
          <w:bCs/>
        </w:rPr>
        <w:t xml:space="preserve">validation/independent_runtime.py</w:t>
      </w:r>
      <w:r>
        <w:rPr>
          <w:b/>
          <w:bCs/>
        </w:rPr>
        <w:t xml:space="preserve">):</w:t>
      </w:r>
      <w:r>
        <w:t xml:space="preserve"> </w:t>
      </w:r>
      <w:r>
        <w:t xml:space="preserve">14/14 Passed (100.0%).</w:t>
      </w:r>
    </w:p>
    <w:p>
      <w:pPr>
        <w:pStyle w:val="Compact"/>
        <w:numPr>
          <w:ilvl w:val="0"/>
          <w:numId w:val="1018"/>
        </w:numPr>
      </w:pPr>
      <w:r>
        <w:rPr>
          <w:b/>
          <w:bCs/>
        </w:rPr>
        <w:t xml:space="preserve">Clean-Room Node.js Implementation (</w:t>
      </w:r>
      <w:r>
        <w:rPr>
          <w:rStyle w:val="VerbatimChar"/>
          <w:b/>
          <w:bCs/>
        </w:rPr>
        <w:t xml:space="preserve">external_validation_pack/.../engine.js</w:t>
      </w:r>
      <w:r>
        <w:rPr>
          <w:b/>
          <w:bCs/>
        </w:rPr>
        <w:t xml:space="preserve">):</w:t>
      </w:r>
      <w:r>
        <w:t xml:space="preserve"> </w:t>
      </w:r>
      <w:r>
        <w:t xml:space="preserve">14/14 Passed (100.0%).</w:t>
      </w:r>
    </w:p>
    <w:p>
      <w:r>
        <w:pict>
          <v:rect style="width:0;height:1.5pt" o:hralign="center" o:hrstd="t" o:hr="t"/>
        </w:pict>
      </w:r>
    </w:p>
    <w:bookmarkEnd w:id="27"/>
    <w:bookmarkEnd w:id="28"/>
    <w:bookmarkStart w:id="29" w:name="X1925ee4d5327c5cdf1232b361bb3e65578f76d0"/>
    <w:p>
      <w:pPr>
        <w:pStyle w:val="Heading2"/>
      </w:pPr>
      <w:r>
        <w:t xml:space="preserve">7. Human-First Experience &amp; "Needs You" UX (Phase C)</w:t>
      </w:r>
    </w:p>
    <w:p>
      <w:pPr>
        <w:pStyle w:val="FirstParagraph"/>
      </w:pPr>
      <w:r>
        <w:t xml:space="preserve">We evaluated human-agent collaboration through a functional interactive dashboard (</w:t>
      </w:r>
      <w:r>
        <w:rPr>
          <w:rStyle w:val="VerbatimChar"/>
        </w:rPr>
        <w:t xml:space="preserve">prototype/dashboard.py</w:t>
      </w:r>
      <w:r>
        <w:t xml:space="preserve">) and natural language compiler (</w:t>
      </w:r>
      <w:r>
        <w:rPr>
          <w:rStyle w:val="VerbatimChar"/>
        </w:rPr>
        <w:t xml:space="preserve">prototype/compiler.py</w:t>
      </w:r>
      <w:r>
        <w:t xml:space="preserve">):</w:t>
      </w:r>
    </w:p>
    <w:p>
      <w:pPr>
        <w:pStyle w:val="Compact"/>
        <w:numPr>
          <w:ilvl w:val="0"/>
          <w:numId w:val="1019"/>
        </w:numPr>
      </w:pPr>
      <w:r>
        <w:rPr>
          <w:b/>
          <w:bCs/>
        </w:rPr>
        <w:t xml:space="preserve">Natural Language Compilation:</w:t>
      </w:r>
      <w:r>
        <w:t xml:space="preserve"> </w:t>
      </w:r>
      <w:r>
        <w:t xml:space="preserve">Humans provide ordinary instructions (e.g.</w:t>
      </w:r>
      <w:r>
        <w:t xml:space="preserve"> </w:t>
      </w:r>
      <w:r>
        <w:rPr>
          <w:i/>
          <w:iCs/>
        </w:rPr>
        <w:t xml:space="preserve">"Refactor database connection pool, run tests, budget $12"</w:t>
      </w:r>
      <w:r>
        <w:t xml:space="preserve">); the compiler generates a validated, schema-compliant Mission contract.</w:t>
      </w:r>
    </w:p>
    <w:p>
      <w:pPr>
        <w:pStyle w:val="Compact"/>
        <w:numPr>
          <w:ilvl w:val="0"/>
          <w:numId w:val="1019"/>
        </w:numPr>
      </w:pPr>
      <w:r>
        <w:rPr>
          <w:b/>
          <w:bCs/>
        </w:rPr>
        <w:t xml:space="preserve">Exception-First "Needs You" Alerts:</w:t>
      </w:r>
      <w:r>
        <w:t xml:space="preserve"> </w:t>
      </w:r>
      <w:r>
        <w:t xml:space="preserve">Users are not subjected to hundreds of lines of raw agent chat. The UI remains quiet until the engine transitions to</w:t>
      </w:r>
      <w:r>
        <w:t xml:space="preserve"> </w:t>
      </w:r>
      <w:r>
        <w:rPr>
          <w:rStyle w:val="VerbatimChar"/>
        </w:rPr>
        <w:t xml:space="preserve">NEEDS_INPUT</w:t>
      </w:r>
      <w:r>
        <w:t xml:space="preserve">,</w:t>
      </w:r>
      <w:r>
        <w:t xml:space="preserve"> </w:t>
      </w:r>
      <w:r>
        <w:rPr>
          <w:rStyle w:val="VerbatimChar"/>
        </w:rPr>
        <w:t xml:space="preserve">PAUSED</w:t>
      </w:r>
      <w:r>
        <w:t xml:space="preserve">, or</w:t>
      </w:r>
      <w:r>
        <w:t xml:space="preserve"> </w:t>
      </w:r>
      <w:r>
        <w:rPr>
          <w:rStyle w:val="VerbatimChar"/>
        </w:rPr>
        <w:t xml:space="preserve">RECOVERING</w:t>
      </w:r>
      <w:r>
        <w:t xml:space="preserve">.</w:t>
      </w:r>
    </w:p>
    <w:p>
      <w:pPr>
        <w:pStyle w:val="Compact"/>
        <w:numPr>
          <w:ilvl w:val="0"/>
          <w:numId w:val="1019"/>
        </w:numPr>
      </w:pPr>
      <w:r>
        <w:rPr>
          <w:b/>
          <w:bCs/>
        </w:rPr>
        <w:t xml:space="preserve">Operator Control:</w:t>
      </w:r>
      <w:r>
        <w:t xml:space="preserve"> </w:t>
      </w:r>
      <w:r>
        <w:t xml:space="preserve">Operators can trigger non-destructive</w:t>
      </w:r>
      <w:r>
        <w:t xml:space="preserve"> </w:t>
      </w:r>
      <w:r>
        <w:rPr>
          <w:rStyle w:val="VerbatimChar"/>
        </w:rPr>
        <w:t xml:space="preserve">pause</w:t>
      </w:r>
      <w:r>
        <w:t xml:space="preserve">,</w:t>
      </w:r>
      <w:r>
        <w:t xml:space="preserve"> </w:t>
      </w:r>
      <w:r>
        <w:rPr>
          <w:rStyle w:val="VerbatimChar"/>
        </w:rPr>
        <w:t xml:space="preserve">takeover</w:t>
      </w:r>
      <w:r>
        <w:t xml:space="preserve">, or</w:t>
      </w:r>
      <w:r>
        <w:t xml:space="preserve"> </w:t>
      </w:r>
      <w:r>
        <w:rPr>
          <w:rStyle w:val="VerbatimChar"/>
        </w:rPr>
        <w:t xml:space="preserve">cancel</w:t>
      </w:r>
      <w:r>
        <w:t xml:space="preserve"> </w:t>
      </w:r>
      <w:r>
        <w:t xml:space="preserve">commands at any turn, guaranteeing calibrated human trust.</w:t>
      </w:r>
    </w:p>
    <w:p>
      <w:r>
        <w:pict>
          <v:rect style="width:0;height:1.5pt" o:hralign="center" o:hrstd="t" o:hr="t"/>
        </w:pict>
      </w:r>
    </w:p>
    <w:bookmarkEnd w:id="29"/>
    <w:bookmarkStart w:id="30" w:name="Xe4063286bd882d741151894ab14404764afd2e0"/>
    <w:p>
      <w:pPr>
        <w:pStyle w:val="Heading2"/>
      </w:pPr>
      <w:r>
        <w:t xml:space="preserve">8. Conclusion and Standardization Roadmap</w:t>
      </w:r>
    </w:p>
    <w:p>
      <w:pPr>
        <w:pStyle w:val="FirstParagraph"/>
      </w:pPr>
      <w:r>
        <w:t xml:space="preserve">The Jonas Abde Intelligence Systems Research Program has systematically resolved the foundational questions set forth in Q3 2026:</w:t>
      </w:r>
    </w:p>
    <w:p>
      <w:pPr>
        <w:pStyle w:val="Compact"/>
        <w:numPr>
          <w:ilvl w:val="0"/>
          <w:numId w:val="1020"/>
        </w:numPr>
      </w:pPr>
      <w:r>
        <w:t xml:space="preserve">The systems-level gap is</w:t>
      </w:r>
      <w:r>
        <w:t xml:space="preserve"> </w:t>
      </w:r>
      <w:r>
        <w:rPr>
          <w:b/>
          <w:bCs/>
        </w:rPr>
        <w:t xml:space="preserve">proven real and quantifiable</w:t>
      </w:r>
      <w:r>
        <w:t xml:space="preserve">: self-reporting agents fail 50–56% of the time, causing severe economic waste and silent defects.</w:t>
      </w:r>
    </w:p>
    <w:p>
      <w:pPr>
        <w:pStyle w:val="Compact"/>
        <w:numPr>
          <w:ilvl w:val="0"/>
          <w:numId w:val="1020"/>
        </w:numPr>
      </w:pPr>
      <w:r>
        <w:t xml:space="preserve">Monolithic, competing standards must be avoided:</w:t>
      </w:r>
      <w:r>
        <w:t xml:space="preserve"> </w:t>
      </w:r>
      <w:r>
        <w:rPr>
          <w:b/>
          <w:bCs/>
        </w:rPr>
        <w:t xml:space="preserve">compositional integration (D2)</w:t>
      </w:r>
      <w:r>
        <w:t xml:space="preserve"> </w:t>
      </w:r>
      <w:r>
        <w:t xml:space="preserve">of MCP, A2A, SPIFFE, and OpenTelemetry via a lightweight Mission Contract is the correct path forward.</w:t>
      </w:r>
    </w:p>
    <w:p>
      <w:pPr>
        <w:pStyle w:val="Compact"/>
        <w:numPr>
          <w:ilvl w:val="0"/>
          <w:numId w:val="1020"/>
        </w:numPr>
      </w:pPr>
      <w:r>
        <w:t xml:space="preserve">The reference implementation, progressive disclosure schemas, 14-point conformance suite, and blinded external packaging provide an implementable foundation ready for formal contributions to</w:t>
      </w:r>
      <w:r>
        <w:t xml:space="preserve"> </w:t>
      </w:r>
      <w:r>
        <w:rPr>
          <w:b/>
          <w:bCs/>
        </w:rPr>
        <w:t xml:space="preserve">IEEE P3709/P3777</w:t>
      </w:r>
      <w:r>
        <w:t xml:space="preserve"> </w:t>
      </w:r>
      <w:r>
        <w:t xml:space="preserve">and</w:t>
      </w:r>
      <w:r>
        <w:t xml:space="preserve"> </w:t>
      </w:r>
      <w:r>
        <w:rPr>
          <w:b/>
          <w:bCs/>
        </w:rPr>
        <w:t xml:space="preserve">NIST AI 200-2 (TEVV-Athlon)</w:t>
      </w:r>
      <w:r>
        <w:t xml:space="preserve">.</w:t>
      </w:r>
    </w:p>
    <w:p>
      <w:r>
        <w:pict>
          <v:rect style="width:0;height:1.5pt" o:hralign="center" o:hrstd="t" o:hr="t"/>
        </w:pict>
      </w:r>
    </w:p>
    <w:bookmarkEnd w:id="30"/>
    <w:bookmarkStart w:id="37" w:name="X46073dff36df9fb099b0cabf2d0d2d95a4241ab"/>
    <w:p>
      <w:pPr>
        <w:pStyle w:val="Heading2"/>
      </w:pPr>
      <w:r>
        <w:t xml:space="preserve">9. Scientific Disclosures, Limitations &amp; Empirical Classifications</w:t>
      </w:r>
    </w:p>
    <w:bookmarkStart w:id="31" w:name="X0c494b266aef8e3b943ab6f7f8355cea1ab5af4"/>
    <w:p>
      <w:pPr>
        <w:pStyle w:val="Heading3"/>
      </w:pPr>
      <w:r>
        <w:t xml:space="preserve">9.1 Empirical Classification of Benchmark Runs</w:t>
      </w:r>
    </w:p>
    <w:p>
      <w:pPr>
        <w:pStyle w:val="Compact"/>
        <w:numPr>
          <w:ilvl w:val="0"/>
          <w:numId w:val="1021"/>
        </w:numPr>
      </w:pPr>
      <w:r>
        <w:rPr>
          <w:b/>
          <w:bCs/>
        </w:rPr>
        <w:t xml:space="preserve">Controlled Simulations (JAR-EXP-0001, STUDY-002 to STUDY-005):</w:t>
      </w:r>
      <w:r>
        <w:t xml:space="preserve"> </w:t>
      </w:r>
      <w:r>
        <w:t xml:space="preserve">Executed within local sandboxes using calibrated error distributions derived from SWE-bench Lite.</w:t>
      </w:r>
    </w:p>
    <w:p>
      <w:pPr>
        <w:pStyle w:val="Compact"/>
        <w:numPr>
          <w:ilvl w:val="0"/>
          <w:numId w:val="1021"/>
        </w:numPr>
      </w:pPr>
      <w:r>
        <w:rPr>
          <w:b/>
          <w:bCs/>
        </w:rPr>
        <w:t xml:space="preserve">Live Multi-Model Benchmark (STUDY-008):</w:t>
      </w:r>
      <w:r>
        <w:t xml:space="preserve"> </w:t>
      </w:r>
      <w:r>
        <w:t xml:space="preserve">Executed with real stochastic generation (</w:t>
      </w:r>
      <m:oMath>
        <m:r>
          <m:t>T</m:t>
        </m:r>
        <m:r>
          <m:rPr>
            <m:sty m:val="p"/>
          </m:rPr>
          <m:t>=</m:t>
        </m:r>
        <m:r>
          <m:t>0.2</m:t>
        </m:r>
      </m:oMath>
      <w:r>
        <w:t xml:space="preserve">) against external foundation models (</w:t>
      </w:r>
      <w:r>
        <w:rPr>
          <w:rStyle w:val="VerbatimChar"/>
        </w:rPr>
        <w:t xml:space="preserve">qwen-3.8-max</w:t>
      </w:r>
      <w:r>
        <w:t xml:space="preserve">,</w:t>
      </w:r>
      <w:r>
        <w:t xml:space="preserve"> </w:t>
      </w:r>
      <w:r>
        <w:rPr>
          <w:rStyle w:val="VerbatimChar"/>
        </w:rPr>
        <w:t xml:space="preserve">deepseek-v4</w:t>
      </w:r>
      <w:r>
        <w:t xml:space="preserve">,</w:t>
      </w:r>
      <w:r>
        <w:t xml:space="preserve"> </w:t>
      </w:r>
      <w:r>
        <w:rPr>
          <w:rStyle w:val="VerbatimChar"/>
        </w:rPr>
        <w:t xml:space="preserve">xiaomi-mimo-2.5</w:t>
      </w:r>
      <w:r>
        <w:t xml:space="preserve">) via the Dialagram/Nexum routing gateway. We explicitly distinguish</w:t>
      </w:r>
      <w:r>
        <w:t xml:space="preserve"> </w:t>
      </w:r>
      <w:r>
        <w:rPr>
          <w:b/>
          <w:bCs/>
        </w:rPr>
        <w:t xml:space="preserve">live multi-model execution</w:t>
      </w:r>
      <w:r>
        <w:t xml:space="preserve"> </w:t>
      </w:r>
      <w:r>
        <w:t xml:space="preserve">(evaluating distinct model architectures via an aggregation gateway) from</w:t>
      </w:r>
      <w:r>
        <w:t xml:space="preserve"> </w:t>
      </w:r>
      <w:r>
        <w:rPr>
          <w:b/>
          <w:bCs/>
        </w:rPr>
        <w:t xml:space="preserve">live multi-provider execution</w:t>
      </w:r>
      <w:r>
        <w:t xml:space="preserve"> </w:t>
      </w:r>
      <w:r>
        <w:t xml:space="preserve">(evaluating distinct, independently operated physical routing infrastructures).</w:t>
      </w:r>
    </w:p>
    <w:bookmarkEnd w:id="31"/>
    <w:bookmarkStart w:id="32" w:name="X708e5cfbb77ae29835dc45c2d8c3e30ade49a96"/>
    <w:p>
      <w:pPr>
        <w:pStyle w:val="Heading3"/>
      </w:pPr>
      <w:r>
        <w:t xml:space="preserve">9.2 Statistical Sample Bounding</w:t>
      </w:r>
    </w:p>
    <w:p>
      <w:pPr>
        <w:pStyle w:val="FirstParagraph"/>
      </w:pPr>
      <w:r>
        <w:t xml:space="preserve">Claims regarding False Completion Rate (FCR) are strictly sample-bounded. In the evaluated live sample (</w:t>
      </w:r>
      <m:oMath>
        <m:r>
          <m:t>N</m:t>
        </m:r>
        <m:r>
          <m:rPr>
            <m:sty m:val="p"/>
          </m:rPr>
          <m:t>=</m:t>
        </m:r>
        <m:r>
          <m:t>75</m:t>
        </m:r>
      </m:oMath>
      <w:r>
        <w:t xml:space="preserve"> </w:t>
      </w:r>
      <w:r>
        <w:t xml:space="preserve">for Condition G,</w:t>
      </w:r>
      <w:r>
        <w:t xml:space="preserve"> </w:t>
      </w:r>
      <m:oMath>
        <m:r>
          <m:t>N</m:t>
        </m:r>
        <m:r>
          <m:rPr>
            <m:sty m:val="p"/>
          </m:rPr>
          <m:t>=</m:t>
        </m:r>
        <m:r>
          <m:t>275</m:t>
        </m:r>
      </m:oMath>
      <w:r>
        <w:t xml:space="preserve"> </w:t>
      </w:r>
      <w:r>
        <w:t xml:space="preserve">overall), observed FCR was 0.0% [95% Wilson CI: 0.0%, 5.75%]. Zero observed failures in evaluated conditions does not prove zero population failure probability across unobserved distributions.</w:t>
      </w:r>
    </w:p>
    <w:bookmarkEnd w:id="32"/>
    <w:bookmarkStart w:id="33" w:name="X4ccf6bc9e54823406791d2f0d873ee288bbbf51"/>
    <w:p>
      <w:pPr>
        <w:pStyle w:val="Heading3"/>
      </w:pPr>
      <w:r>
        <w:t xml:space="preserve">9.3 In-Tree Implementations vs. Third-Party Reproduction</w:t>
      </w:r>
    </w:p>
    <w:p>
      <w:pPr>
        <w:pStyle w:val="FirstParagraph"/>
      </w:pPr>
      <w:r>
        <w:t xml:space="preserve">The three implementations evaluated in this program (the reference engine, the second clean-room-style Python engine, and the clean-room Node.js engine) were produced internally within this research program. Genuinely independent external reproduction by third-party engineering teams is facilitated through the blinded distribution package in</w:t>
      </w:r>
      <w:r>
        <w:t xml:space="preserve"> </w:t>
      </w:r>
      <w:r>
        <w:rPr>
          <w:rStyle w:val="VerbatimChar"/>
        </w:rPr>
        <w:t xml:space="preserve">external_validation_pack_vNext/</w:t>
      </w:r>
      <w:r>
        <w:t xml:space="preserve">.</w:t>
      </w:r>
    </w:p>
    <w:bookmarkEnd w:id="33"/>
    <w:bookmarkStart w:id="34" w:name="X93d3a0581a5df2b2dcd5311f8607657c27afa2d"/>
    <w:p>
      <w:pPr>
        <w:pStyle w:val="Heading3"/>
      </w:pPr>
      <w:r>
        <w:t xml:space="preserve">9.4 Human Experience Status</w:t>
      </w:r>
    </w:p>
    <w:p>
      <w:pPr>
        <w:pStyle w:val="FirstParagraph"/>
      </w:pPr>
      <w:r>
        <w:t xml:space="preserve">Claims regarding human usability and cognitive workload in Phase C are derived from prototype cognitive modeling (GOMS/KLM) and architectural analysis (</w:t>
      </w:r>
      <m:oMath>
        <m:r>
          <m:t>N</m:t>
        </m:r>
        <m:r>
          <m:rPr>
            <m:sty m:val="p"/>
          </m:rPr>
          <m:t>=</m:t>
        </m:r>
        <m:r>
          <m:t>0</m:t>
        </m:r>
      </m:oMath>
      <w:r>
        <w:t xml:space="preserve"> </w:t>
      </w:r>
      <w:r>
        <w:t xml:space="preserve">live humans). A formal human-subject pilot protocol (</w:t>
      </w:r>
      <m:oMath>
        <m:r>
          <m:t>N</m:t>
        </m:r>
        <m:r>
          <m:rPr>
            <m:sty m:val="p"/>
          </m:rPr>
          <m:t>=</m:t>
        </m:r>
        <m:r>
          <m:t>8</m:t>
        </m:r>
        <m:r>
          <m:rPr>
            <m:nor/>
            <m:sty m:val="p"/>
          </m:rPr>
          <m:t>–</m:t>
        </m:r>
        <m:r>
          <m:t>16</m:t>
        </m:r>
      </m:oMath>
      <w:r>
        <w:t xml:space="preserve">) and full randomized controlled trial (</w:t>
      </w:r>
      <m:oMath>
        <m:r>
          <m:t>N</m:t>
        </m:r>
        <m:r>
          <m:rPr>
            <m:sty m:val="p"/>
          </m:rPr>
          <m:t>=</m:t>
        </m:r>
        <m:r>
          <m:t>152</m:t>
        </m:r>
      </m:oMath>
      <w:r>
        <w:t xml:space="preserve">, IRB approval pending) are preregistered under</w:t>
      </w:r>
      <w:r>
        <w:t xml:space="preserve"> </w:t>
      </w:r>
      <w:r>
        <w:rPr>
          <w:rStyle w:val="VerbatimChar"/>
        </w:rPr>
        <w:t xml:space="preserve">HCI-PILOT-PROTOCOL.md</w:t>
      </w:r>
      <w:r>
        <w:t xml:space="preserve"> </w:t>
      </w:r>
      <w:r>
        <w:t xml:space="preserve">and</w:t>
      </w:r>
      <w:r>
        <w:t xml:space="preserve"> </w:t>
      </w:r>
      <w:r>
        <w:rPr>
          <w:rStyle w:val="VerbatimChar"/>
        </w:rPr>
        <w:t xml:space="preserve">STUDY-006-HCI-PREREGISTRATION.md</w:t>
      </w:r>
      <w:r>
        <w:t xml:space="preserve">.</w:t>
      </w:r>
    </w:p>
    <w:bookmarkEnd w:id="34"/>
    <w:bookmarkStart w:id="35" w:name="X175f22ac815b03094627d36ab8db5b5c71dfbfc"/>
    <w:p>
      <w:pPr>
        <w:pStyle w:val="Heading3"/>
      </w:pPr>
      <w:r>
        <w:t xml:space="preserve">9.5 Current Program Maturity Rating</w:t>
      </w:r>
    </w:p>
    <w:p>
      <w:pPr>
        <w:pStyle w:val="FirstParagraph"/>
      </w:pPr>
      <w:r>
        <w:t xml:space="preserve">The current defensible maturity level of the program is formally classified as</w:t>
      </w:r>
      <w:r>
        <w:t xml:space="preserve"> </w:t>
      </w:r>
      <w:r>
        <w:rPr>
          <w:b/>
          <w:bCs/>
        </w:rPr>
        <w:t xml:space="preserve">Level C+ (Validated Research Result)</w:t>
      </w:r>
      <w:r>
        <w:t xml:space="preserve"> </w:t>
      </w:r>
      <w:r>
        <w:t xml:space="preserve">with a provisional path toward</w:t>
      </w:r>
      <w:r>
        <w:t xml:space="preserve"> </w:t>
      </w:r>
      <w:r>
        <w:rPr>
          <w:b/>
          <w:bCs/>
        </w:rPr>
        <w:t xml:space="preserve">Level D (Implementable Standard Candidate)</w:t>
      </w:r>
      <w:r>
        <w:t xml:space="preserve">. Progression to full End State D or E requires completion of the external blinded clean-room challenge and institutional SDO committee milestones.</w:t>
      </w:r>
    </w:p>
    <w:bookmarkEnd w:id="35"/>
    <w:bookmarkStart w:id="36" w:name="X14e214a29b5e1e2acae654c9edf6658636ea717"/>
    <w:p>
      <w:pPr>
        <w:pStyle w:val="Heading3"/>
      </w:pPr>
      <w:r>
        <w:t xml:space="preserve">9.6 Generative AI Assistance Disclosure</w:t>
      </w:r>
    </w:p>
    <w:p>
      <w:pPr>
        <w:pStyle w:val="FirstParagraph"/>
      </w:pPr>
      <w:r>
        <w:t xml:space="preserve">In compliance with academic publication standards (COPE), the author discloses that generative AI assistants (Anthropic Claude, Google Gemini, Antigravity) were employed for boilerplate code generation, test scripting, and typography under the direct intellectual direction, supervision, and review of the human author (Jonas Abde).</w:t>
      </w:r>
    </w:p>
    <w:p>
      <w:r>
        <w:pict>
          <v:rect style="width:0;height:1.5pt" o:hralign="center" o:hrstd="t" o:hr="t"/>
        </w:pict>
      </w:r>
    </w:p>
    <w:p>
      <w:pPr>
        <w:pStyle w:val="FirstParagraph"/>
      </w:pPr>
      <w:r>
        <w:rPr>
          <w:i/>
          <w:iCs/>
        </w:rPr>
        <w:t xml:space="preserve">End of Research Program Synthesis Paper.</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2026-09-10T16:02:43Z</dcterms:created>
  <dcterms:modified xsi:type="dcterms:W3CDTF">2026-09-10T16:02:43Z</dcterms:modified>
</cp:coreProperties>
</file>

<file path=docProps/custom.xml><?xml version="1.0" encoding="utf-8"?>
<Properties xmlns="http://schemas.openxmlformats.org/officeDocument/2006/custom-properties" xmlns:vt="http://schemas.openxmlformats.org/officeDocument/2006/docPropsVTypes"/>
</file>