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26803b84e581a86c3fa7acfbd0874973ef11db4"/>
    <w:p>
      <w:pPr>
        <w:pStyle w:val="Heading1"/>
      </w:pPr>
      <w:r>
        <w:t xml:space="preserve">MISSION-Bench: An Empirical Benchmark for Fault-Injected Long-Horizon Multi-Domain AI Systems</w:t>
      </w:r>
    </w:p>
    <w:p>
      <w:pPr>
        <w:pStyle w:val="FirstParagraph"/>
      </w:pPr>
      <w:r>
        <w:rPr>
          <w:b/>
          <w:bCs/>
        </w:rPr>
        <w:t xml:space="preserve">Principal Researcher:</w:t>
      </w:r>
      <w:r>
        <w:t xml:space="preserve"> </w:t>
      </w:r>
      <w:r>
        <w:t xml:space="preserve">Jonas Abde</w:t>
      </w:r>
      <w:r>
        <w:br/>
      </w:r>
      <w:r>
        <w:rPr>
          <w:b/>
          <w:bCs/>
        </w:rPr>
        <w:t xml:space="preserve">Program:</w:t>
      </w:r>
      <w:r>
        <w:t xml:space="preserve"> </w:t>
      </w:r>
      <w:r>
        <w:t xml:space="preserve">Jonas Abde Intelligence Systems Research Program — Q3 2026</w:t>
      </w:r>
      <w:r>
        <w:br/>
      </w:r>
      <w:r>
        <w:rPr>
          <w:b/>
          <w:bCs/>
        </w:rPr>
        <w:t xml:space="preserve">Publication Track:</w:t>
      </w:r>
      <w:r>
        <w:t xml:space="preserve"> </w:t>
      </w:r>
      <w:r>
        <w:t xml:space="preserve">Systems Benchmark &amp; Evaluation Paper</w:t>
      </w:r>
      <w:r>
        <w:br/>
      </w:r>
      <w:r>
        <w:rPr>
          <w:b/>
          <w:bCs/>
        </w:rPr>
        <w:t xml:space="preserve">Target Conferences / SDOs:</w:t>
      </w:r>
      <w:r>
        <w:t xml:space="preserve"> </w:t>
      </w:r>
      <w:r>
        <w:t xml:space="preserve">IEEE Conference on Artificial Intelligence (CAI 2026), NeurIPS Datasets &amp; Benchmarks Track, NIST AI 200-2 Alignment</w:t>
      </w:r>
      <w:r>
        <w:br/>
      </w:r>
      <w:r>
        <w:rPr>
          <w:b/>
          <w:bCs/>
        </w:rPr>
        <w:t xml:space="preserve">Date:</w:t>
      </w:r>
      <w:r>
        <w:t xml:space="preserve"> </w:t>
      </w:r>
      <w:r>
        <w:t xml:space="preserve">3 September 2026</w:t>
      </w:r>
      <w:r>
        <w:br/>
      </w:r>
      <w:r>
        <w:rPr>
          <w:b/>
          <w:bCs/>
        </w:rPr>
        <w:t xml:space="preserve">Status:</w:t>
      </w:r>
      <w:r>
        <w:t xml:space="preserve"> </w:t>
      </w:r>
      <w:r>
        <w:t xml:space="preserve">PUBLICATION-READY BENCHMARK PAPER</w:t>
      </w:r>
    </w:p>
    <w:p>
      <w:r>
        <w:pict>
          <v:rect style="width:0;height:1.5pt" o:hralign="center" o:hrstd="t" o:hr="t"/>
        </w:pict>
      </w:r>
    </w:p>
    <w:bookmarkStart w:id="9" w:name="abstract"/>
    <w:p>
      <w:pPr>
        <w:pStyle w:val="Heading2"/>
      </w:pPr>
      <w:r>
        <w:t xml:space="preserve">Abstract</w:t>
      </w:r>
    </w:p>
    <w:p>
      <w:pPr>
        <w:pStyle w:val="FirstParagraph"/>
      </w:pPr>
      <w:r>
        <w:t xml:space="preserve">Evaluating autonomous AI agents has historically focused on single-turn benchmark tasks evaluated in static, deterministic environments (e.g. standard SWE-bench). However, when agents are deployed in consequential production environments, they face asynchronous tool latency, state drift, API credential revocation, context window compaction, and partial tool failures. Under these conditions, existing agents exhibit alarming failure rates coupled with silent false completion.</w:t>
      </w:r>
    </w:p>
    <w:p>
      <w:pPr>
        <w:pStyle w:val="BodyText"/>
      </w:pPr>
      <w:r>
        <w:t xml:space="preserve">This paper introduces</w:t>
      </w:r>
      <w:r>
        <w:t xml:space="preserve"> </w:t>
      </w:r>
      <w:r>
        <w:rPr>
          <w:b/>
          <w:bCs/>
        </w:rPr>
        <w:t xml:space="preserve">MISSION-Bench</w:t>
      </w:r>
      <w:r>
        <w:t xml:space="preserve">, a reproducible benchmark suite consisting of 100 multi-domain tasks spanning Software Engineering, Autonomous Cyber-Physical Robotics, and Financial Data Engineering. MISSION-Bench introduces a formal</w:t>
      </w:r>
      <w:r>
        <w:t xml:space="preserve"> </w:t>
      </w:r>
      <w:r>
        <w:rPr>
          <w:b/>
          <w:bCs/>
        </w:rPr>
        <w:t xml:space="preserve">8-stage Ablation Ladder</w:t>
      </w:r>
      <w:r>
        <w:t xml:space="preserve"> </w:t>
      </w:r>
      <w:r>
        <w:t xml:space="preserve">(Baseline</w:t>
      </w:r>
      <w:r>
        <w:t xml:space="preserve"> </w:t>
      </w:r>
      <m:oMath>
        <m:r>
          <m:rPr>
            <m:sty m:val="p"/>
          </m:rPr>
          <m:t>→</m:t>
        </m:r>
      </m:oMath>
      <w:r>
        <w:t xml:space="preserve"> </w:t>
      </w:r>
      <w:r>
        <w:t xml:space="preserve">+Mission</w:t>
      </w:r>
      <w:r>
        <w:t xml:space="preserve"> </w:t>
      </w:r>
      <m:oMath>
        <m:r>
          <m:rPr>
            <m:sty m:val="p"/>
          </m:rPr>
          <m:t>→</m:t>
        </m:r>
      </m:oMath>
      <w:r>
        <w:t xml:space="preserve"> </w:t>
      </w:r>
      <w:r>
        <w:t xml:space="preserve">+State</w:t>
      </w:r>
      <w:r>
        <w:t xml:space="preserve"> </w:t>
      </w:r>
      <m:oMath>
        <m:r>
          <m:rPr>
            <m:sty m:val="p"/>
          </m:rPr>
          <m:t>→</m:t>
        </m:r>
      </m:oMath>
      <w:r>
        <w:t xml:space="preserve"> </w:t>
      </w:r>
      <w:r>
        <w:t xml:space="preserve">+Authority</w:t>
      </w:r>
      <w:r>
        <w:t xml:space="preserve"> </w:t>
      </w:r>
      <m:oMath>
        <m:r>
          <m:rPr>
            <m:sty m:val="p"/>
          </m:rPr>
          <m:t>→</m:t>
        </m:r>
      </m:oMath>
      <w:r>
        <w:t xml:space="preserve"> </w:t>
      </w:r>
      <w:r>
        <w:t xml:space="preserve">+Verification</w:t>
      </w:r>
      <w:r>
        <w:t xml:space="preserve"> </w:t>
      </w:r>
      <m:oMath>
        <m:r>
          <m:rPr>
            <m:sty m:val="p"/>
          </m:rPr>
          <m:t>→</m:t>
        </m:r>
      </m:oMath>
      <w:r>
        <w:t xml:space="preserve"> </w:t>
      </w:r>
      <w:r>
        <w:t xml:space="preserve">+Evidence</w:t>
      </w:r>
      <w:r>
        <w:t xml:space="preserve"> </w:t>
      </w:r>
      <m:oMath>
        <m:r>
          <m:rPr>
            <m:sty m:val="p"/>
          </m:rPr>
          <m:t>→</m:t>
        </m:r>
      </m:oMath>
      <w:r>
        <w:t xml:space="preserve"> </w:t>
      </w:r>
      <w:r>
        <w:t xml:space="preserve">+Recovery</w:t>
      </w:r>
      <w:r>
        <w:t xml:space="preserve"> </w:t>
      </w:r>
      <m:oMath>
        <m:r>
          <m:rPr>
            <m:sty m:val="p"/>
          </m:rPr>
          <m:t>→</m:t>
        </m:r>
      </m:oMath>
      <w:r>
        <w:t xml:space="preserve"> </w:t>
      </w:r>
      <w:r>
        <w:t xml:space="preserve">Full System) evaluated under</w:t>
      </w:r>
      <w:r>
        <w:t xml:space="preserve"> </w:t>
      </w:r>
      <w:r>
        <w:rPr>
          <w:b/>
          <w:bCs/>
        </w:rPr>
        <w:t xml:space="preserve">10 realistic failure injection modes</w:t>
      </w:r>
      <w:r>
        <w:t xml:space="preserve">.</w:t>
      </w:r>
    </w:p>
    <w:p>
      <w:pPr>
        <w:pStyle w:val="BodyText"/>
      </w:pPr>
      <w:r>
        <w:t xml:space="preserve">Through 800 benchmark execution runs, we show that:</w:t>
      </w:r>
    </w:p>
    <w:p>
      <w:pPr>
        <w:pStyle w:val="Compact"/>
        <w:numPr>
          <w:ilvl w:val="0"/>
          <w:numId w:val="1001"/>
        </w:numPr>
      </w:pPr>
      <w:r>
        <w:t xml:space="preserve">Conventional unmanaged tool-calling agents achieve an actual</w:t>
      </w:r>
      <w:r>
        <w:t xml:space="preserve"> </w:t>
      </w:r>
      <w:r>
        <w:rPr>
          <w:b/>
          <w:bCs/>
        </w:rPr>
        <w:t xml:space="preserve">Verified Success Rate (VSR) of only 11.0%</w:t>
      </w:r>
      <w:r>
        <w:t xml:space="preserve">, while falsely declaring completion in 84.7% of failure instances (95% Wilson CI: [74.7%, 91.2%]).</w:t>
      </w:r>
    </w:p>
    <w:p>
      <w:pPr>
        <w:pStyle w:val="Compact"/>
        <w:numPr>
          <w:ilvl w:val="0"/>
          <w:numId w:val="1001"/>
        </w:numPr>
      </w:pPr>
      <w:r>
        <w:t xml:space="preserve">Independent evidence-gated verification (Invariants 1 &amp; 2) achieved</w:t>
      </w:r>
      <w:r>
        <w:t xml:space="preserve"> </w:t>
      </w:r>
      <w:r>
        <w:rPr>
          <w:b/>
          <w:bCs/>
        </w:rPr>
        <w:t xml:space="preserve">0.0% observed false completions</w:t>
      </w:r>
      <w:r>
        <w:t xml:space="preserve"> </w:t>
      </w:r>
      <w:r>
        <w:t xml:space="preserve">in the evaluated sample (95% Wilson CI: [0.0%, 4.93%],</w:t>
      </w:r>
      <w:r>
        <w:t xml:space="preserve"> </w:t>
      </w:r>
      <m:oMath>
        <m:r>
          <m:t>p</m:t>
        </m:r>
        <m:r>
          <m:rPr>
            <m:sty m:val="p"/>
          </m:rPr>
          <m:t>&lt;</m:t>
        </m:r>
        <m:sSup>
          <m:e>
            <m:r>
              <m:t>10</m:t>
            </m:r>
          </m:e>
          <m:sup>
            <m:r>
              <m:rPr>
                <m:sty m:val="p"/>
              </m:rPr>
              <m:t>−</m:t>
            </m:r>
            <m:r>
              <m:t>12</m:t>
            </m:r>
          </m:sup>
        </m:sSup>
      </m:oMath>
      <w:r>
        <w:t xml:space="preserve">), outperforming LLM-as-a-judge approaches which suffer from an empirical 19.4% false-positive rate.</w:t>
      </w:r>
    </w:p>
    <w:p>
      <w:pPr>
        <w:pStyle w:val="Compact"/>
        <w:numPr>
          <w:ilvl w:val="0"/>
          <w:numId w:val="1001"/>
        </w:numPr>
      </w:pPr>
      <w:r>
        <w:t xml:space="preserve">Purpose-bound authority delegation tokens (Invariant 3) reduce the</w:t>
      </w:r>
      <w:r>
        <w:t xml:space="preserve"> </w:t>
      </w:r>
      <w:r>
        <w:rPr>
          <w:b/>
          <w:bCs/>
        </w:rPr>
        <w:t xml:space="preserve">Unauthorized Action Rate (UAR) from 100.0% to 0.0%</w:t>
      </w:r>
      <w:r>
        <w:t xml:space="preserve">.</w:t>
      </w:r>
    </w:p>
    <w:p>
      <w:pPr>
        <w:pStyle w:val="Compact"/>
        <w:numPr>
          <w:ilvl w:val="0"/>
          <w:numId w:val="1001"/>
        </w:numPr>
      </w:pPr>
      <w:r>
        <w:t xml:space="preserve">Closed-loop automated diagnostic recovery elevates verified yield from</w:t>
      </w:r>
      <w:r>
        <w:t xml:space="preserve"> </w:t>
      </w:r>
      <w:r>
        <w:rPr>
          <w:b/>
          <w:bCs/>
        </w:rPr>
        <w:t xml:space="preserve">14.0% to 74.0%</w:t>
      </w:r>
      <w:r>
        <w:t xml:space="preserve">, reducing the</w:t>
      </w:r>
      <w:r>
        <w:t xml:space="preserve"> </w:t>
      </w:r>
      <w:r>
        <w:rPr>
          <w:b/>
          <w:bCs/>
        </w:rPr>
        <w:t xml:space="preserve">Cost Per Verified Outcome (CPVO) by 81.3%</w:t>
      </w:r>
      <w:r>
        <w:t xml:space="preserve"> </w:t>
      </w:r>
      <w:r>
        <w:t xml:space="preserve">($0.5791 to $0.1081) and amortizing the 1.6% Control Plane Tax.</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As AI systems are granted authority to interact with databases, execution shells, robotic actuators, and financial ledgers, the primary engineering hazard is no longer poor reasoning; it is</w:t>
      </w:r>
      <w:r>
        <w:t xml:space="preserve"> </w:t>
      </w:r>
      <w:r>
        <w:rPr>
          <w:b/>
          <w:bCs/>
        </w:rPr>
        <w:t xml:space="preserve">unverified execution masquerading as success</w:t>
      </w:r>
      <w:r>
        <w:t xml:space="preserve">.</w:t>
      </w:r>
    </w:p>
    <w:p>
      <w:pPr>
        <w:pStyle w:val="BodyText"/>
      </w:pPr>
      <w:r>
        <w:t xml:space="preserve">Traditional evaluation benchmarks assess agent capability by checking whether an agent emits a solution when everything works smoothly. In reality, operational environments are defined by failure. In this paper, we operationalize the first systematic, fault-injected benchmark suite designed specifically to stress-test systems-level integration primitives.</w:t>
      </w:r>
    </w:p>
    <w:p>
      <w:r>
        <w:pict>
          <v:rect style="width:0;height:1.5pt" o:hralign="center" o:hrstd="t" o:hr="t"/>
        </w:pict>
      </w:r>
    </w:p>
    <w:bookmarkEnd w:id="10"/>
    <w:bookmarkStart w:id="11" w:name="Xf8f7df4852097bbd3342c98589f1443bdc57129"/>
    <w:p>
      <w:pPr>
        <w:pStyle w:val="Heading2"/>
      </w:pPr>
      <w:r>
        <w:t xml:space="preserve">2. Benchmark Design &amp; Multi-Domain Workloads</w:t>
      </w:r>
    </w:p>
    <w:p>
      <w:pPr>
        <w:pStyle w:val="FirstParagraph"/>
      </w:pPr>
      <w:r>
        <w:t xml:space="preserve">MISSION-Bench comprises 100 benchmark tasks evenly divided across three distinct operational regimes:</w:t>
      </w:r>
    </w:p>
    <w:p>
      <w:pPr>
        <w:pStyle w:val="Compact"/>
        <w:numPr>
          <w:ilvl w:val="0"/>
          <w:numId w:val="1002"/>
        </w:numPr>
      </w:pPr>
      <w:r>
        <w:rPr>
          <w:b/>
          <w:bCs/>
        </w:rPr>
        <w:t xml:space="preserve">Software Engineering (SWE, 50 tasks):</w:t>
      </w:r>
      <w:r>
        <w:t xml:space="preserve"> </w:t>
      </w:r>
      <w:r>
        <w:t xml:space="preserve">Complex issues in routing, authentication, memory caching, cryptography, and concurrent synchronization. Verified by deterministic regression test suites.</w:t>
      </w:r>
    </w:p>
    <w:p>
      <w:pPr>
        <w:pStyle w:val="Compact"/>
        <w:numPr>
          <w:ilvl w:val="0"/>
          <w:numId w:val="1002"/>
        </w:numPr>
      </w:pPr>
      <w:r>
        <w:rPr>
          <w:b/>
          <w:bCs/>
        </w:rPr>
        <w:t xml:space="preserve">Autonomous Cyber-Physical Robotics (25 tasks):</w:t>
      </w:r>
      <w:r>
        <w:t xml:space="preserve"> </w:t>
      </w:r>
      <w:r>
        <w:t xml:space="preserve">Multi-waypoint navigation, robotic arm manipulation, and sensor fusion under kinematic geofence constraints and strict battery envelopes. Verified by deterministic sensor logs and cryptographic hardware receipts.</w:t>
      </w:r>
    </w:p>
    <w:p>
      <w:pPr>
        <w:pStyle w:val="Compact"/>
        <w:numPr>
          <w:ilvl w:val="0"/>
          <w:numId w:val="1002"/>
        </w:numPr>
      </w:pPr>
      <w:r>
        <w:rPr>
          <w:b/>
          <w:bCs/>
        </w:rPr>
        <w:t xml:space="preserve">Audited Financial Data Engineering (25 tasks):</w:t>
      </w:r>
      <w:r>
        <w:t xml:space="preserve"> </w:t>
      </w:r>
      <w:r>
        <w:t xml:space="preserve">High-volume transactional ledger reconciliation and compliance auditing with strict zero-delta balance requirements. Verified by cryptographic C2PA provenance manifests and compliance rules.</w:t>
      </w:r>
    </w:p>
    <w:p>
      <w:r>
        <w:pict>
          <v:rect style="width:0;height:1.5pt" o:hralign="center" o:hrstd="t" o:hr="t"/>
        </w:pict>
      </w:r>
    </w:p>
    <w:bookmarkEnd w:id="11"/>
    <w:bookmarkStart w:id="12" w:name="Xa10d64b54f5988bc586fea3f57f8ff430ed69d3"/>
    <w:p>
      <w:pPr>
        <w:pStyle w:val="Heading2"/>
      </w:pPr>
      <w:r>
        <w:t xml:space="preserve">3. The 10 Failure Injection Modes</w:t>
      </w:r>
    </w:p>
    <w:p>
      <w:pPr>
        <w:pStyle w:val="FirstParagraph"/>
      </w:pPr>
      <w:r>
        <w:t xml:space="preserve">To simulate realistic operational stressors, tasks are injected with 10 deterministic failure modes:</w:t>
      </w:r>
    </w:p>
    <w:p>
      <w:pPr>
        <w:pStyle w:val="Compact"/>
        <w:numPr>
          <w:ilvl w:val="0"/>
          <w:numId w:val="1003"/>
        </w:numPr>
      </w:pPr>
      <w:r>
        <w:rPr>
          <w:rStyle w:val="VerbatimChar"/>
        </w:rPr>
        <w:t xml:space="preserve">tool_timeout</w:t>
      </w:r>
      <w:r>
        <w:t xml:space="preserve">: Invocation latency exceeding tool timeout thresholds.</w:t>
      </w:r>
    </w:p>
    <w:p>
      <w:pPr>
        <w:pStyle w:val="Compact"/>
        <w:numPr>
          <w:ilvl w:val="0"/>
          <w:numId w:val="1003"/>
        </w:numPr>
      </w:pPr>
      <w:r>
        <w:rPr>
          <w:rStyle w:val="VerbatimChar"/>
        </w:rPr>
        <w:t xml:space="preserve">bad_output</w:t>
      </w:r>
      <w:r>
        <w:t xml:space="preserve">: External API returning malformed, truncated, or schema-violating output.</w:t>
      </w:r>
    </w:p>
    <w:p>
      <w:pPr>
        <w:pStyle w:val="Compact"/>
        <w:numPr>
          <w:ilvl w:val="0"/>
          <w:numId w:val="1003"/>
        </w:numPr>
      </w:pPr>
      <w:r>
        <w:rPr>
          <w:rStyle w:val="VerbatimChar"/>
        </w:rPr>
        <w:t xml:space="preserve">stale_state</w:t>
      </w:r>
      <w:r>
        <w:t xml:space="preserve">: Environment state changing between agent turns.</w:t>
      </w:r>
    </w:p>
    <w:p>
      <w:pPr>
        <w:pStyle w:val="Compact"/>
        <w:numPr>
          <w:ilvl w:val="0"/>
          <w:numId w:val="1003"/>
        </w:numPr>
      </w:pPr>
      <w:r>
        <w:rPr>
          <w:rStyle w:val="VerbatimChar"/>
        </w:rPr>
        <w:t xml:space="preserve">revocation</w:t>
      </w:r>
      <w:r>
        <w:t xml:space="preserve">: Delegation token invalidated mid-mission.</w:t>
      </w:r>
    </w:p>
    <w:p>
      <w:pPr>
        <w:pStyle w:val="Compact"/>
        <w:numPr>
          <w:ilvl w:val="0"/>
          <w:numId w:val="1003"/>
        </w:numPr>
      </w:pPr>
      <w:r>
        <w:rPr>
          <w:rStyle w:val="VerbatimChar"/>
        </w:rPr>
        <w:t xml:space="preserve">context_loss</w:t>
      </w:r>
      <w:r>
        <w:t xml:space="preserve">: Critical constraint evicted from model context window.</w:t>
      </w:r>
    </w:p>
    <w:p>
      <w:pPr>
        <w:pStyle w:val="Compact"/>
        <w:numPr>
          <w:ilvl w:val="0"/>
          <w:numId w:val="1003"/>
        </w:numPr>
      </w:pPr>
      <w:r>
        <w:rPr>
          <w:rStyle w:val="VerbatimChar"/>
        </w:rPr>
        <w:t xml:space="preserve">budget_exhaustion</w:t>
      </w:r>
      <w:r>
        <w:t xml:space="preserve">: Token ceiling reached before goal completion.</w:t>
      </w:r>
    </w:p>
    <w:p>
      <w:pPr>
        <w:pStyle w:val="Compact"/>
        <w:numPr>
          <w:ilvl w:val="0"/>
          <w:numId w:val="1003"/>
        </w:numPr>
      </w:pPr>
      <w:r>
        <w:rPr>
          <w:rStyle w:val="VerbatimChar"/>
        </w:rPr>
        <w:t xml:space="preserve">partial_execution</w:t>
      </w:r>
      <w:r>
        <w:t xml:space="preserve">: Agent terminates after completing only a subset of sub-goals.</w:t>
      </w:r>
    </w:p>
    <w:p>
      <w:pPr>
        <w:pStyle w:val="Compact"/>
        <w:numPr>
          <w:ilvl w:val="0"/>
          <w:numId w:val="1003"/>
        </w:numPr>
      </w:pPr>
      <w:r>
        <w:rPr>
          <w:rStyle w:val="VerbatimChar"/>
        </w:rPr>
        <w:t xml:space="preserve">env_change</w:t>
      </w:r>
      <w:r>
        <w:t xml:space="preserve">: External precondition invalidated.</w:t>
      </w:r>
    </w:p>
    <w:p>
      <w:pPr>
        <w:pStyle w:val="Compact"/>
        <w:numPr>
          <w:ilvl w:val="0"/>
          <w:numId w:val="1003"/>
        </w:numPr>
      </w:pPr>
      <w:r>
        <w:rPr>
          <w:rStyle w:val="VerbatimChar"/>
        </w:rPr>
        <w:t xml:space="preserve">verifier_failure</w:t>
      </w:r>
      <w:r>
        <w:t xml:space="preserve">: Primary verifier returns error / down.</w:t>
      </w:r>
    </w:p>
    <w:p>
      <w:pPr>
        <w:pStyle w:val="Compact"/>
        <w:numPr>
          <w:ilvl w:val="0"/>
          <w:numId w:val="1003"/>
        </w:numPr>
      </w:pPr>
      <w:r>
        <w:rPr>
          <w:rStyle w:val="VerbatimChar"/>
        </w:rPr>
        <w:t xml:space="preserve">model_failure</w:t>
      </w:r>
      <w:r>
        <w:t xml:space="preserve">: Upstream model API rate limit or server error.</w:t>
      </w:r>
    </w:p>
    <w:p>
      <w:r>
        <w:pict>
          <v:rect style="width:0;height:1.5pt" o:hralign="center" o:hrstd="t" o:hr="t"/>
        </w:pict>
      </w:r>
    </w:p>
    <w:bookmarkEnd w:id="12"/>
    <w:bookmarkStart w:id="14" w:name="X7addb9c46cb8b94323ad642c8c281fc1bb57990"/>
    <w:p>
      <w:pPr>
        <w:pStyle w:val="Heading2"/>
      </w:pPr>
      <w:r>
        <w:t xml:space="preserve">4. Quantitative Results &amp; Ablation Analysis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Stage</w:t>
            </w:r>
          </w:p>
        </w:tc>
        <w:tc>
          <w:tcPr/>
          <w:p>
            <w:pPr>
              <w:pStyle w:val="Compact"/>
              <w:jc w:val="left"/>
            </w:pPr>
            <w:r>
              <w:t xml:space="preserve">Name</w:t>
            </w:r>
          </w:p>
        </w:tc>
        <w:tc>
          <w:tcPr/>
          <w:p>
            <w:pPr>
              <w:pStyle w:val="Compact"/>
              <w:jc w:val="left"/>
            </w:pPr>
            <w:r>
              <w:t xml:space="preserve">VSR</w:t>
            </w:r>
          </w:p>
        </w:tc>
        <w:tc>
          <w:tcPr/>
          <w:p>
            <w:pPr>
              <w:pStyle w:val="Compact"/>
              <w:jc w:val="left"/>
            </w:pPr>
            <w:r>
              <w:t xml:space="preserve">FCR</w:t>
            </w:r>
          </w:p>
        </w:tc>
        <w:tc>
          <w:tcPr/>
          <w:p>
            <w:pPr>
              <w:pStyle w:val="Compact"/>
              <w:jc w:val="left"/>
            </w:pPr>
            <w:r>
              <w:t xml:space="preserve">CRR</w:t>
            </w:r>
          </w:p>
        </w:tc>
        <w:tc>
          <w:tcPr/>
          <w:p>
            <w:pPr>
              <w:pStyle w:val="Compact"/>
              <w:jc w:val="left"/>
            </w:pPr>
            <w:r>
              <w:t xml:space="preserve">UAR</w:t>
            </w:r>
          </w:p>
        </w:tc>
        <w:tc>
          <w:tcPr/>
          <w:p>
            <w:pPr>
              <w:pStyle w:val="Compact"/>
              <w:jc w:val="left"/>
            </w:pPr>
            <w:r>
              <w:t xml:space="preserve">CPVO ($)</w:t>
            </w:r>
          </w:p>
        </w:tc>
        <w:tc>
          <w:tcPr/>
          <w:p>
            <w:pPr>
              <w:pStyle w:val="Compact"/>
              <w:jc w:val="left"/>
            </w:pPr>
            <w:r>
              <w:t xml:space="preserve">CPT (%)</w:t>
            </w:r>
          </w:p>
        </w:tc>
        <w:tc>
          <w:tcPr/>
          <w:p>
            <w:pPr>
              <w:pStyle w:val="Compact"/>
              <w:jc w:val="left"/>
            </w:pPr>
            <w:r>
              <w:t xml:space="preserve">p50 Latency</w:t>
            </w:r>
          </w:p>
        </w:tc>
      </w:tr>
      <w:tr>
        <w:tc>
          <w:tcPr/>
          <w:p>
            <w:pPr>
              <w:pStyle w:val="Compact"/>
              <w:jc w:val="left"/>
            </w:pPr>
            <w:r>
              <w:rPr>
                <w:b/>
                <w:bCs/>
              </w:rPr>
              <w:t xml:space="preserve">L1</w:t>
            </w:r>
          </w:p>
        </w:tc>
        <w:tc>
          <w:tcPr/>
          <w:p>
            <w:pPr>
              <w:pStyle w:val="Compact"/>
              <w:jc w:val="left"/>
            </w:pPr>
            <w:r>
              <w:t xml:space="preserve">Baseline</w:t>
            </w:r>
          </w:p>
        </w:tc>
        <w:tc>
          <w:tcPr/>
          <w:p>
            <w:pPr>
              <w:pStyle w:val="Compact"/>
              <w:jc w:val="left"/>
            </w:pPr>
            <w:r>
              <w:t xml:space="preserve">11.0%</w:t>
            </w:r>
          </w:p>
        </w:tc>
        <w:tc>
          <w:tcPr/>
          <w:p>
            <w:pPr>
              <w:pStyle w:val="Compact"/>
              <w:jc w:val="left"/>
            </w:pPr>
            <w:r>
              <w:t xml:space="preserve">84.7%</w:t>
            </w:r>
          </w:p>
        </w:tc>
        <w:tc>
          <w:tcPr/>
          <w:p>
            <w:pPr>
              <w:pStyle w:val="Compact"/>
              <w:jc w:val="left"/>
            </w:pPr>
            <w:r>
              <w:t xml:space="preserve">75.0%</w:t>
            </w:r>
          </w:p>
        </w:tc>
        <w:tc>
          <w:tcPr/>
          <w:p>
            <w:pPr>
              <w:pStyle w:val="Compact"/>
              <w:jc w:val="left"/>
            </w:pPr>
            <w:r>
              <w:t xml:space="preserve">100.0%</w:t>
            </w:r>
          </w:p>
        </w:tc>
        <w:tc>
          <w:tcPr/>
          <w:p>
            <w:pPr>
              <w:pStyle w:val="Compact"/>
              <w:jc w:val="left"/>
            </w:pPr>
            <w:r>
              <w:t xml:space="preserve">$0.5791</w:t>
            </w:r>
          </w:p>
        </w:tc>
        <w:tc>
          <w:tcPr/>
          <w:p>
            <w:pPr>
              <w:pStyle w:val="Compact"/>
              <w:jc w:val="left"/>
            </w:pPr>
            <w:r>
              <w:t xml:space="preserve">0.0%</w:t>
            </w:r>
          </w:p>
        </w:tc>
        <w:tc>
          <w:tcPr/>
          <w:p>
            <w:pPr>
              <w:pStyle w:val="Compact"/>
              <w:jc w:val="left"/>
            </w:pPr>
            <w:r>
              <w:t xml:space="preserve">12.3s</w:t>
            </w:r>
          </w:p>
        </w:tc>
      </w:tr>
      <w:tr>
        <w:tc>
          <w:tcPr/>
          <w:p>
            <w:pPr>
              <w:pStyle w:val="Compact"/>
              <w:jc w:val="left"/>
            </w:pPr>
            <w:r>
              <w:rPr>
                <w:b/>
                <w:bCs/>
              </w:rPr>
              <w:t xml:space="preserve">L2</w:t>
            </w:r>
          </w:p>
        </w:tc>
        <w:tc>
          <w:tcPr/>
          <w:p>
            <w:pPr>
              <w:pStyle w:val="Compact"/>
              <w:jc w:val="left"/>
            </w:pPr>
            <w:r>
              <w:t xml:space="preserve">+Mission</w:t>
            </w:r>
          </w:p>
        </w:tc>
        <w:tc>
          <w:tcPr/>
          <w:p>
            <w:pPr>
              <w:pStyle w:val="Compact"/>
              <w:jc w:val="left"/>
            </w:pPr>
            <w:r>
              <w:t xml:space="preserve">8.0%</w:t>
            </w:r>
          </w:p>
        </w:tc>
        <w:tc>
          <w:tcPr/>
          <w:p>
            <w:pPr>
              <w:pStyle w:val="Compact"/>
              <w:jc w:val="left"/>
            </w:pPr>
            <w:r>
              <w:t xml:space="preserve">87.3%</w:t>
            </w:r>
          </w:p>
        </w:tc>
        <w:tc>
          <w:tcPr/>
          <w:p>
            <w:pPr>
              <w:pStyle w:val="Compact"/>
              <w:jc w:val="left"/>
            </w:pPr>
            <w:r>
              <w:t xml:space="preserve">78.0%</w:t>
            </w:r>
          </w:p>
        </w:tc>
        <w:tc>
          <w:tcPr/>
          <w:p>
            <w:pPr>
              <w:pStyle w:val="Compact"/>
              <w:jc w:val="left"/>
            </w:pPr>
            <w:r>
              <w:t xml:space="preserve">100.0%</w:t>
            </w:r>
          </w:p>
        </w:tc>
        <w:tc>
          <w:tcPr/>
          <w:p>
            <w:pPr>
              <w:pStyle w:val="Compact"/>
              <w:jc w:val="left"/>
            </w:pPr>
            <w:r>
              <w:t xml:space="preserve">$0.8099</w:t>
            </w:r>
          </w:p>
        </w:tc>
        <w:tc>
          <w:tcPr/>
          <w:p>
            <w:pPr>
              <w:pStyle w:val="Compact"/>
              <w:jc w:val="left"/>
            </w:pPr>
            <w:r>
              <w:t xml:space="preserve">0.7%</w:t>
            </w:r>
          </w:p>
        </w:tc>
        <w:tc>
          <w:tcPr/>
          <w:p>
            <w:pPr>
              <w:pStyle w:val="Compact"/>
              <w:jc w:val="left"/>
            </w:pPr>
            <w:r>
              <w:t xml:space="preserve">12.5s</w:t>
            </w:r>
          </w:p>
        </w:tc>
      </w:tr>
      <w:tr>
        <w:tc>
          <w:tcPr/>
          <w:p>
            <w:pPr>
              <w:pStyle w:val="Compact"/>
              <w:jc w:val="left"/>
            </w:pPr>
            <w:r>
              <w:rPr>
                <w:b/>
                <w:bCs/>
              </w:rPr>
              <w:t xml:space="preserve">L3</w:t>
            </w:r>
          </w:p>
        </w:tc>
        <w:tc>
          <w:tcPr/>
          <w:p>
            <w:pPr>
              <w:pStyle w:val="Compact"/>
              <w:jc w:val="left"/>
            </w:pPr>
            <w:r>
              <w:t xml:space="preserve">+State</w:t>
            </w:r>
          </w:p>
        </w:tc>
        <w:tc>
          <w:tcPr/>
          <w:p>
            <w:pPr>
              <w:pStyle w:val="Compact"/>
              <w:jc w:val="left"/>
            </w:pPr>
            <w:r>
              <w:t xml:space="preserve">20.0%</w:t>
            </w:r>
          </w:p>
        </w:tc>
        <w:tc>
          <w:tcPr/>
          <w:p>
            <w:pPr>
              <w:pStyle w:val="Compact"/>
              <w:jc w:val="left"/>
            </w:pPr>
            <w:r>
              <w:t xml:space="preserve">68.8%</w:t>
            </w:r>
          </w:p>
        </w:tc>
        <w:tc>
          <w:tcPr/>
          <w:p>
            <w:pPr>
              <w:pStyle w:val="Compact"/>
              <w:jc w:val="left"/>
            </w:pPr>
            <w:r>
              <w:t xml:space="preserve">77.0%</w:t>
            </w:r>
          </w:p>
        </w:tc>
        <w:tc>
          <w:tcPr/>
          <w:p>
            <w:pPr>
              <w:pStyle w:val="Compact"/>
              <w:jc w:val="left"/>
            </w:pPr>
            <w:r>
              <w:t xml:space="preserve">100.0%</w:t>
            </w:r>
          </w:p>
        </w:tc>
        <w:tc>
          <w:tcPr/>
          <w:p>
            <w:pPr>
              <w:pStyle w:val="Compact"/>
              <w:jc w:val="left"/>
            </w:pPr>
            <w:r>
              <w:t xml:space="preserve">$0.3299</w:t>
            </w:r>
          </w:p>
        </w:tc>
        <w:tc>
          <w:tcPr/>
          <w:p>
            <w:pPr>
              <w:pStyle w:val="Compact"/>
              <w:jc w:val="left"/>
            </w:pPr>
            <w:r>
              <w:t xml:space="preserve">1.1%</w:t>
            </w:r>
          </w:p>
        </w:tc>
        <w:tc>
          <w:tcPr/>
          <w:p>
            <w:pPr>
              <w:pStyle w:val="Compact"/>
              <w:jc w:val="left"/>
            </w:pPr>
            <w:r>
              <w:t xml:space="preserve">12.6s</w:t>
            </w:r>
          </w:p>
        </w:tc>
      </w:tr>
      <w:tr>
        <w:tc>
          <w:tcPr/>
          <w:p>
            <w:pPr>
              <w:pStyle w:val="Compact"/>
              <w:jc w:val="left"/>
            </w:pPr>
            <w:r>
              <w:rPr>
                <w:b/>
                <w:bCs/>
              </w:rPr>
              <w:t xml:space="preserve">L4</w:t>
            </w:r>
          </w:p>
        </w:tc>
        <w:tc>
          <w:tcPr/>
          <w:p>
            <w:pPr>
              <w:pStyle w:val="Compact"/>
              <w:jc w:val="left"/>
            </w:pPr>
            <w:r>
              <w:t xml:space="preserve">+Authority</w:t>
            </w:r>
          </w:p>
        </w:tc>
        <w:tc>
          <w:tcPr/>
          <w:p>
            <w:pPr>
              <w:pStyle w:val="Compact"/>
              <w:jc w:val="left"/>
            </w:pPr>
            <w:r>
              <w:t xml:space="preserve">22.0%</w:t>
            </w:r>
          </w:p>
        </w:tc>
        <w:tc>
          <w:tcPr/>
          <w:p>
            <w:pPr>
              <w:pStyle w:val="Compact"/>
              <w:jc w:val="left"/>
            </w:pPr>
            <w:r>
              <w:t xml:space="preserve">62.1%</w:t>
            </w:r>
          </w:p>
        </w:tc>
        <w:tc>
          <w:tcPr/>
          <w:p>
            <w:pPr>
              <w:pStyle w:val="Compact"/>
              <w:jc w:val="left"/>
            </w:pPr>
            <w:r>
              <w:t xml:space="preserve">100.0%</w:t>
            </w:r>
          </w:p>
        </w:tc>
        <w:tc>
          <w:tcPr/>
          <w:p>
            <w:pPr>
              <w:pStyle w:val="Compact"/>
              <w:jc w:val="left"/>
            </w:pPr>
            <w:r>
              <w:rPr>
                <w:b/>
                <w:bCs/>
              </w:rPr>
              <w:t xml:space="preserve">0.0%</w:t>
            </w:r>
          </w:p>
        </w:tc>
        <w:tc>
          <w:tcPr/>
          <w:p>
            <w:pPr>
              <w:pStyle w:val="Compact"/>
              <w:jc w:val="left"/>
            </w:pPr>
            <w:r>
              <w:t xml:space="preserve">$0.3009</w:t>
            </w:r>
          </w:p>
        </w:tc>
        <w:tc>
          <w:tcPr/>
          <w:p>
            <w:pPr>
              <w:pStyle w:val="Compact"/>
              <w:jc w:val="left"/>
            </w:pPr>
            <w:r>
              <w:t xml:space="preserve">1.5%</w:t>
            </w:r>
          </w:p>
        </w:tc>
        <w:tc>
          <w:tcPr/>
          <w:p>
            <w:pPr>
              <w:pStyle w:val="Compact"/>
              <w:jc w:val="left"/>
            </w:pPr>
            <w:r>
              <w:t xml:space="preserve">12.7s</w:t>
            </w:r>
          </w:p>
        </w:tc>
      </w:tr>
      <w:tr>
        <w:tc>
          <w:tcPr/>
          <w:p>
            <w:pPr>
              <w:pStyle w:val="Compact"/>
              <w:jc w:val="left"/>
            </w:pPr>
            <w:r>
              <w:rPr>
                <w:b/>
                <w:bCs/>
              </w:rPr>
              <w:t xml:space="preserve">L5</w:t>
            </w:r>
          </w:p>
        </w:tc>
        <w:tc>
          <w:tcPr/>
          <w:p>
            <w:pPr>
              <w:pStyle w:val="Compact"/>
              <w:jc w:val="left"/>
            </w:pPr>
            <w:r>
              <w:t xml:space="preserve">+Verification</w:t>
            </w:r>
          </w:p>
        </w:tc>
        <w:tc>
          <w:tcPr/>
          <w:p>
            <w:pPr>
              <w:pStyle w:val="Compact"/>
              <w:jc w:val="left"/>
            </w:pPr>
            <w:r>
              <w:t xml:space="preserve">14.0%</w:t>
            </w:r>
          </w:p>
        </w:tc>
        <w:tc>
          <w:tcPr/>
          <w:p>
            <w:pPr>
              <w:pStyle w:val="Compact"/>
              <w:jc w:val="left"/>
            </w:pPr>
            <w:r>
              <w:rPr>
                <w:b/>
                <w:bCs/>
              </w:rPr>
              <w:t xml:space="preserve">0.0%</w:t>
            </w:r>
          </w:p>
        </w:tc>
        <w:tc>
          <w:tcPr/>
          <w:p>
            <w:pPr>
              <w:pStyle w:val="Compact"/>
              <w:jc w:val="left"/>
            </w:pPr>
            <w:r>
              <w:t xml:space="preserve">100.0%</w:t>
            </w:r>
          </w:p>
        </w:tc>
        <w:tc>
          <w:tcPr/>
          <w:p>
            <w:pPr>
              <w:pStyle w:val="Compact"/>
              <w:jc w:val="left"/>
            </w:pPr>
            <w:r>
              <w:t xml:space="preserve">0.0%</w:t>
            </w:r>
          </w:p>
        </w:tc>
        <w:tc>
          <w:tcPr/>
          <w:p>
            <w:pPr>
              <w:pStyle w:val="Compact"/>
              <w:jc w:val="left"/>
            </w:pPr>
            <w:r>
              <w:t xml:space="preserve">$0.4794</w:t>
            </w:r>
          </w:p>
        </w:tc>
        <w:tc>
          <w:tcPr/>
          <w:p>
            <w:pPr>
              <w:pStyle w:val="Compact"/>
              <w:jc w:val="left"/>
            </w:pPr>
            <w:r>
              <w:t xml:space="preserve">2.2%</w:t>
            </w:r>
          </w:p>
        </w:tc>
        <w:tc>
          <w:tcPr/>
          <w:p>
            <w:pPr>
              <w:pStyle w:val="Compact"/>
              <w:jc w:val="left"/>
            </w:pPr>
            <w:r>
              <w:t xml:space="preserve">14.8s</w:t>
            </w:r>
          </w:p>
        </w:tc>
      </w:tr>
      <w:tr>
        <w:tc>
          <w:tcPr/>
          <w:p>
            <w:pPr>
              <w:pStyle w:val="Compact"/>
              <w:jc w:val="left"/>
            </w:pPr>
            <w:r>
              <w:rPr>
                <w:b/>
                <w:bCs/>
              </w:rPr>
              <w:t xml:space="preserve">L6</w:t>
            </w:r>
          </w:p>
        </w:tc>
        <w:tc>
          <w:tcPr/>
          <w:p>
            <w:pPr>
              <w:pStyle w:val="Compact"/>
              <w:jc w:val="left"/>
            </w:pPr>
            <w:r>
              <w:t xml:space="preserve">+Evidence</w:t>
            </w:r>
          </w:p>
        </w:tc>
        <w:tc>
          <w:tcPr/>
          <w:p>
            <w:pPr>
              <w:pStyle w:val="Compact"/>
              <w:jc w:val="left"/>
            </w:pPr>
            <w:r>
              <w:t xml:space="preserve">10.0%</w:t>
            </w:r>
          </w:p>
        </w:tc>
        <w:tc>
          <w:tcPr/>
          <w:p>
            <w:pPr>
              <w:pStyle w:val="Compact"/>
              <w:jc w:val="left"/>
            </w:pPr>
            <w:r>
              <w:rPr>
                <w:b/>
                <w:bCs/>
              </w:rPr>
              <w:t xml:space="preserve">0.0%</w:t>
            </w:r>
          </w:p>
        </w:tc>
        <w:tc>
          <w:tcPr/>
          <w:p>
            <w:pPr>
              <w:pStyle w:val="Compact"/>
              <w:jc w:val="left"/>
            </w:pPr>
            <w:r>
              <w:t xml:space="preserve">100.0%</w:t>
            </w:r>
          </w:p>
        </w:tc>
        <w:tc>
          <w:tcPr/>
          <w:p>
            <w:pPr>
              <w:pStyle w:val="Compact"/>
              <w:jc w:val="left"/>
            </w:pPr>
            <w:r>
              <w:t xml:space="preserve">0.0%</w:t>
            </w:r>
          </w:p>
        </w:tc>
        <w:tc>
          <w:tcPr/>
          <w:p>
            <w:pPr>
              <w:pStyle w:val="Compact"/>
              <w:jc w:val="left"/>
            </w:pPr>
            <w:r>
              <w:t xml:space="preserve">$0.6691</w:t>
            </w:r>
          </w:p>
        </w:tc>
        <w:tc>
          <w:tcPr/>
          <w:p>
            <w:pPr>
              <w:pStyle w:val="Compact"/>
              <w:jc w:val="left"/>
            </w:pPr>
            <w:r>
              <w:t xml:space="preserve">2.6%</w:t>
            </w:r>
          </w:p>
        </w:tc>
        <w:tc>
          <w:tcPr/>
          <w:p>
            <w:pPr>
              <w:pStyle w:val="Compact"/>
              <w:jc w:val="left"/>
            </w:pPr>
            <w:r>
              <w:t xml:space="preserve">14.9s</w:t>
            </w:r>
          </w:p>
        </w:tc>
      </w:tr>
      <w:tr>
        <w:tc>
          <w:tcPr/>
          <w:p>
            <w:pPr>
              <w:pStyle w:val="Compact"/>
              <w:jc w:val="left"/>
            </w:pPr>
            <w:r>
              <w:rPr>
                <w:b/>
                <w:bCs/>
              </w:rPr>
              <w:t xml:space="preserve">L7</w:t>
            </w:r>
          </w:p>
        </w:tc>
        <w:tc>
          <w:tcPr/>
          <w:p>
            <w:pPr>
              <w:pStyle w:val="Compact"/>
              <w:jc w:val="left"/>
            </w:pPr>
            <w:r>
              <w:t xml:space="preserve">+Recovery</w:t>
            </w:r>
          </w:p>
        </w:tc>
        <w:tc>
          <w:tcPr/>
          <w:p>
            <w:pPr>
              <w:pStyle w:val="Compact"/>
              <w:jc w:val="left"/>
            </w:pPr>
            <w:r>
              <w:rPr>
                <w:b/>
                <w:bCs/>
              </w:rPr>
              <w:t xml:space="preserve">74.0%</w:t>
            </w:r>
          </w:p>
        </w:tc>
        <w:tc>
          <w:tcPr/>
          <w:p>
            <w:pPr>
              <w:pStyle w:val="Compact"/>
              <w:jc w:val="left"/>
            </w:pPr>
            <w:r>
              <w:rPr>
                <w:b/>
                <w:bCs/>
              </w:rPr>
              <w:t xml:space="preserve">0.0%</w:t>
            </w:r>
          </w:p>
        </w:tc>
        <w:tc>
          <w:tcPr/>
          <w:p>
            <w:pPr>
              <w:pStyle w:val="Compact"/>
              <w:jc w:val="left"/>
            </w:pPr>
            <w:r>
              <w:t xml:space="preserve">100.0%</w:t>
            </w:r>
          </w:p>
        </w:tc>
        <w:tc>
          <w:tcPr/>
          <w:p>
            <w:pPr>
              <w:pStyle w:val="Compact"/>
              <w:jc w:val="left"/>
            </w:pPr>
            <w:r>
              <w:t xml:space="preserve">0.0%</w:t>
            </w:r>
          </w:p>
        </w:tc>
        <w:tc>
          <w:tcPr/>
          <w:p>
            <w:pPr>
              <w:pStyle w:val="Compact"/>
              <w:jc w:val="left"/>
            </w:pPr>
            <w:r>
              <w:rPr>
                <w:b/>
                <w:bCs/>
              </w:rPr>
              <w:t xml:space="preserve">$0.1040</w:t>
            </w:r>
          </w:p>
        </w:tc>
        <w:tc>
          <w:tcPr/>
          <w:p>
            <w:pPr>
              <w:pStyle w:val="Compact"/>
              <w:jc w:val="left"/>
            </w:pPr>
            <w:r>
              <w:t xml:space="preserve">2.7%</w:t>
            </w:r>
          </w:p>
        </w:tc>
        <w:tc>
          <w:tcPr/>
          <w:p>
            <w:pPr>
              <w:pStyle w:val="Compact"/>
              <w:jc w:val="left"/>
            </w:pPr>
            <w:r>
              <w:t xml:space="preserve">17.8s</w:t>
            </w:r>
          </w:p>
        </w:tc>
      </w:tr>
      <w:tr>
        <w:tc>
          <w:tcPr/>
          <w:p>
            <w:pPr>
              <w:pStyle w:val="Compact"/>
              <w:jc w:val="left"/>
            </w:pPr>
            <w:r>
              <w:rPr>
                <w:b/>
                <w:bCs/>
              </w:rPr>
              <w:t xml:space="preserve">L8</w:t>
            </w:r>
          </w:p>
        </w:tc>
        <w:tc>
          <w:tcPr/>
          <w:p>
            <w:pPr>
              <w:pStyle w:val="Compact"/>
              <w:jc w:val="left"/>
            </w:pPr>
            <w:r>
              <w:t xml:space="preserve">Full System</w:t>
            </w:r>
          </w:p>
        </w:tc>
        <w:tc>
          <w:tcPr/>
          <w:p>
            <w:pPr>
              <w:pStyle w:val="Compact"/>
              <w:jc w:val="left"/>
            </w:pPr>
            <w:r>
              <w:rPr>
                <w:b/>
                <w:bCs/>
              </w:rPr>
              <w:t xml:space="preserve">74.0%</w:t>
            </w:r>
          </w:p>
        </w:tc>
        <w:tc>
          <w:tcPr/>
          <w:p>
            <w:pPr>
              <w:pStyle w:val="Compact"/>
              <w:jc w:val="left"/>
            </w:pPr>
            <w:r>
              <w:rPr>
                <w:b/>
                <w:bCs/>
              </w:rPr>
              <w:t xml:space="preserve">0.0%</w:t>
            </w:r>
          </w:p>
        </w:tc>
        <w:tc>
          <w:tcPr/>
          <w:p>
            <w:pPr>
              <w:pStyle w:val="Compact"/>
              <w:jc w:val="left"/>
            </w:pPr>
            <w:r>
              <w:t xml:space="preserve">100.0%</w:t>
            </w:r>
          </w:p>
        </w:tc>
        <w:tc>
          <w:tcPr/>
          <w:p>
            <w:pPr>
              <w:pStyle w:val="Compact"/>
              <w:jc w:val="left"/>
            </w:pPr>
            <w:r>
              <w:t xml:space="preserve">0.0%</w:t>
            </w:r>
          </w:p>
        </w:tc>
        <w:tc>
          <w:tcPr/>
          <w:p>
            <w:pPr>
              <w:pStyle w:val="Compact"/>
              <w:jc w:val="left"/>
            </w:pPr>
            <w:r>
              <w:rPr>
                <w:b/>
                <w:bCs/>
              </w:rPr>
              <w:t xml:space="preserve">$0.1081</w:t>
            </w:r>
          </w:p>
        </w:tc>
        <w:tc>
          <w:tcPr/>
          <w:p>
            <w:pPr>
              <w:pStyle w:val="Compact"/>
              <w:jc w:val="left"/>
            </w:pPr>
            <w:r>
              <w:rPr>
                <w:b/>
                <w:bCs/>
              </w:rPr>
              <w:t xml:space="preserve">1.6%</w:t>
            </w:r>
          </w:p>
        </w:tc>
        <w:tc>
          <w:tcPr/>
          <w:p>
            <w:pPr>
              <w:pStyle w:val="Compact"/>
              <w:jc w:val="left"/>
            </w:pPr>
            <w:r>
              <w:t xml:space="preserve">21.3s</w:t>
            </w:r>
          </w:p>
        </w:tc>
      </w:tr>
    </w:tbl>
    <w:bookmarkStart w:id="13" w:name="statistical-significance"/>
    <w:p>
      <w:pPr>
        <w:pStyle w:val="Heading3"/>
      </w:pPr>
      <w:r>
        <w:t xml:space="preserve">Statistical Significance:</w:t>
      </w:r>
    </w:p>
    <w:p>
      <w:pPr>
        <w:pStyle w:val="Compact"/>
        <w:numPr>
          <w:ilvl w:val="0"/>
          <w:numId w:val="1004"/>
        </w:numPr>
      </w:pPr>
      <w:r>
        <w:t xml:space="preserve">False completion reduction (</w:t>
      </w:r>
      <m:oMath>
        <m:r>
          <m:t>84.7</m:t>
        </m:r>
        <m:r>
          <m:rPr>
            <m:sty m:val="p"/>
          </m:rPr>
          <m:t>%</m:t>
        </m:r>
        <m:r>
          <m:rPr>
            <m:sty m:val="p"/>
          </m:rPr>
          <m:t>→</m:t>
        </m:r>
        <m:r>
          <m:t>0.0</m:t>
        </m:r>
        <m:r>
          <m:rPr>
            <m:sty m:val="p"/>
          </m:rPr>
          <m:t>%</m:t>
        </m:r>
      </m:oMath>
      <w:r>
        <w:t xml:space="preserve">): Fisher's Exact Test,</w:t>
      </w:r>
      <w:r>
        <w:t xml:space="preserve"> </w:t>
      </w:r>
      <m:oMath>
        <m:r>
          <m:t>p</m:t>
        </m:r>
        <m:r>
          <m:rPr>
            <m:sty m:val="p"/>
          </m:rPr>
          <m:t>&lt;</m:t>
        </m:r>
        <m:sSup>
          <m:e>
            <m:r>
              <m:t>10</m:t>
            </m:r>
          </m:e>
          <m:sup>
            <m:r>
              <m:rPr>
                <m:sty m:val="p"/>
              </m:rPr>
              <m:t>−</m:t>
            </m:r>
            <m:r>
              <m:t>12</m:t>
            </m:r>
          </m:sup>
        </m:sSup>
      </m:oMath>
      <w:r>
        <w:t xml:space="preserve">.</w:t>
      </w:r>
    </w:p>
    <w:p>
      <w:pPr>
        <w:pStyle w:val="Compact"/>
        <w:numPr>
          <w:ilvl w:val="0"/>
          <w:numId w:val="1004"/>
        </w:numPr>
      </w:pPr>
      <w:r>
        <w:t xml:space="preserve">Unauthorized action blocking (</w:t>
      </w:r>
      <m:oMath>
        <m:r>
          <m:t>100</m:t>
        </m:r>
        <m:r>
          <m:rPr>
            <m:sty m:val="p"/>
          </m:rPr>
          <m:t>%</m:t>
        </m:r>
        <m:r>
          <m:rPr>
            <m:sty m:val="p"/>
          </m:rPr>
          <m:t>→</m:t>
        </m:r>
        <m:r>
          <m:t>0</m:t>
        </m:r>
        <m:r>
          <m:rPr>
            <m:sty m:val="p"/>
          </m:rPr>
          <m:t>%</m:t>
        </m:r>
      </m:oMath>
      <w:r>
        <w:t xml:space="preserve">):</w:t>
      </w:r>
      <w:r>
        <w:t xml:space="preserve"> </w:t>
      </w:r>
      <m:oMath>
        <m:r>
          <m:t>p</m:t>
        </m:r>
        <m:r>
          <m:rPr>
            <m:sty m:val="p"/>
          </m:rPr>
          <m:t>&lt;</m:t>
        </m:r>
        <m:sSup>
          <m:e>
            <m:r>
              <m:t>10</m:t>
            </m:r>
          </m:e>
          <m:sup>
            <m:r>
              <m:rPr>
                <m:sty m:val="p"/>
              </m:rPr>
              <m:t>−</m:t>
            </m:r>
            <m:r>
              <m:t>15</m:t>
            </m:r>
          </m:sup>
        </m:sSup>
      </m:oMath>
      <w:r>
        <w:t xml:space="preserve">.</w:t>
      </w:r>
    </w:p>
    <w:p>
      <w:pPr>
        <w:pStyle w:val="Compact"/>
        <w:numPr>
          <w:ilvl w:val="0"/>
          <w:numId w:val="1004"/>
        </w:numPr>
      </w:pPr>
      <w:r>
        <w:t xml:space="preserve">CPVO reduction (</w:t>
      </w:r>
      <m:oMath>
        <m:r>
          <m:t>0.5791</m:t>
        </m:r>
        <m:r>
          <m:rPr>
            <m:sty m:val="p"/>
          </m:rPr>
          <m:t>→</m:t>
        </m:r>
        <m:r>
          <m:t>0.1081</m:t>
        </m:r>
      </m:oMath>
      <w:r>
        <w:t xml:space="preserve">): Two-tailed t-test,</w:t>
      </w:r>
      <w:r>
        <w:t xml:space="preserve"> </w:t>
      </w:r>
      <m:oMath>
        <m:r>
          <m:t>t</m:t>
        </m:r>
        <m:r>
          <m:rPr>
            <m:sty m:val="p"/>
          </m:rPr>
          <m:t>=</m:t>
        </m:r>
        <m:r>
          <m:t>14.82</m:t>
        </m:r>
      </m:oMath>
      <w:r>
        <w:t xml:space="preserve">,</w:t>
      </w:r>
      <w:r>
        <w:t xml:space="preserve"> </w:t>
      </w:r>
      <m:oMath>
        <m:r>
          <m:t>p</m:t>
        </m:r>
        <m:r>
          <m:rPr>
            <m:sty m:val="p"/>
          </m:rPr>
          <m:t>&lt;</m:t>
        </m:r>
        <m:sSup>
          <m:e>
            <m:r>
              <m:t>10</m:t>
            </m:r>
          </m:e>
          <m:sup>
            <m:r>
              <m:rPr>
                <m:sty m:val="p"/>
              </m:rPr>
              <m:t>−</m:t>
            </m:r>
            <m:r>
              <m:t>8</m:t>
            </m:r>
          </m:sup>
        </m:sSup>
      </m:oMath>
      <w:r>
        <w:t xml:space="preserve">.</w:t>
      </w:r>
    </w:p>
    <w:p>
      <w:r>
        <w:pict>
          <v:rect style="width:0;height:1.5pt" o:hralign="center" o:hrstd="t" o:hr="t"/>
        </w:pict>
      </w:r>
    </w:p>
    <w:p>
      <w:r>
        <w:pict>
          <v:rect style="width:0;height:1.5pt" o:hralign="center" o:hrstd="t" o:hr="t"/>
        </w:pict>
      </w:r>
    </w:p>
    <w:bookmarkEnd w:id="13"/>
    <w:bookmarkEnd w:id="14"/>
    <w:bookmarkStart w:id="18" w:name="Xf53c75cf83e1ba89c4e0b25cec5b5b35a017387"/>
    <w:p>
      <w:pPr>
        <w:pStyle w:val="Heading2"/>
      </w:pPr>
      <w:r>
        <w:t xml:space="preserve">6. Scientific Disclosures, Limitations &amp; Empirical Classifications</w:t>
      </w:r>
    </w:p>
    <w:bookmarkStart w:id="15" w:name="X5a7e3a5c757fedb6db1c4b8a112da7be648e37a"/>
    <w:p>
      <w:pPr>
        <w:pStyle w:val="Heading3"/>
      </w:pPr>
      <w:r>
        <w:t xml:space="preserve">6.1 Empirical Benchmark Classification</w:t>
      </w:r>
    </w:p>
    <w:p>
      <w:pPr>
        <w:pStyle w:val="FirstParagraph"/>
      </w:pPr>
      <w:r>
        <w:t xml:space="preserve">All 800 ablation runs reported in MISSION-Bench were conducted using</w:t>
      </w:r>
      <w:r>
        <w:t xml:space="preserve"> </w:t>
      </w:r>
      <w:r>
        <w:rPr>
          <w:b/>
          <w:bCs/>
        </w:rPr>
        <w:t xml:space="preserve">controlled local sandboxed simulations</w:t>
      </w:r>
      <w:r>
        <w:t xml:space="preserve"> </w:t>
      </w:r>
      <w:r>
        <w:t xml:space="preserve">with calibrated failure probability distributions matching real-world failure frequencies. No live cloud API billing tokens were consumed. A live cloud harness is prepared in</w:t>
      </w:r>
      <w:r>
        <w:t xml:space="preserve"> </w:t>
      </w:r>
      <w:r>
        <w:rPr>
          <w:rStyle w:val="VerbatimChar"/>
        </w:rPr>
        <w:t xml:space="preserve">experiments/live_benchmark/</w:t>
      </w:r>
      <w:r>
        <w:t xml:space="preserve"> </w:t>
      </w:r>
      <w:r>
        <w:t xml:space="preserve">for replication on paid provider endpoints.</w:t>
      </w:r>
    </w:p>
    <w:bookmarkEnd w:id="15"/>
    <w:bookmarkStart w:id="16" w:name="X7976ae3d4dd856380564916fa1e183e272f7167"/>
    <w:p>
      <w:pPr>
        <w:pStyle w:val="Heading3"/>
      </w:pPr>
      <w:r>
        <w:t xml:space="preserve">6.2 Sample Bounding of FCR</w:t>
      </w:r>
    </w:p>
    <w:p>
      <w:pPr>
        <w:pStyle w:val="FirstParagraph"/>
      </w:pPr>
      <w:r>
        <w:t xml:space="preserve">In the evaluated sample of 800 runs across 100 tasks, observed FCR under evidence gating was 0.0% [95% Wilson CI: 0.0%, 4.93%]. This empirical finding is sample-bounded and does not imply zero failure probability across unconstrained environments or faulty third-party verifiers.</w:t>
      </w:r>
    </w:p>
    <w:bookmarkEnd w:id="16"/>
    <w:bookmarkStart w:id="17" w:name="X9a7ca451266ace200e7b17728ad8f760df752e1"/>
    <w:p>
      <w:pPr>
        <w:pStyle w:val="Heading3"/>
      </w:pPr>
      <w:r>
        <w:t xml:space="preserve">6.3 Generative AI Assistance Disclosure</w:t>
      </w:r>
    </w:p>
    <w:p>
      <w:pPr>
        <w:pStyle w:val="FirstParagraph"/>
      </w:pPr>
      <w:r>
        <w:t xml:space="preserve">Generative AI tools were utilized for boilerplate benchmark script implementation and typographic formatting under the direct intellectual direction, supervision, and verification of the human author (Jonas Abde).</w:t>
      </w:r>
    </w:p>
    <w:p>
      <w:r>
        <w:pict>
          <v:rect style="width:0;height:1.5pt" o:hralign="center" o:hrstd="t" o:hr="t"/>
        </w:pict>
      </w:r>
    </w:p>
    <w:p>
      <w:pPr>
        <w:pStyle w:val="FirstParagraph"/>
      </w:pPr>
      <w:r>
        <w:rPr>
          <w:i/>
          <w:iCs/>
        </w:rPr>
        <w:t xml:space="preserve">End of Paper 02.</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2026-09-10T16:02:44Z</dcterms:created>
  <dcterms:modified xsi:type="dcterms:W3CDTF">2026-09-10T16:02:44Z</dcterms:modified>
</cp:coreProperties>
</file>

<file path=docProps/custom.xml><?xml version="1.0" encoding="utf-8"?>
<Properties xmlns="http://schemas.openxmlformats.org/officeDocument/2006/custom-properties" xmlns:vt="http://schemas.openxmlformats.org/officeDocument/2006/docPropsVTypes"/>
</file>