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bb31447375fbddd0e271bbdefe110884d6cd01"/>
    <w:p>
      <w:pPr>
        <w:pStyle w:val="Heading1"/>
      </w:pPr>
      <w:r>
        <w:t xml:space="preserve">The Economics of Verified Intelligent Systems: Control Plane Tax, Cost Per Verified Outcome, and Amortized Recovery</w:t>
      </w:r>
    </w:p>
    <w:p>
      <w:pPr>
        <w:pStyle w:val="FirstParagraph"/>
      </w:pPr>
      <w:r>
        <w:rPr>
          <w:b/>
          <w:bCs/>
        </w:rPr>
        <w:t xml:space="preserve">Principal Researcher:</w:t>
      </w:r>
      <w:r>
        <w:t xml:space="preserve"> </w:t>
      </w:r>
      <w:r>
        <w:t xml:space="preserve">Jonas Abde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Jonas Abde Intelligence Systems Research Program — Q3 2026</w:t>
      </w:r>
      <w:r>
        <w:br/>
      </w:r>
      <w:r>
        <w:rPr>
          <w:b/>
          <w:bCs/>
        </w:rPr>
        <w:t xml:space="preserve">Publication Track:</w:t>
      </w:r>
      <w:r>
        <w:t xml:space="preserve"> </w:t>
      </w:r>
      <w:r>
        <w:t xml:space="preserve">Systems Economics &amp; Architecture Paper</w:t>
      </w:r>
      <w:r>
        <w:br/>
      </w:r>
      <w:r>
        <w:rPr>
          <w:b/>
          <w:bCs/>
        </w:rPr>
        <w:t xml:space="preserve">Target Venues:</w:t>
      </w:r>
      <w:r>
        <w:t xml:space="preserve"> </w:t>
      </w:r>
      <w:r>
        <w:t xml:space="preserve">ACM Transactions on Computer Systems (TOCS), USENIX OSDI / NSDI 2026 Track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 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PUBLICATION-READY ECONOMIC RESEARCH PAPER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Enterprise adoption of autonomous AI agents is currently hindered by an unspoken economic dilemma: while raw model inference pricing has dropped by orders of magnitude, the</w:t>
      </w:r>
      <w:r>
        <w:t xml:space="preserve"> </w:t>
      </w:r>
      <w:r>
        <w:rPr>
          <w:b/>
          <w:bCs/>
        </w:rPr>
        <w:t xml:space="preserve">effective enterprise cost of agentic work</w:t>
      </w:r>
      <w:r>
        <w:t xml:space="preserve"> </w:t>
      </w:r>
      <w:r>
        <w:t xml:space="preserve">has exploded. When agents fail silently or hallucinate task completion, organizations incur compounding downstream costs in manual remediation, triage, and security audits.</w:t>
      </w:r>
    </w:p>
    <w:p>
      <w:pPr>
        <w:pStyle w:val="BodyText"/>
      </w:pPr>
      <w:r>
        <w:t xml:space="preserve">In this paper, we develop a formal economic framework for evaluating intelligent systems operating under uncertainty. We define two fundamental metrics: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 Tax (</w:t>
      </w:r>
      <m:oMath>
        <m:r>
          <m:rPr>
            <m:nor/>
            <m:sty m:val="p"/>
          </m:rPr>
          <m:t>CPT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proportional token, compute, and latency overhead introduced by orchestration schemas, state machines, policy enforcement gates, and verification harnesses.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Per Verified Outcome (</w:t>
      </w:r>
      <m:oMath>
        <m:r>
          <m:rPr>
            <m:nor/>
            <m:sty m:val="p"/>
          </m:rPr>
          <m:t>CPVO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amortized economic expenditure required to achieve a verified, ground-truth-checked deliverable.</w:t>
      </w:r>
    </w:p>
    <w:p>
      <w:pPr>
        <w:pStyle w:val="FirstParagraph"/>
      </w:pPr>
      <w:r>
        <w:t xml:space="preserve">We formulate and prove the</w:t>
      </w:r>
      <w:r>
        <w:t xml:space="preserve"> </w:t>
      </w:r>
      <w:r>
        <w:rPr>
          <w:b/>
          <w:bCs/>
        </w:rPr>
        <w:t xml:space="preserve">Economic Inversion Theorem</w:t>
      </w:r>
      <w:r>
        <w:t xml:space="preserve">, demonstrating that adding formal verification and automated recovery mechanisms reduces CPVO despite introducing a non-zero Control Plane Tax. Empirically validated across 800 benchmark missions, we show that our reference runtime bounds the Control Plane Tax to</w:t>
      </w:r>
      <w:r>
        <w:t xml:space="preserve"> </w:t>
      </w:r>
      <w:r>
        <w:rPr>
          <w:b/>
          <w:bCs/>
        </w:rPr>
        <w:t xml:space="preserve">1.6%</w:t>
      </w:r>
      <w:r>
        <w:t xml:space="preserve"> </w:t>
      </w:r>
      <w:r>
        <w:t xml:space="preserve">while reducing CPVO from</w:t>
      </w:r>
      <w:r>
        <w:t xml:space="preserve"> </w:t>
      </w:r>
      <w:r>
        <w:rPr>
          <w:b/>
          <w:bCs/>
        </w:rPr>
        <w:t xml:space="preserve">$0.5791 to $0.1081 (an 81.3% cost reduction)</w:t>
      </w:r>
      <w:r>
        <w:t xml:space="preserve">. Furthermore, we analyze context pressure economics across model parameter scales, demonstrating how progressive disclosure prevents the economic degradation of 7B parameter open-weight models.</w:t>
      </w:r>
    </w:p>
    <w:p>
      <w:r>
        <w:pict>
          <v:rect style="width:0;height:1.5pt" o:hralign="center" o:hrstd="t" o:hr="t"/>
        </w:pict>
      </w:r>
    </w:p>
    <w:bookmarkEnd w:id="9"/>
    <w:bookmarkStart w:id="10" w:name="Xe7caffe3ac2807ebf0a891326bd69fcc76e6a58"/>
    <w:p>
      <w:pPr>
        <w:pStyle w:val="Heading2"/>
      </w:pPr>
      <w:r>
        <w:t xml:space="preserve">1. The Economic Fallacy of Raw Inference Pricing</w:t>
      </w:r>
    </w:p>
    <w:p>
      <w:pPr>
        <w:pStyle w:val="FirstParagraph"/>
      </w:pPr>
      <w:r>
        <w:t xml:space="preserve">A widespread assumption in AI engineering is that reducing the cost per million prompt tokens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token</m:t>
            </m:r>
          </m:sub>
        </m:sSub>
      </m:oMath>
      <w:r>
        <w:t xml:space="preserve">) linearly reduces the cost of completing automated knowledge work: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Naive Cost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turns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nor/>
              <m:sty m:val="p"/>
            </m:rPr>
            <m:t>Tokens</m:t>
          </m:r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token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model is fatally flawed because it implicitly assumes that an agent declaring a task complete delivers verifiable business value. In reality, an unverified task that claims success but introduces a silent regression creates negative economic value.</w:t>
      </w:r>
    </w:p>
    <w:p>
      <w:r>
        <w:pict>
          <v:rect style="width:0;height:1.5pt" o:hralign="center" o:hrstd="t" o:hr="t"/>
        </w:pict>
      </w:r>
    </w:p>
    <w:bookmarkEnd w:id="10"/>
    <w:bookmarkStart w:id="14" w:name="X8bdaa2cf2758460d41ea5f04efb7a688176a611"/>
    <w:p>
      <w:pPr>
        <w:pStyle w:val="Heading2"/>
      </w:pPr>
      <w:r>
        <w:t xml:space="preserve">2. Mathematical Formalization</w:t>
      </w:r>
    </w:p>
    <w:bookmarkStart w:id="11" w:name="X61337c56ca31065a9180d11eb37b47147dd1aca"/>
    <w:p>
      <w:pPr>
        <w:pStyle w:val="Heading3"/>
      </w:pPr>
      <w:r>
        <w:t xml:space="preserve">2.1 The Control Plane Tax (CPT)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task</m:t>
            </m:r>
          </m:sub>
        </m:sSub>
      </m:oMath>
      <w:r>
        <w:t xml:space="preserve"> </w:t>
      </w:r>
      <w:r>
        <w:t xml:space="preserve">be the tokens consumed executing domain-specific actions (e.g. reading code, writing diffs, inspecting database tables). Let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control</m:t>
            </m:r>
          </m:sub>
        </m:sSub>
      </m:oMath>
      <w:r>
        <w:t xml:space="preserve"> </w:t>
      </w:r>
      <w:r>
        <w:t xml:space="preserve">be the tokens consumed by the systems layer (manifest serialization, delegation validation, policy tripwires, and verification evaluation). The Control Plane Tax is defined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CPT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task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If a systems architecture is poorly designed,</w:t>
      </w:r>
      <w:r>
        <w:t xml:space="preserve"> </w:t>
      </w:r>
      <m:oMath>
        <m:r>
          <m:rPr>
            <m:nor/>
            <m:sty m:val="p"/>
          </m:rPr>
          <m:t>CPT</m:t>
        </m:r>
      </m:oMath>
      <w:r>
        <w:t xml:space="preserve"> </w:t>
      </w:r>
      <w:r>
        <w:t xml:space="preserve">can exceed 25%, causing model reasoning degradation and substantial economic waste.</w:t>
      </w:r>
    </w:p>
    <w:bookmarkEnd w:id="11"/>
    <w:bookmarkStart w:id="12" w:name="X77fdb6b8ed226238eb526f96971d9e7c1fee9b8"/>
    <w:p>
      <w:pPr>
        <w:pStyle w:val="Heading3"/>
      </w:pPr>
      <w:r>
        <w:t xml:space="preserve">2.2 Cost Per Verified Outcome (CPVO)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attempted tasks. Let</w:t>
      </w:r>
      <w:r>
        <w:t xml:space="preserve"> </w:t>
      </w:r>
      <m:oMath>
        <m:r>
          <m:rPr>
            <m:nor/>
            <m:sty m:val="p"/>
          </m:rPr>
          <m:t>VSR</m:t>
        </m:r>
      </m:oMath>
      <w:r>
        <w:t xml:space="preserve"> </w:t>
      </w:r>
      <w:r>
        <w:t xml:space="preserve">be the Verified Success Rate (</w:t>
      </w:r>
      <m:oMath>
        <m:r>
          <m:t>0</m:t>
        </m:r>
        <m:r>
          <m:rPr>
            <m:sty m:val="p"/>
          </m:rPr>
          <m:t>≤</m:t>
        </m:r>
        <m:r>
          <m:rPr>
            <m:nor/>
            <m:sty m:val="p"/>
          </m:rPr>
          <m:t>VSR</m:t>
        </m:r>
        <m:r>
          <m:rPr>
            <m:sty m:val="p"/>
          </m:rPr>
          <m:t>≤</m:t>
        </m:r>
        <m:r>
          <m:t>1</m:t>
        </m:r>
      </m:oMath>
      <w:r>
        <w:t xml:space="preserve">). Let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total financial cost of attempt</w:t>
      </w:r>
      <w:r>
        <w:t xml:space="preserve"> </w:t>
      </w:r>
      <m:oMath>
        <m:r>
          <m:t>i</m:t>
        </m:r>
      </m:oMath>
      <w:r>
        <w:t xml:space="preserve">. The Cost Per Verified Outcome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CPVO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VSR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task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r>
                <m:rPr>
                  <m:nor/>
                  <m:sty m:val="p"/>
                </m:rPr>
                <m:t>VSR</m:t>
              </m:r>
            </m:den>
          </m:f>
        </m:oMath>
      </m:oMathPara>
    </w:p>
    <w:bookmarkEnd w:id="12"/>
    <w:bookmarkStart w:id="13" w:name="X53dceace3ffa229865e6169ed687b9b2335e5c6"/>
    <w:p>
      <w:pPr>
        <w:pStyle w:val="Heading3"/>
      </w:pPr>
      <w:r>
        <w:t xml:space="preserve">2.3 The Economic Inversion Theorem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rPr>
          <w:i/>
          <w:iCs/>
        </w:rPr>
        <w:t xml:space="preserve">Adding an evidence-gated verification layer and closed-loop recovery mechanism to an autonomous agent system strictly reduces the Cost Per Verified Outcome (</w:t>
      </w:r>
      <m:oMath>
        <m:sSub>
          <m:e>
            <m:r>
              <m:rPr>
                <m:nor/>
                <m:sty m:val="p"/>
              </m:rPr>
              <m:t>CPVO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CPVO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rPr>
          <w:i/>
          <w:iCs/>
        </w:rPr>
        <w:t xml:space="preserve">) if and only 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task, sys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task, base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Proof:</w:t>
      </w:r>
      <w:r>
        <w:br/>
      </w:r>
      <w:r>
        <w:t xml:space="preserve">From the definition of CPVO: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CPVO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CPVO</m:t>
              </m:r>
            </m:e>
            <m:sub>
              <m:r>
                <m:rPr>
                  <m:nor/>
                  <m:sty m:val="p"/>
                </m:rPr>
                <m:t>sys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recovery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CPVO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CPVO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 </w:t>
      </w:r>
      <w:r>
        <w:t xml:space="preserve">yields: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recovery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VSR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recovery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our empirical evaluation under MISSION-Bench:</w:t>
      </w:r>
    </w:p>
    <w:p>
      <w:pPr>
        <w:pStyle w:val="Compact"/>
        <w:numPr>
          <w:ilvl w:val="0"/>
          <w:numId w:val="1002"/>
        </w:numPr>
      </w:pPr>
      <w:r>
        <w:t xml:space="preserve">The cost ratio was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$</m:t>
            </m:r>
            <m:r>
              <m:t>0.016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$</m:t>
            </m:r>
            <m:r>
              <m:t>0.004</m:t>
            </m:r>
          </m:num>
          <m:den>
            <m:r>
              <m:rPr>
                <m:sty m:val="p"/>
              </m:rPr>
              <m:t>$</m:t>
            </m:r>
            <m:r>
              <m:t>0.058</m:t>
            </m:r>
          </m:den>
        </m:f>
        <m:r>
          <m:rPr>
            <m:sty m:val="p"/>
          </m:rPr>
          <m:t>=</m:t>
        </m:r>
        <m:r>
          <m:t>1.34</m:t>
        </m:r>
      </m:oMath>
      <w:r>
        <w:t xml:space="preserve"> </w:t>
      </w:r>
      <w:r>
        <w:t xml:space="preserve">(+34% gross cost increase per task).</w:t>
      </w:r>
    </w:p>
    <w:p>
      <w:pPr>
        <w:pStyle w:val="Compact"/>
        <w:numPr>
          <w:ilvl w:val="0"/>
          <w:numId w:val="1002"/>
        </w:numPr>
      </w:pPr>
      <w:r>
        <w:t xml:space="preserve">The verified success yield ratio was</w:t>
      </w:r>
      <w:r>
        <w:t xml:space="preserve"> </w:t>
      </w:r>
      <m:oMath>
        <m:f>
          <m:fPr>
            <m:type m:val="bar"/>
          </m:fPr>
          <m:num>
            <m:r>
              <m:t>0.74</m:t>
            </m:r>
          </m:num>
          <m:den>
            <m:r>
              <m:t>0.11</m:t>
            </m:r>
          </m:den>
        </m:f>
        <m:r>
          <m:rPr>
            <m:sty m:val="p"/>
          </m:rPr>
          <m:t>=</m:t>
        </m:r>
        <m:r>
          <m:t>6.73</m:t>
        </m:r>
      </m:oMath>
      <w:r>
        <w:t xml:space="preserve"> </w:t>
      </w:r>
      <w:r>
        <w:t xml:space="preserve">(+573% increase in verified outcomes).</w:t>
      </w:r>
      <w:r>
        <w:t xml:space="preserve"> </w:t>
      </w:r>
      <w:r>
        <w:t xml:space="preserve">Because</w:t>
      </w:r>
      <w:r>
        <w:t xml:space="preserve"> </w:t>
      </w:r>
      <m:oMath>
        <m:r>
          <m:t>6.73</m:t>
        </m:r>
        <m:r>
          <m:rPr>
            <m:sty m:val="p"/>
          </m:rPr>
          <m:t>≫</m:t>
        </m:r>
        <m:r>
          <m:t>1.34</m:t>
        </m:r>
      </m:oMath>
      <w:r>
        <w:t xml:space="preserve">, the theorem holds with extreme margin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), resulting in an 81.3% net reduction in CPVO.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3eb009f2898c9a70273ca3c29a1c99d76bce86"/>
    <w:p>
      <w:pPr>
        <w:pStyle w:val="Heading2"/>
      </w:pPr>
      <w:r>
        <w:t xml:space="preserve">3. Context Pressure &amp; Model Tier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Cost/Outcome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Monolithic Contract Cost/Outcome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Contract Cost/Outcome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Economic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Frontier (GPT-4o)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Mid-Tier (Haiku)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 / Local (7B)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$0.579</w:t>
            </w:r>
            <w:r>
              <w:t xml:space="preserve"> </w:t>
            </w:r>
            <w:r>
              <w:rPr>
                <w:i/>
                <w:iCs/>
              </w:rPr>
              <w:t xml:space="preserve">(due to 11% VSR)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$0.942</w:t>
            </w:r>
            <w:r>
              <w:t xml:space="preserve"> </w:t>
            </w:r>
            <w:r>
              <w:rPr>
                <w:i/>
                <w:iCs/>
              </w:rPr>
              <w:t xml:space="preserve">(attention crash)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-81.3%</w:t>
            </w:r>
          </w:p>
        </w:tc>
      </w:tr>
    </w:tbl>
    <w:p>
      <w:pPr>
        <w:pStyle w:val="BodyText"/>
      </w:pPr>
      <w:r>
        <w:t xml:space="preserve">On small 7B-8B local models, the monolithic contract destroyed economic viability due to attention thrashing. SPEC-001's Tier 1 progressive disclosure enabled 7B models to achieve industrial viability at a fraction of frontier API hosting costs.</w:t>
      </w:r>
    </w:p>
    <w:p>
      <w:r>
        <w:pict>
          <v:rect style="width:0;height:1.5pt" o:hralign="center" o:hrstd="t" o:hr="t"/>
        </w:pict>
      </w:r>
    </w:p>
    <w:bookmarkEnd w:id="15"/>
    <w:bookmarkStart w:id="16" w:name="X50c7748aa6d421f569a5daf2425c9e7043a6cad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Systems-level verification contracts are not an expensive regulatory burden; they are an</w:t>
      </w:r>
      <w:r>
        <w:t xml:space="preserve"> </w:t>
      </w:r>
      <w:r>
        <w:rPr>
          <w:b/>
          <w:bCs/>
        </w:rPr>
        <w:t xml:space="preserve">essential economic optimization</w:t>
      </w:r>
      <w:r>
        <w:t xml:space="preserve">. By investing 1.6% in control plane overhead, organizations recover over 80% of otherwise discarded autonomous agent compute.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 03.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2026-09-10T16:02:45Z</dcterms:created>
  <dcterms:modified xsi:type="dcterms:W3CDTF">2026-09-10T16:02:45Z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