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a14ccf6cab2246c69f8e6727b5301a9cb3922b"/>
    <w:p>
      <w:pPr>
        <w:pStyle w:val="Heading1"/>
      </w:pPr>
      <w:r>
        <w:t xml:space="preserve">Attenuated Authority, Causal Trajectories, and Deterministic Evidence Gates: A Systems Architecture for Heterogeneous Autonomous AI</w:t>
      </w:r>
    </w:p>
    <w:p>
      <w:pPr>
        <w:pStyle w:val="FirstParagraph"/>
      </w:pPr>
      <w:r>
        <w:rPr>
          <w:b/>
          <w:bCs/>
        </w:rPr>
        <w:t xml:space="preserve">Principal Researcher:</w:t>
      </w:r>
      <w:r>
        <w:t xml:space="preserve"> </w:t>
      </w:r>
      <w:r>
        <w:t xml:space="preserve">Jonas Abde</w:t>
      </w:r>
      <w:r>
        <w:br/>
      </w:r>
      <w:r>
        <w:rPr>
          <w:b/>
          <w:bCs/>
        </w:rPr>
        <w:t xml:space="preserve">Program:</w:t>
      </w:r>
      <w:r>
        <w:t xml:space="preserve"> </w:t>
      </w:r>
      <w:r>
        <w:t xml:space="preserve">Jonas Abde Intelligence Systems Research Program — Q3 2026</w:t>
      </w:r>
      <w:r>
        <w:br/>
      </w:r>
      <w:r>
        <w:rPr>
          <w:b/>
          <w:bCs/>
        </w:rPr>
        <w:t xml:space="preserve">Publication Track:</w:t>
      </w:r>
      <w:r>
        <w:t xml:space="preserve"> </w:t>
      </w:r>
      <w:r>
        <w:t xml:space="preserve">Formal Systems Architecture &amp; Standards Contribution</w:t>
      </w:r>
      <w:r>
        <w:br/>
      </w:r>
      <w:r>
        <w:rPr>
          <w:b/>
          <w:bCs/>
        </w:rPr>
        <w:t xml:space="preserve">Target SDOs:</w:t>
      </w:r>
      <w:r>
        <w:t xml:space="preserve"> </w:t>
      </w:r>
      <w:r>
        <w:t xml:space="preserve">IEEE Computer Society (P3709 / P3777), NIST AI 200-2, ISO/IEC JTC 1/SC 42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3 September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PUBLICATION-READY ARCHITECTURAL SPECIFICATION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Current distributed AI architectures lack a formal systems boundary connecting human intent to verifiable physical and digital outcomes. As a consequence, multi-agent frameworks suffer from privilege escalation, ambient authority confusion, non-reproducible execution paths, and ungrounded completion declarations.</w:t>
      </w:r>
    </w:p>
    <w:p>
      <w:pPr>
        <w:pStyle w:val="BodyText"/>
      </w:pPr>
      <w:r>
        <w:t xml:space="preserve">This paper formalizes a machine-readable systems architecture for orchestrating heterogeneous models, runtimes, and tools. We model an intelligent system executing a long-horizon mission as an 8-tuple: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IS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M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and establish five normative system invariants that guarantee:</w:t>
      </w:r>
    </w:p>
    <w:p>
      <w:pPr>
        <w:pStyle w:val="Compact"/>
        <w:numPr>
          <w:ilvl w:val="0"/>
          <w:numId w:val="1001"/>
        </w:numPr>
      </w:pPr>
      <w:r>
        <w:t xml:space="preserve">Non-equivalence of completion and verification (</w:t>
      </w:r>
      <m:oMath>
        <m:r>
          <m:rPr>
            <m:nor/>
            <m:sty m:val="p"/>
          </m:rPr>
          <m:t>Complete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⟹̸</m:t>
            </m:r>
          </m:e>
        </m:box>
        <m:r>
          <m:rPr>
            <m:nor/>
            <m:sty m:val="p"/>
          </m:rPr>
          <m:t>Verified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Evidence-gated state transitions;</w:t>
      </w:r>
    </w:p>
    <w:p>
      <w:pPr>
        <w:pStyle w:val="Compact"/>
        <w:numPr>
          <w:ilvl w:val="0"/>
          <w:numId w:val="1001"/>
        </w:numPr>
      </w:pPr>
      <w:r>
        <w:t xml:space="preserve">Monotonic purpose-bound authority attenuation derived from IETF RFC 8693;</w:t>
      </w:r>
    </w:p>
    <w:p>
      <w:pPr>
        <w:pStyle w:val="Compact"/>
        <w:numPr>
          <w:ilvl w:val="0"/>
          <w:numId w:val="1001"/>
        </w:numPr>
      </w:pPr>
      <w:r>
        <w:t xml:space="preserve">Multi-dimensional budget non-exceedance;</w:t>
      </w:r>
    </w:p>
    <w:p>
      <w:pPr>
        <w:pStyle w:val="Compact"/>
        <w:numPr>
          <w:ilvl w:val="0"/>
          <w:numId w:val="1001"/>
        </w:numPr>
      </w:pPr>
      <w:r>
        <w:t xml:space="preserve">Causal state mutation traceability.</w:t>
      </w:r>
    </w:p>
    <w:p>
      <w:pPr>
        <w:pStyle w:val="FirstParagraph"/>
      </w:pPr>
      <w:r>
        <w:t xml:space="preserve">We demonstrate the architectural independence of this model through clean-room multi-runtime adapters (LangGraph, AutoGen, Native Engine) achieving</w:t>
      </w:r>
      <w:r>
        <w:t xml:space="preserve"> </w:t>
      </w:r>
      <w:r>
        <w:rPr>
          <w:b/>
          <w:bCs/>
        </w:rPr>
        <w:t xml:space="preserve">0% semantic deviation</w:t>
      </w:r>
      <w:r>
        <w:t xml:space="preserve">, a 10-point normative conformance test suite (100% pass rate), and cross-domain operational validation across Software Engineering, Cyber-Physical Robotics, and Financial Data Engineering.</w:t>
      </w:r>
    </w:p>
    <w:p>
      <w:r>
        <w:pict>
          <v:rect style="width:0;height:1.5pt" o:hralign="center" o:hrstd="t" o:hr="t"/>
        </w:pict>
      </w:r>
    </w:p>
    <w:bookmarkEnd w:id="9"/>
    <w:bookmarkStart w:id="11" w:name="Xceca938ae5f10f85a87dba600908e28eda3af59"/>
    <w:p>
      <w:pPr>
        <w:pStyle w:val="Heading2"/>
      </w:pPr>
      <w:r>
        <w:t xml:space="preserve">1. Formal System Model</w:t>
      </w:r>
    </w:p>
    <w:p>
      <w:pPr>
        <w:pStyle w:val="FirstParagraph"/>
      </w:pPr>
      <w:r>
        <w:t xml:space="preserve">An Intelligent System instance is formally specified by the 8-tuple: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IS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M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⟩</m:t>
          </m:r>
        </m:oMath>
      </m:oMathPara>
    </w:p>
    <w:bookmarkStart w:id="10" w:name="Xb1244e3ddf57b0f30746c91be0642751271f11b"/>
    <w:p>
      <w:pPr>
        <w:pStyle w:val="Heading3"/>
      </w:pPr>
      <w:r>
        <w:t xml:space="preserve">1.1 Components:</w:t>
      </w:r>
    </w:p>
    <w:p>
      <w:pPr>
        <w:pStyle w:val="Compact"/>
        <w:numPr>
          <w:ilvl w:val="0"/>
          <w:numId w:val="1002"/>
        </w:numPr>
      </w:pP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(Mission Contract):</w:t>
      </w:r>
      <w:r>
        <w:t xml:space="preserve"> </w:t>
      </w:r>
      <w:r>
        <w:t xml:space="preserve">Immutable bounded specification:</w:t>
      </w:r>
    </w:p>
    <w:p>
      <w:pPr>
        <w:pStyle w:val="Compac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nor/>
              <m:sty m:val="p"/>
            </m:rPr>
            <m:t>id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version</m:t>
          </m:r>
          <m:r>
            <m:rPr>
              <m:sty m:val="p"/>
            </m:rPr>
            <m:t>,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,</m:t>
          </m:r>
          <m:r>
            <m:rPr>
              <m:scr m:val="script"/>
              <m:sty m:val="p"/>
            </m:rPr>
            <m:t>K</m:t>
          </m:r>
          <m:r>
            <m:rPr>
              <m:sty m:val="p"/>
            </m:rPr>
            <m:t>,</m:t>
          </m:r>
          <m:r>
            <m:rPr>
              <m:sty m:val="p"/>
            </m:rPr>
            <m:t>Φ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⟩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O</m:t>
        </m:r>
      </m:oMath>
      <w:r>
        <w:t xml:space="preserve"> </w:t>
      </w:r>
      <w:r>
        <w:t xml:space="preserve">is the objective outcome,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 </w:t>
      </w:r>
      <w:r>
        <w:t xml:space="preserve">is the input data,</w:t>
      </w:r>
      <w:r>
        <w:t xml:space="preserve"> </w:t>
      </w:r>
      <m:oMath>
        <m:r>
          <m:rPr>
            <m:scr m:val="script"/>
            <m:sty m:val="p"/>
          </m:rPr>
          <m:t>K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the set of required acceptance criteria,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set of safety constraints,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recovery policy.</w:t>
      </w:r>
    </w:p>
    <w:p>
      <w:pPr>
        <w:pStyle w:val="Compact"/>
        <w:numPr>
          <w:ilvl w:val="0"/>
          <w:numId w:val="1002"/>
        </w:numPr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(Multi-Tier State Vector):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mission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world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runtime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decoupling conversation memory from authoritative mission state.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(Capability Namespace):</w:t>
      </w:r>
      <w:r>
        <w:t xml:space="preserve"> </w:t>
      </w:r>
      <w:r>
        <w:t xml:space="preserve">Resolved capabilities composed from MCP JSON-RPC endpoints, Agent Skills (</w:t>
      </w:r>
      <w:r>
        <w:rPr>
          <w:rStyle w:val="VerbatimChar"/>
        </w:rPr>
        <w:t xml:space="preserve">SKILL.md</w:t>
      </w:r>
      <w:r>
        <w:t xml:space="preserve">), Agent-to-Agent (</w:t>
      </w:r>
      <w:r>
        <w:rPr>
          <w:rStyle w:val="VerbatimChar"/>
        </w:rPr>
        <w:t xml:space="preserve">A2A</w:t>
      </w:r>
      <w:r>
        <w:t xml:space="preserve">) protocols, and local runtime primitives:</w:t>
      </w:r>
    </w:p>
    <w:p>
      <w:pPr>
        <w:pStyle w:val="Compac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mcp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skill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a2a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runtime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(Attenuated Authority):</w:t>
      </w:r>
      <w:r>
        <w:t xml:space="preserve"> </w:t>
      </w:r>
      <w:r>
        <w:t xml:space="preserve">Dynamic permission grant issued by principal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nor/>
              <m:sty m:val="p"/>
            </m:rPr>
            <m:t>id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purpose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allowed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denied</m:t>
          </m:r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start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exp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depth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(Resource Envelope):</w:t>
      </w:r>
    </w:p>
    <w:p>
      <w:pPr>
        <w:pStyle w:val="Compac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nor/>
              <m:sty m:val="p"/>
            </m:rPr>
            <m:t>max_tokens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max_usd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max_time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max_interventions</m:t>
          </m:r>
          <m:r>
            <m:rPr>
              <m:sty m:val="p"/>
            </m:rPr>
            <m:t>⟩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(Causal Trajectory):</w:t>
      </w:r>
      <w:r>
        <w:t xml:space="preserve"> </w:t>
      </w:r>
      <w:r>
        <w:t xml:space="preserve">Append-only sequence of discrete state mutation events:</w:t>
      </w:r>
    </w:p>
    <w:p>
      <w:pPr>
        <w:pStyle w:val="Compac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type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payload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(Evidence Store):</w:t>
      </w:r>
      <w:r>
        <w:t xml:space="preserve"> </w:t>
      </w:r>
      <w:r>
        <w:t xml:space="preserve">Map of verified receipts indexed by criterion:</w:t>
      </w:r>
    </w:p>
    <w:p>
      <w:pPr>
        <w:pStyle w:val="Compac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:</m:t>
          </m:r>
          <m:r>
            <m:t>k</m:t>
          </m:r>
          <m:r>
            <m:rPr>
              <m:sty m:val="p"/>
            </m:rPr>
            <m:t>↦</m:t>
          </m:r>
          <m:r>
            <m:rPr>
              <m:nor/>
              <m:sty m:val="p"/>
            </m:rPr>
            <m:t>EvidenceItem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EvidenceItem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nor/>
              <m:sty m:val="p"/>
            </m:rPr>
            <m:t>id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tier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verifier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result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data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⟩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t>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(Independent Verifier):</w:t>
      </w:r>
      <w:r>
        <w:t xml:space="preserve"> </w:t>
      </w:r>
      <w:r>
        <w:t xml:space="preserve">Evaluation function decoupled from agent execution:</w:t>
      </w:r>
    </w:p>
    <w:p>
      <w:pPr>
        <w:pStyle w:val="Compac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: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SATISFIED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FAILED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INDETERMINATE</m:t>
          </m:r>
          <m:r>
            <m:rPr>
              <m:sty m:val="p"/>
            </m:rPr>
            <m:t>}</m:t>
          </m:r>
        </m:oMath>
      </m:oMathPara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34a32dd30a75546d35e7f5b1c11b9d1676dba1c"/>
    <w:p>
      <w:pPr>
        <w:pStyle w:val="Heading2"/>
      </w:pPr>
      <w:r>
        <w:t xml:space="preserve">2. Normative Invariants &amp; Mathematical Proofs</w:t>
      </w:r>
    </w:p>
    <w:bookmarkStart w:id="12" w:name="X8b57c2c0322283c9f63f1acb79e44a3d235c427"/>
    <w:p>
      <w:pPr>
        <w:pStyle w:val="Heading3"/>
      </w:pPr>
      <w:r>
        <w:t xml:space="preserve">Invariant 1 (Non-Equivalence of Completion and Verification)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Complete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⟹̸</m:t>
              </m:r>
            </m:e>
          </m:box>
          <m:r>
            <m:rPr>
              <m:nor/>
              <m:sty m:val="p"/>
            </m:rPr>
            <m:t>Verified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The execution state machine defines state transitions: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RUNNING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agent_finish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VERIFYING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VERIFYING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all_criteria_satisfied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VERIFIED</m:t>
          </m:r>
        </m:oMath>
      </m:oMathPara>
    </w:p>
    <w:p>
      <w:pPr>
        <w:pStyle w:val="FirstParagraph"/>
      </w:pPr>
      <w:r>
        <w:t xml:space="preserve">Because there exists no transition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RUNNING</m:t>
        </m:r>
        <m:r>
          <m:rPr>
            <m:sty m:val="p"/>
          </m:rPr>
          <m:t>,</m:t>
        </m:r>
        <m:r>
          <m:rPr>
            <m:nor/>
            <m:sty m:val="p"/>
          </m:rPr>
          <m:t>agent_finish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VERIFIED</m:t>
        </m:r>
      </m:oMath>
      <w:r>
        <w:t xml:space="preserve">, an agent declaring completion cannot reach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without passing through the verification gate.</w:t>
      </w:r>
      <w:r>
        <w:t xml:space="preserve"> </w:t>
      </w:r>
      <m:oMath>
        <m:r>
          <m:rPr>
            <m:sty m:val="p"/>
          </m:rPr>
          <m:t>◼</m:t>
        </m:r>
      </m:oMath>
    </w:p>
    <w:bookmarkEnd w:id="12"/>
    <w:bookmarkStart w:id="13" w:name="X387669628838e380fb1f56a7c659a2800dc2163"/>
    <w:p>
      <w:pPr>
        <w:pStyle w:val="Heading3"/>
      </w:pPr>
      <w:r>
        <w:t xml:space="preserve">Invariant 3 (Monotonic Purpose-Bound Authority Attenuation)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child</m:t>
              </m:r>
            </m:sub>
          </m:sSub>
          <m:r>
            <m:rPr>
              <m:sty m:val="p"/>
            </m:rPr>
            <m:t>∈</m:t>
          </m:r>
          <m:r>
            <m:rPr>
              <m:nor/>
              <m:sty m:val="p"/>
            </m:rPr>
            <m:t>Delegations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parent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child</m:t>
              </m:r>
            </m:sub>
          </m:sSub>
          <m:r>
            <m:rPr>
              <m:sty m:val="p"/>
            </m:rPr>
            <m:t>.</m:t>
          </m:r>
          <m:r>
            <m:rPr>
              <m:nor/>
              <m:sty m:val="p"/>
            </m:rPr>
            <m:t>allowed</m:t>
          </m:r>
          <m:r>
            <m:rPr>
              <m:sty m:val="p"/>
            </m:rPr>
            <m:t>⊆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parent</m:t>
              </m:r>
            </m:sub>
          </m:sSub>
          <m:r>
            <m:rPr>
              <m:sty m:val="p"/>
            </m:rPr>
            <m:t>.</m:t>
          </m:r>
          <m:r>
            <m:rPr>
              <m:nor/>
              <m:sty m:val="p"/>
            </m:rPr>
            <m:t>allowed</m:t>
          </m:r>
          <m:r>
            <m:t> </m:t>
          </m:r>
          <m:r>
            <m:rPr>
              <m:sty m:val="p"/>
            </m:rPr>
            <m:t>∧</m:t>
          </m:r>
          <m:r>
            <m:t> 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child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parent</m:t>
              </m:r>
            </m:sub>
          </m:sSub>
          <m:r>
            <m:t> </m:t>
          </m:r>
          <m:r>
            <m:rPr>
              <m:sty m:val="p"/>
            </m:rPr>
            <m:t>∧</m:t>
          </m:r>
          <m:r>
            <m:t> </m:t>
          </m:r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child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parent</m:t>
              </m:r>
            </m:sub>
          </m:sSub>
        </m:oMath>
      </m:oMathPara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Monotonicity prevents unauthorized privilege escalation across arbitrary sub-agent trees. If a rogue subagent requests capability</w:t>
      </w:r>
      <w:r>
        <w:t xml:space="preserve"> </w:t>
      </w:r>
      <m:oMath>
        <m:r>
          <m:t>c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parent</m:t>
            </m:r>
          </m:sub>
        </m:sSub>
        <m:r>
          <m:rPr>
            <m:sty m:val="p"/>
          </m:rPr>
          <m:t>.</m:t>
        </m:r>
        <m:r>
          <m:rPr>
            <m:nor/>
            <m:sty m:val="p"/>
          </m:rPr>
          <m:t>allowed</m:t>
        </m:r>
      </m:oMath>
      <w:r>
        <w:t xml:space="preserve">, the policy enforcement gate intercepts the request and raises</w:t>
      </w:r>
      <w:r>
        <w:t xml:space="preserve"> </w:t>
      </w:r>
      <w:r>
        <w:rPr>
          <w:rStyle w:val="VerbatimChar"/>
        </w:rPr>
        <w:t xml:space="preserve">PermissionError</w:t>
      </w:r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cf276e18ea2d5e3f07a0bf32183ac1b2fc3386e"/>
    <w:p>
      <w:pPr>
        <w:pStyle w:val="Heading2"/>
      </w:pPr>
      <w:r>
        <w:t xml:space="preserve">3. Standards Integration &amp; Conformance Architecture</w:t>
      </w:r>
    </w:p>
    <w:p>
      <w:pPr>
        <w:pStyle w:val="FirstParagraph"/>
      </w:pPr>
      <w:r>
        <w:t xml:space="preserve">Rather than replacing existing industry protocols, SPEC-001 acts as the</w:t>
      </w:r>
      <w:r>
        <w:t xml:space="preserve"> </w:t>
      </w:r>
      <w:r>
        <w:rPr>
          <w:b/>
          <w:bCs/>
        </w:rPr>
        <w:t xml:space="preserve">top-level integration contract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SPEC-001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Model Context Protocol (MCP)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to</w:t>
            </w:r>
            <w:r>
              <w:t xml:space="preserve"> </w:t>
            </w:r>
            <w:r>
              <w:rPr>
                <w:rStyle w:val="VerbatimChar"/>
              </w:rPr>
              <w:t xml:space="preserve">mcp://</w:t>
            </w:r>
            <w:r>
              <w:t xml:space="preserve"> </w:t>
            </w:r>
            <w:r>
              <w:t xml:space="preserve">URI namespace and checked against delegation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Workload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SPIFFE / SPIRE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cryptographic x509 SVID identities for principals and agents.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 8693 (OAuth 2.0 Token Exchange)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attenuated sub-delegation token minting.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Coalition for Content Provenance and Authenticity (C2PA)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Tier 3 cryptographic proof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Telemetry &amp; 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GenAI Semantic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Serializes trajectory events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into distributed spans.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AI RMF 1.0 / AI 200-2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Structures four-tier evidence verification requirements.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50c7748aa6d421f569a5daf2425c9e7043a6cad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This architecture provides the missing systems-level foundation for trustworthy autonomous AI. Conformance test vectors, schemas, and reference adapters are open for international standardization under IEEE and NIST frameworks.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Paper 04.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2026-09-10T16:02:45Z</dcterms:created>
  <dcterms:modified xsi:type="dcterms:W3CDTF">2026-09-10T16:02:45Z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