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EAAF4" w14:textId="77777777" w:rsidR="00DC368E" w:rsidRPr="00DC368E" w:rsidRDefault="00DC368E" w:rsidP="00DC368E">
      <w:pPr>
        <w:jc w:val="center"/>
        <w:rPr>
          <w:rFonts w:ascii="Times New Roman" w:hAnsi="Times New Roman" w:cs="Times New Roman"/>
          <w:b/>
          <w:bCs/>
          <w:sz w:val="32"/>
          <w:szCs w:val="32"/>
        </w:rPr>
      </w:pPr>
      <w:r w:rsidRPr="00DC368E">
        <w:rPr>
          <w:rFonts w:ascii="Times New Roman" w:hAnsi="Times New Roman" w:cs="Times New Roman"/>
          <w:b/>
          <w:bCs/>
          <w:sz w:val="32"/>
          <w:szCs w:val="32"/>
        </w:rPr>
        <w:t>Summary</w:t>
      </w:r>
    </w:p>
    <w:p w14:paraId="0865AF43" w14:textId="7268B32D" w:rsidR="00DC368E" w:rsidRPr="00DC368E" w:rsidRDefault="00DC368E" w:rsidP="00DC368E">
      <w:pPr>
        <w:jc w:val="both"/>
        <w:rPr>
          <w:rFonts w:ascii="Times New Roman" w:hAnsi="Times New Roman" w:cs="Times New Roman"/>
        </w:rPr>
      </w:pPr>
      <w:r w:rsidRPr="00DC368E">
        <w:rPr>
          <w:rFonts w:ascii="Times New Roman" w:hAnsi="Times New Roman" w:cs="Times New Roman"/>
        </w:rPr>
        <w:t>Three open 12-lead ECG databases and two studies on cardiac digital twins together form two related research areas. The databases offer labelled clinical recordings for machine learning. The digital twin studies explore what information about heart function can be learned from an ECG and how reliable those findings are.</w:t>
      </w:r>
    </w:p>
    <w:p w14:paraId="40015FCD" w14:textId="77777777" w:rsidR="00DC368E" w:rsidRPr="00DC368E" w:rsidRDefault="00DC368E" w:rsidP="00DC368E">
      <w:pPr>
        <w:jc w:val="both"/>
        <w:rPr>
          <w:rFonts w:ascii="Times New Roman" w:hAnsi="Times New Roman" w:cs="Times New Roman"/>
        </w:rPr>
      </w:pPr>
      <w:r w:rsidRPr="00DC368E">
        <w:rPr>
          <w:rFonts w:ascii="Times New Roman" w:hAnsi="Times New Roman" w:cs="Times New Roman"/>
          <w:b/>
          <w:bCs/>
        </w:rPr>
        <w:t>Datasets</w:t>
      </w:r>
    </w:p>
    <w:p w14:paraId="0FC519BC" w14:textId="686EB55F" w:rsidR="00DC368E" w:rsidRPr="00DC368E" w:rsidRDefault="00DC368E" w:rsidP="00DC368E">
      <w:pPr>
        <w:jc w:val="both"/>
        <w:rPr>
          <w:rFonts w:ascii="Times New Roman" w:hAnsi="Times New Roman" w:cs="Times New Roman"/>
        </w:rPr>
      </w:pPr>
      <w:r w:rsidRPr="00DC368E">
        <w:rPr>
          <w:rFonts w:ascii="Times New Roman" w:hAnsi="Times New Roman" w:cs="Times New Roman"/>
        </w:rPr>
        <w:t>Zheng et al</w:t>
      </w:r>
      <w:r w:rsidR="00D549C5">
        <w:rPr>
          <w:rFonts w:ascii="Times New Roman" w:hAnsi="Times New Roman" w:cs="Times New Roman"/>
        </w:rPr>
        <w:t xml:space="preserve"> (2020)</w:t>
      </w:r>
      <w:r w:rsidRPr="00DC368E">
        <w:rPr>
          <w:rFonts w:ascii="Times New Roman" w:hAnsi="Times New Roman" w:cs="Times New Roman"/>
        </w:rPr>
        <w:t xml:space="preserve"> released a database from Shaoxing People's Hospital for arrhythmia research. It includes 10-second, 500 Hz, 12-lead ECGs from 10,646 patients aged 4 to 98, with 56% male. About 83% of patients have at least one abnormality. Each record has one of 11 rhythm labels and other condition labels, assigned by one physician and checked by another. The authors provide both raw and denoised signals, using a Butterworth low-pass filter, LOESS baseline correction, and non-local means denoising. They grouped rare rhythms into four categories. A gradient-boosted tree model using 230 features achieved an F1 score of 0.97, supporting the quality of the data and labels. However, the paper's class counts are inconsistent: the text lists 3,889 atrial fibrillation cases, but Table 2 puts this number under sinus bradycardia. Users should verify counts with the released files.</w:t>
      </w:r>
    </w:p>
    <w:p w14:paraId="1779081B" w14:textId="68964BB0" w:rsidR="00DC368E" w:rsidRPr="00DC368E" w:rsidRDefault="00DC368E" w:rsidP="00DC368E">
      <w:pPr>
        <w:jc w:val="both"/>
        <w:rPr>
          <w:rFonts w:ascii="Times New Roman" w:hAnsi="Times New Roman" w:cs="Times New Roman"/>
        </w:rPr>
      </w:pPr>
      <w:r w:rsidRPr="00DC368E">
        <w:rPr>
          <w:rFonts w:ascii="Times New Roman" w:hAnsi="Times New Roman" w:cs="Times New Roman"/>
        </w:rPr>
        <w:t xml:space="preserve">Wagner et al. (2020) released PTB-XL, which has 21,837 ten-second ECG recordings from 18,885 patients collected in Germany between 1989 and 1996. Each record can have up to 71 SCP-ECG statements from up to two cardiologists. Diagnostic statements are grouped into five main classes and 24 </w:t>
      </w:r>
      <w:r w:rsidR="00D549C5" w:rsidRPr="00DC368E">
        <w:rPr>
          <w:rFonts w:ascii="Times New Roman" w:hAnsi="Times New Roman" w:cs="Times New Roman"/>
        </w:rPr>
        <w:t>subclasses and</w:t>
      </w:r>
      <w:r w:rsidRPr="00DC368E">
        <w:rPr>
          <w:rFonts w:ascii="Times New Roman" w:hAnsi="Times New Roman" w:cs="Times New Roman"/>
        </w:rPr>
        <w:t xml:space="preserve"> include likelihood values. The dataset includes many healthy cases and a range of signal quality, with about 77% of records showing no problems, making it useful for testing robustness. The authors provide ten patient-stratified folds, with folds nine and ten set aside for human-validated </w:t>
      </w:r>
      <w:r w:rsidR="00D549C5" w:rsidRPr="00DC368E">
        <w:rPr>
          <w:rFonts w:ascii="Times New Roman" w:hAnsi="Times New Roman" w:cs="Times New Roman"/>
        </w:rPr>
        <w:t>labels and</w:t>
      </w:r>
      <w:r w:rsidRPr="00DC368E">
        <w:rPr>
          <w:rFonts w:ascii="Times New Roman" w:hAnsi="Times New Roman" w:cs="Times New Roman"/>
        </w:rPr>
        <w:t xml:space="preserve"> recommend using macro-averaged AUROC. They also note that only about 74% of records are definitely </w:t>
      </w:r>
      <w:r w:rsidR="00D549C5" w:rsidRPr="00DC368E">
        <w:rPr>
          <w:rFonts w:ascii="Times New Roman" w:hAnsi="Times New Roman" w:cs="Times New Roman"/>
        </w:rPr>
        <w:t>human validated</w:t>
      </w:r>
      <w:r w:rsidRPr="00DC368E">
        <w:rPr>
          <w:rFonts w:ascii="Times New Roman" w:hAnsi="Times New Roman" w:cs="Times New Roman"/>
        </w:rPr>
        <w:t>.</w:t>
      </w:r>
    </w:p>
    <w:p w14:paraId="1938C03D" w14:textId="77777777" w:rsidR="00DC368E" w:rsidRPr="00DC368E" w:rsidRDefault="00DC368E" w:rsidP="00DC368E">
      <w:pPr>
        <w:jc w:val="both"/>
        <w:rPr>
          <w:rFonts w:ascii="Times New Roman" w:hAnsi="Times New Roman" w:cs="Times New Roman"/>
        </w:rPr>
      </w:pPr>
      <w:r w:rsidRPr="00DC368E">
        <w:rPr>
          <w:rFonts w:ascii="Times New Roman" w:hAnsi="Times New Roman" w:cs="Times New Roman"/>
        </w:rPr>
        <w:t>Liu et al. (2022) released the Shandong Provincial Hospital (SPH) database, which includes 25,770 records from 24,666 adults collected between 2019 and 2020. The main feature is label standardisation. The authors converted original Chinese diagnoses into the AHA/ACC/HRS standard using rules checked by cardiologists, resulting in 44 main statements and 15 modifiers. This helps address incompatibility between systems like SCP-ECG and SNOMED-CT, which makes studies hard to compare. About 46% of records are abnormal, and 14.5% have more than one statement. The authors suggest four tasks, from normal versus abnormal to full statements, and provide code for splitting data by patient. Exclusions affect the class distribution and do not reflect population prevalence.</w:t>
      </w:r>
    </w:p>
    <w:p w14:paraId="3133A221" w14:textId="77777777" w:rsidR="00DC368E" w:rsidRPr="00DC368E" w:rsidRDefault="00DC368E" w:rsidP="00DC368E">
      <w:pPr>
        <w:jc w:val="both"/>
        <w:rPr>
          <w:rFonts w:ascii="Times New Roman" w:hAnsi="Times New Roman" w:cs="Times New Roman"/>
        </w:rPr>
      </w:pPr>
      <w:r w:rsidRPr="00DC368E">
        <w:rPr>
          <w:rFonts w:ascii="Times New Roman" w:hAnsi="Times New Roman" w:cs="Times New Roman"/>
          <w:b/>
          <w:bCs/>
        </w:rPr>
        <w:t>Digital twin studies</w:t>
      </w:r>
    </w:p>
    <w:p w14:paraId="24DF87C8" w14:textId="77777777" w:rsidR="00DC368E" w:rsidRPr="00DC368E" w:rsidRDefault="00DC368E" w:rsidP="00DC368E">
      <w:pPr>
        <w:jc w:val="both"/>
        <w:rPr>
          <w:rFonts w:ascii="Times New Roman" w:hAnsi="Times New Roman" w:cs="Times New Roman"/>
        </w:rPr>
      </w:pPr>
      <w:proofErr w:type="spellStart"/>
      <w:r w:rsidRPr="00DC368E">
        <w:rPr>
          <w:rFonts w:ascii="Times New Roman" w:hAnsi="Times New Roman" w:cs="Times New Roman"/>
        </w:rPr>
        <w:t>Zappon</w:t>
      </w:r>
      <w:proofErr w:type="spellEnd"/>
      <w:r w:rsidRPr="00DC368E">
        <w:rPr>
          <w:rFonts w:ascii="Times New Roman" w:hAnsi="Times New Roman" w:cs="Times New Roman"/>
        </w:rPr>
        <w:t xml:space="preserve"> et al. (2024) studied whether unavoidable modelling inconsistencies affect calibrating a digital twin to a measured ECG. They found that beat-to-beat variability was minor in 14 healthy subjects and in patients with atrial fibrillation or ventricular tachycardia. Using a heart-torso model from one subject's MRI with fixed activation, they changed heart position, orientation, size, torso conductivities, and electrode placement. ECG shape and diagnostic features stayed mostly stable. The precordial leads V1 to V4 and lead </w:t>
      </w:r>
      <w:proofErr w:type="spellStart"/>
      <w:r w:rsidRPr="00DC368E">
        <w:rPr>
          <w:rFonts w:ascii="Times New Roman" w:hAnsi="Times New Roman" w:cs="Times New Roman"/>
        </w:rPr>
        <w:t>aVL</w:t>
      </w:r>
      <w:proofErr w:type="spellEnd"/>
      <w:r w:rsidRPr="00DC368E">
        <w:rPr>
          <w:rFonts w:ascii="Times New Roman" w:hAnsi="Times New Roman" w:cs="Times New Roman"/>
        </w:rPr>
        <w:t xml:space="preserve"> were most sensitive, while limb leads, V6, and the T wave changed little. The authors conclude that the activation and repolarisation sequence mainly determines ECG shape, not these uncertainties. Limitations include using only one patient model and changing one factor at a time. The problem of identifying unique parameters is still unsolved.</w:t>
      </w:r>
    </w:p>
    <w:p w14:paraId="07BB662D" w14:textId="0A0D0AE9" w:rsidR="00DC368E" w:rsidRPr="00DC368E" w:rsidRDefault="00DC368E" w:rsidP="00DC368E">
      <w:pPr>
        <w:jc w:val="both"/>
        <w:rPr>
          <w:rFonts w:ascii="Times New Roman" w:hAnsi="Times New Roman" w:cs="Times New Roman"/>
        </w:rPr>
      </w:pPr>
      <w:r w:rsidRPr="00DC368E">
        <w:rPr>
          <w:rFonts w:ascii="Times New Roman" w:hAnsi="Times New Roman" w:cs="Times New Roman"/>
        </w:rPr>
        <w:t xml:space="preserve">Coleman et al. (2025) created a method to estimate ventricular activation and repolarisation times using the 12-lead ECG and MRI anatomy. They infer activation from the QRS complex and repolarisation from the T wave. The repolarisation model allows for a flexible map of action potential duration, so it can show abnormal patterns like those in hypertrophic cardiomyopathy (HCM). A fast surrogate model makes the many needed simulations possible. In tests on 18 synthetic benchmarks with known results, </w:t>
      </w:r>
      <w:r w:rsidRPr="00DC368E">
        <w:rPr>
          <w:rFonts w:ascii="Times New Roman" w:hAnsi="Times New Roman" w:cs="Times New Roman"/>
        </w:rPr>
        <w:lastRenderedPageBreak/>
        <w:t xml:space="preserve">activation times were recovered with a mean absolute error of 6.5 </w:t>
      </w:r>
      <w:proofErr w:type="spellStart"/>
      <w:r w:rsidRPr="00DC368E">
        <w:rPr>
          <w:rFonts w:ascii="Times New Roman" w:hAnsi="Times New Roman" w:cs="Times New Roman"/>
        </w:rPr>
        <w:t>ms</w:t>
      </w:r>
      <w:proofErr w:type="spellEnd"/>
      <w:r w:rsidRPr="00DC368E">
        <w:rPr>
          <w:rFonts w:ascii="Times New Roman" w:hAnsi="Times New Roman" w:cs="Times New Roman"/>
        </w:rPr>
        <w:t xml:space="preserve">. Repolarisation times had errors of 11.0 </w:t>
      </w:r>
      <w:proofErr w:type="spellStart"/>
      <w:r w:rsidRPr="00DC368E">
        <w:rPr>
          <w:rFonts w:ascii="Times New Roman" w:hAnsi="Times New Roman" w:cs="Times New Roman"/>
        </w:rPr>
        <w:t>ms</w:t>
      </w:r>
      <w:proofErr w:type="spellEnd"/>
      <w:r w:rsidRPr="00DC368E">
        <w:rPr>
          <w:rFonts w:ascii="Times New Roman" w:hAnsi="Times New Roman" w:cs="Times New Roman"/>
        </w:rPr>
        <w:t xml:space="preserve"> in controls and 14.4 </w:t>
      </w:r>
      <w:proofErr w:type="spellStart"/>
      <w:r w:rsidRPr="00DC368E">
        <w:rPr>
          <w:rFonts w:ascii="Times New Roman" w:hAnsi="Times New Roman" w:cs="Times New Roman"/>
        </w:rPr>
        <w:t>ms</w:t>
      </w:r>
      <w:proofErr w:type="spellEnd"/>
      <w:r w:rsidRPr="00DC368E">
        <w:rPr>
          <w:rFonts w:ascii="Times New Roman" w:hAnsi="Times New Roman" w:cs="Times New Roman"/>
        </w:rPr>
        <w:t xml:space="preserve"> in HCM (Spearman correlations around 0.65). The septal region of abnormal repolarisation was found in five of six HCM cases, and activation errors affected repolarisation results. Limitations include about ten hours of computation per case, using the same cell model for both benchmarks and the surrogate, no validation on real patients, and the inability to identify ion channel distributions.</w:t>
      </w:r>
    </w:p>
    <w:p w14:paraId="7A34F90F" w14:textId="77777777" w:rsidR="00D549C5" w:rsidRDefault="00DC368E" w:rsidP="00D549C5">
      <w:pPr>
        <w:jc w:val="both"/>
        <w:rPr>
          <w:rFonts w:ascii="Times New Roman" w:hAnsi="Times New Roman" w:cs="Times New Roman"/>
        </w:rPr>
      </w:pPr>
      <w:r w:rsidRPr="00DC368E">
        <w:rPr>
          <w:rFonts w:ascii="Times New Roman" w:hAnsi="Times New Roman" w:cs="Times New Roman"/>
        </w:rPr>
        <w:t xml:space="preserve">The datasets differ mainly in size, label standards, and origin, so none can replace the others. PTB-XL has the most established benchmark folds, SPH offers the most standardised labels, and the Shaoxing database focuses on rhythms. The two modelling studies complement each other: </w:t>
      </w:r>
      <w:proofErr w:type="spellStart"/>
      <w:r w:rsidRPr="00DC368E">
        <w:rPr>
          <w:rFonts w:ascii="Times New Roman" w:hAnsi="Times New Roman" w:cs="Times New Roman"/>
        </w:rPr>
        <w:t>Zappon</w:t>
      </w:r>
      <w:proofErr w:type="spellEnd"/>
      <w:r w:rsidRPr="00DC368E">
        <w:rPr>
          <w:rFonts w:ascii="Times New Roman" w:hAnsi="Times New Roman" w:cs="Times New Roman"/>
        </w:rPr>
        <w:t xml:space="preserve"> et al. support using the ECG as a stable calibration target, while Coleman et al. show how to invert the ECG, though so far only on simulated data. Neither modelling paper uses these datasets.</w:t>
      </w:r>
    </w:p>
    <w:p w14:paraId="07B2F0CC" w14:textId="77777777" w:rsidR="00D549C5" w:rsidRDefault="00D549C5">
      <w:pPr>
        <w:rPr>
          <w:rFonts w:ascii="Times New Roman" w:hAnsi="Times New Roman" w:cs="Times New Roman"/>
        </w:rPr>
      </w:pPr>
      <w:r>
        <w:rPr>
          <w:rFonts w:ascii="Times New Roman" w:hAnsi="Times New Roman" w:cs="Times New Roman"/>
        </w:rPr>
        <w:br w:type="page"/>
      </w:r>
    </w:p>
    <w:p w14:paraId="4B05E9FA" w14:textId="5D43A8E3" w:rsidR="00D549C5" w:rsidRPr="00D549C5" w:rsidRDefault="00D549C5" w:rsidP="00D549C5">
      <w:pPr>
        <w:jc w:val="both"/>
        <w:rPr>
          <w:rFonts w:ascii="Times New Roman" w:hAnsi="Times New Roman" w:cs="Times New Roman"/>
          <w:b/>
          <w:bCs/>
        </w:rPr>
      </w:pPr>
      <w:r w:rsidRPr="00D549C5">
        <w:rPr>
          <w:rFonts w:ascii="Times New Roman" w:hAnsi="Times New Roman" w:cs="Times New Roman"/>
          <w:b/>
          <w:bCs/>
        </w:rPr>
        <w:lastRenderedPageBreak/>
        <w:t>References</w:t>
      </w:r>
    </w:p>
    <w:p w14:paraId="3CEDFD27" w14:textId="77777777" w:rsidR="00D549C5" w:rsidRPr="00D549C5" w:rsidRDefault="00D549C5" w:rsidP="00D549C5">
      <w:pPr>
        <w:numPr>
          <w:ilvl w:val="0"/>
          <w:numId w:val="2"/>
        </w:numPr>
        <w:spacing w:after="0"/>
        <w:jc w:val="both"/>
        <w:rPr>
          <w:rFonts w:ascii="Times New Roman" w:hAnsi="Times New Roman" w:cs="Times New Roman"/>
          <w:i/>
          <w:iCs/>
        </w:rPr>
      </w:pPr>
      <w:r w:rsidRPr="00D549C5">
        <w:rPr>
          <w:rFonts w:ascii="Times New Roman" w:hAnsi="Times New Roman" w:cs="Times New Roman"/>
          <w:i/>
          <w:iCs/>
        </w:rPr>
        <w:t xml:space="preserve">Zheng, J., Zhang, J., Danioko, S., Yao, H., Guo, H., &amp; Rakovski, C. (2020). A 12-lead electrocardiogram database for arrhythmia research covering more than 10,000 patients. Scientific Data, 7, 48. </w:t>
      </w:r>
      <w:hyperlink r:id="rId6" w:history="1">
        <w:r w:rsidRPr="00D549C5">
          <w:rPr>
            <w:rStyle w:val="Hyperlink"/>
            <w:rFonts w:ascii="Times New Roman" w:hAnsi="Times New Roman" w:cs="Times New Roman"/>
            <w:i/>
            <w:iCs/>
          </w:rPr>
          <w:t>https://doi.org/10.1038/s41597-020-0386-x</w:t>
        </w:r>
      </w:hyperlink>
    </w:p>
    <w:p w14:paraId="11159923" w14:textId="77777777" w:rsidR="00D549C5" w:rsidRPr="00D549C5" w:rsidRDefault="00D549C5" w:rsidP="00D549C5">
      <w:pPr>
        <w:numPr>
          <w:ilvl w:val="0"/>
          <w:numId w:val="2"/>
        </w:numPr>
        <w:spacing w:after="0"/>
        <w:jc w:val="both"/>
        <w:rPr>
          <w:rFonts w:ascii="Times New Roman" w:hAnsi="Times New Roman" w:cs="Times New Roman"/>
          <w:i/>
          <w:iCs/>
        </w:rPr>
      </w:pPr>
      <w:r w:rsidRPr="00D549C5">
        <w:rPr>
          <w:rFonts w:ascii="Times New Roman" w:hAnsi="Times New Roman" w:cs="Times New Roman"/>
          <w:i/>
          <w:iCs/>
        </w:rPr>
        <w:t xml:space="preserve">Wagner, P., Strodthoff, N., </w:t>
      </w:r>
      <w:proofErr w:type="spellStart"/>
      <w:r w:rsidRPr="00D549C5">
        <w:rPr>
          <w:rFonts w:ascii="Times New Roman" w:hAnsi="Times New Roman" w:cs="Times New Roman"/>
          <w:i/>
          <w:iCs/>
        </w:rPr>
        <w:t>Bousseljot</w:t>
      </w:r>
      <w:proofErr w:type="spellEnd"/>
      <w:r w:rsidRPr="00D549C5">
        <w:rPr>
          <w:rFonts w:ascii="Times New Roman" w:hAnsi="Times New Roman" w:cs="Times New Roman"/>
          <w:i/>
          <w:iCs/>
        </w:rPr>
        <w:t xml:space="preserve">, R.-D., </w:t>
      </w:r>
      <w:proofErr w:type="spellStart"/>
      <w:r w:rsidRPr="00D549C5">
        <w:rPr>
          <w:rFonts w:ascii="Times New Roman" w:hAnsi="Times New Roman" w:cs="Times New Roman"/>
          <w:i/>
          <w:iCs/>
        </w:rPr>
        <w:t>Kreiseler</w:t>
      </w:r>
      <w:proofErr w:type="spellEnd"/>
      <w:r w:rsidRPr="00D549C5">
        <w:rPr>
          <w:rFonts w:ascii="Times New Roman" w:hAnsi="Times New Roman" w:cs="Times New Roman"/>
          <w:i/>
          <w:iCs/>
        </w:rPr>
        <w:t xml:space="preserve">, D., </w:t>
      </w:r>
      <w:proofErr w:type="spellStart"/>
      <w:r w:rsidRPr="00D549C5">
        <w:rPr>
          <w:rFonts w:ascii="Times New Roman" w:hAnsi="Times New Roman" w:cs="Times New Roman"/>
          <w:i/>
          <w:iCs/>
        </w:rPr>
        <w:t>Lunze</w:t>
      </w:r>
      <w:proofErr w:type="spellEnd"/>
      <w:r w:rsidRPr="00D549C5">
        <w:rPr>
          <w:rFonts w:ascii="Times New Roman" w:hAnsi="Times New Roman" w:cs="Times New Roman"/>
          <w:i/>
          <w:iCs/>
        </w:rPr>
        <w:t xml:space="preserve">, F. I., Samek, W., &amp; </w:t>
      </w:r>
      <w:proofErr w:type="spellStart"/>
      <w:r w:rsidRPr="00D549C5">
        <w:rPr>
          <w:rFonts w:ascii="Times New Roman" w:hAnsi="Times New Roman" w:cs="Times New Roman"/>
          <w:i/>
          <w:iCs/>
        </w:rPr>
        <w:t>Schaeffter</w:t>
      </w:r>
      <w:proofErr w:type="spellEnd"/>
      <w:r w:rsidRPr="00D549C5">
        <w:rPr>
          <w:rFonts w:ascii="Times New Roman" w:hAnsi="Times New Roman" w:cs="Times New Roman"/>
          <w:i/>
          <w:iCs/>
        </w:rPr>
        <w:t xml:space="preserve">, T. (2020). PTB-XL, a large publicly available electrocardiography dataset. Scientific Data, 7, 154. </w:t>
      </w:r>
      <w:hyperlink r:id="rId7" w:history="1">
        <w:r w:rsidRPr="00D549C5">
          <w:rPr>
            <w:rStyle w:val="Hyperlink"/>
            <w:rFonts w:ascii="Times New Roman" w:hAnsi="Times New Roman" w:cs="Times New Roman"/>
            <w:i/>
            <w:iCs/>
          </w:rPr>
          <w:t>https://doi.org/10.1038/s41597-020-0495-6</w:t>
        </w:r>
      </w:hyperlink>
    </w:p>
    <w:p w14:paraId="04A090A3" w14:textId="77777777" w:rsidR="00D549C5" w:rsidRPr="00D549C5" w:rsidRDefault="00D549C5" w:rsidP="00D549C5">
      <w:pPr>
        <w:numPr>
          <w:ilvl w:val="0"/>
          <w:numId w:val="2"/>
        </w:numPr>
        <w:spacing w:after="0"/>
        <w:jc w:val="both"/>
        <w:rPr>
          <w:rFonts w:ascii="Times New Roman" w:hAnsi="Times New Roman" w:cs="Times New Roman"/>
          <w:i/>
          <w:iCs/>
        </w:rPr>
      </w:pPr>
      <w:r w:rsidRPr="00D549C5">
        <w:rPr>
          <w:rFonts w:ascii="Times New Roman" w:hAnsi="Times New Roman" w:cs="Times New Roman"/>
          <w:i/>
          <w:iCs/>
        </w:rPr>
        <w:t xml:space="preserve">Liu, H., Chen, D., Chen, D., Zhang, X., Li, H., Bian, L., Shu, M., &amp; Wang, Y. (2022). A large-scale multi-label 12-lead electrocardiogram database with standardized diagnostic statements. Scientific Data, 9, 272. </w:t>
      </w:r>
      <w:hyperlink r:id="rId8" w:history="1">
        <w:r w:rsidRPr="00D549C5">
          <w:rPr>
            <w:rStyle w:val="Hyperlink"/>
            <w:rFonts w:ascii="Times New Roman" w:hAnsi="Times New Roman" w:cs="Times New Roman"/>
            <w:i/>
            <w:iCs/>
          </w:rPr>
          <w:t>https://doi.org/10.1038/s41597-022-01403-5</w:t>
        </w:r>
      </w:hyperlink>
    </w:p>
    <w:p w14:paraId="1ED9642E" w14:textId="77777777" w:rsidR="00D549C5" w:rsidRPr="00D549C5" w:rsidRDefault="00D549C5" w:rsidP="00D549C5">
      <w:pPr>
        <w:numPr>
          <w:ilvl w:val="0"/>
          <w:numId w:val="2"/>
        </w:numPr>
        <w:spacing w:after="0"/>
        <w:jc w:val="both"/>
        <w:rPr>
          <w:rFonts w:ascii="Times New Roman" w:hAnsi="Times New Roman" w:cs="Times New Roman"/>
          <w:i/>
          <w:iCs/>
        </w:rPr>
      </w:pPr>
      <w:proofErr w:type="spellStart"/>
      <w:r w:rsidRPr="00D549C5">
        <w:rPr>
          <w:rFonts w:ascii="Times New Roman" w:hAnsi="Times New Roman" w:cs="Times New Roman"/>
          <w:i/>
          <w:iCs/>
        </w:rPr>
        <w:t>Zappon</w:t>
      </w:r>
      <w:proofErr w:type="spellEnd"/>
      <w:r w:rsidRPr="00D549C5">
        <w:rPr>
          <w:rFonts w:ascii="Times New Roman" w:hAnsi="Times New Roman" w:cs="Times New Roman"/>
          <w:i/>
          <w:iCs/>
        </w:rPr>
        <w:t>, E., Gsell, M. A. F., Gillette, K., &amp; Plank, G. (2024). Quantifying variabilities in cardiac digital twin models of the electrocardiogram. arXiv:2407.17146 [</w:t>
      </w:r>
      <w:proofErr w:type="spellStart"/>
      <w:r w:rsidRPr="00D549C5">
        <w:rPr>
          <w:rFonts w:ascii="Times New Roman" w:hAnsi="Times New Roman" w:cs="Times New Roman"/>
          <w:i/>
          <w:iCs/>
        </w:rPr>
        <w:t>physics.med-ph</w:t>
      </w:r>
      <w:proofErr w:type="spellEnd"/>
      <w:r w:rsidRPr="00D549C5">
        <w:rPr>
          <w:rFonts w:ascii="Times New Roman" w:hAnsi="Times New Roman" w:cs="Times New Roman"/>
          <w:i/>
          <w:iCs/>
        </w:rPr>
        <w:t>].</w:t>
      </w:r>
    </w:p>
    <w:p w14:paraId="14E4FD93" w14:textId="740C6D83" w:rsidR="00D549C5" w:rsidRPr="00D549C5" w:rsidRDefault="00D549C5" w:rsidP="00D549C5">
      <w:pPr>
        <w:numPr>
          <w:ilvl w:val="0"/>
          <w:numId w:val="2"/>
        </w:numPr>
        <w:spacing w:after="0"/>
        <w:jc w:val="both"/>
        <w:rPr>
          <w:rFonts w:ascii="Times New Roman" w:hAnsi="Times New Roman" w:cs="Times New Roman"/>
          <w:i/>
          <w:iCs/>
        </w:rPr>
      </w:pPr>
      <w:r w:rsidRPr="00D549C5">
        <w:rPr>
          <w:rFonts w:ascii="Times New Roman" w:hAnsi="Times New Roman" w:cs="Times New Roman"/>
          <w:i/>
          <w:iCs/>
        </w:rPr>
        <w:t xml:space="preserve">Coleman, J. A., Camps, J., </w:t>
      </w:r>
      <w:proofErr w:type="spellStart"/>
      <w:r w:rsidRPr="00D549C5">
        <w:rPr>
          <w:rFonts w:ascii="Times New Roman" w:hAnsi="Times New Roman" w:cs="Times New Roman"/>
          <w:i/>
          <w:iCs/>
        </w:rPr>
        <w:t>Hasaballa</w:t>
      </w:r>
      <w:proofErr w:type="spellEnd"/>
      <w:r w:rsidRPr="00D549C5">
        <w:rPr>
          <w:rFonts w:ascii="Times New Roman" w:hAnsi="Times New Roman" w:cs="Times New Roman"/>
          <w:i/>
          <w:iCs/>
        </w:rPr>
        <w:t>, A. I., &amp; Bueno-</w:t>
      </w:r>
      <w:proofErr w:type="spellStart"/>
      <w:r w:rsidRPr="00D549C5">
        <w:rPr>
          <w:rFonts w:ascii="Times New Roman" w:hAnsi="Times New Roman" w:cs="Times New Roman"/>
          <w:i/>
          <w:iCs/>
        </w:rPr>
        <w:t>Orovio</w:t>
      </w:r>
      <w:proofErr w:type="spellEnd"/>
      <w:r w:rsidRPr="00D549C5">
        <w:rPr>
          <w:rFonts w:ascii="Times New Roman" w:hAnsi="Times New Roman" w:cs="Times New Roman"/>
          <w:i/>
          <w:iCs/>
        </w:rPr>
        <w:t xml:space="preserve">, A. (2025). Simulation-based digital twinning of activation and repolarisation sequences from the ECG across healthy and diseased hearts. Manuscript, University of Oxford. </w:t>
      </w:r>
    </w:p>
    <w:p w14:paraId="74772223" w14:textId="77777777" w:rsidR="00F074F0" w:rsidRPr="00DC368E" w:rsidRDefault="00F074F0" w:rsidP="00DC368E">
      <w:pPr>
        <w:jc w:val="both"/>
        <w:rPr>
          <w:rFonts w:ascii="Times New Roman" w:hAnsi="Times New Roman" w:cs="Times New Roman"/>
        </w:rPr>
      </w:pPr>
    </w:p>
    <w:sectPr w:rsidR="00F074F0" w:rsidRPr="00DC3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536AD"/>
    <w:multiLevelType w:val="multilevel"/>
    <w:tmpl w:val="9120F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D0082B"/>
    <w:multiLevelType w:val="multilevel"/>
    <w:tmpl w:val="119A8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078365">
    <w:abstractNumId w:val="1"/>
  </w:num>
  <w:num w:numId="2" w16cid:durableId="95174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1"/>
    <w:rsid w:val="00014357"/>
    <w:rsid w:val="00223D27"/>
    <w:rsid w:val="0054664B"/>
    <w:rsid w:val="00656751"/>
    <w:rsid w:val="006E0C2D"/>
    <w:rsid w:val="00922212"/>
    <w:rsid w:val="00AE6728"/>
    <w:rsid w:val="00CF1372"/>
    <w:rsid w:val="00D549C5"/>
    <w:rsid w:val="00DC368E"/>
    <w:rsid w:val="00F074F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3D5DA"/>
  <w15:chartTrackingRefBased/>
  <w15:docId w15:val="{652A054E-1F57-428A-917D-512759DC6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75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5675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5675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5675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5675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6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75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5675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5675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5675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5675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6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751"/>
    <w:rPr>
      <w:rFonts w:eastAsiaTheme="majorEastAsia" w:cstheme="majorBidi"/>
      <w:color w:val="272727" w:themeColor="text1" w:themeTint="D8"/>
    </w:rPr>
  </w:style>
  <w:style w:type="paragraph" w:styleId="Title">
    <w:name w:val="Title"/>
    <w:basedOn w:val="Normal"/>
    <w:next w:val="Normal"/>
    <w:link w:val="TitleChar"/>
    <w:uiPriority w:val="10"/>
    <w:qFormat/>
    <w:rsid w:val="00656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751"/>
    <w:pPr>
      <w:spacing w:before="160"/>
      <w:jc w:val="center"/>
    </w:pPr>
    <w:rPr>
      <w:i/>
      <w:iCs/>
      <w:color w:val="404040" w:themeColor="text1" w:themeTint="BF"/>
    </w:rPr>
  </w:style>
  <w:style w:type="character" w:customStyle="1" w:styleId="QuoteChar">
    <w:name w:val="Quote Char"/>
    <w:basedOn w:val="DefaultParagraphFont"/>
    <w:link w:val="Quote"/>
    <w:uiPriority w:val="29"/>
    <w:rsid w:val="00656751"/>
    <w:rPr>
      <w:i/>
      <w:iCs/>
      <w:color w:val="404040" w:themeColor="text1" w:themeTint="BF"/>
    </w:rPr>
  </w:style>
  <w:style w:type="paragraph" w:styleId="ListParagraph">
    <w:name w:val="List Paragraph"/>
    <w:basedOn w:val="Normal"/>
    <w:uiPriority w:val="34"/>
    <w:qFormat/>
    <w:rsid w:val="00656751"/>
    <w:pPr>
      <w:ind w:left="720"/>
      <w:contextualSpacing/>
    </w:pPr>
  </w:style>
  <w:style w:type="character" w:styleId="IntenseEmphasis">
    <w:name w:val="Intense Emphasis"/>
    <w:basedOn w:val="DefaultParagraphFont"/>
    <w:uiPriority w:val="21"/>
    <w:qFormat/>
    <w:rsid w:val="00656751"/>
    <w:rPr>
      <w:i/>
      <w:iCs/>
      <w:color w:val="2E74B5" w:themeColor="accent1" w:themeShade="BF"/>
    </w:rPr>
  </w:style>
  <w:style w:type="paragraph" w:styleId="IntenseQuote">
    <w:name w:val="Intense Quote"/>
    <w:basedOn w:val="Normal"/>
    <w:next w:val="Normal"/>
    <w:link w:val="IntenseQuoteChar"/>
    <w:uiPriority w:val="30"/>
    <w:qFormat/>
    <w:rsid w:val="006567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6751"/>
    <w:rPr>
      <w:i/>
      <w:iCs/>
      <w:color w:val="2E74B5" w:themeColor="accent1" w:themeShade="BF"/>
    </w:rPr>
  </w:style>
  <w:style w:type="character" w:styleId="IntenseReference">
    <w:name w:val="Intense Reference"/>
    <w:basedOn w:val="DefaultParagraphFont"/>
    <w:uiPriority w:val="32"/>
    <w:qFormat/>
    <w:rsid w:val="00656751"/>
    <w:rPr>
      <w:b/>
      <w:bCs/>
      <w:smallCaps/>
      <w:color w:val="2E74B5" w:themeColor="accent1" w:themeShade="BF"/>
      <w:spacing w:val="5"/>
    </w:rPr>
  </w:style>
  <w:style w:type="character" w:styleId="Hyperlink">
    <w:name w:val="Hyperlink"/>
    <w:basedOn w:val="DefaultParagraphFont"/>
    <w:uiPriority w:val="99"/>
    <w:unhideWhenUsed/>
    <w:rsid w:val="00D549C5"/>
    <w:rPr>
      <w:color w:val="0563C1" w:themeColor="hyperlink"/>
      <w:u w:val="single"/>
    </w:rPr>
  </w:style>
  <w:style w:type="character" w:styleId="UnresolvedMention">
    <w:name w:val="Unresolved Mention"/>
    <w:basedOn w:val="DefaultParagraphFont"/>
    <w:uiPriority w:val="99"/>
    <w:semiHidden/>
    <w:unhideWhenUsed/>
    <w:rsid w:val="00D54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7-022-01403-5" TargetMode="External"/><Relationship Id="rId3" Type="http://schemas.openxmlformats.org/officeDocument/2006/relationships/styles" Target="styles.xml"/><Relationship Id="rId7" Type="http://schemas.openxmlformats.org/officeDocument/2006/relationships/hyperlink" Target="https://doi.org/10.1038/s41597-020-0495-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38/s41597-020-0386-x"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F6CD40-8A7A-4F15-88FA-3BB312B7E7CA}">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A6EBB-8636-4D19-B076-CB988F533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966</Words>
  <Characters>5509</Characters>
  <Application>Microsoft Office Word</Application>
  <DocSecurity>0</DocSecurity>
  <Lines>45</Lines>
  <Paragraphs>12</Paragraphs>
  <ScaleCrop>false</ScaleCrop>
  <Company>HP</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Haseeba Afzal</dc:creator>
  <cp:keywords/>
  <dc:description/>
  <cp:lastModifiedBy>Haseeba Afzal</cp:lastModifiedBy>
  <cp:revision>6</cp:revision>
  <dcterms:created xsi:type="dcterms:W3CDTF">2026-09-21T02:36:00Z</dcterms:created>
  <dcterms:modified xsi:type="dcterms:W3CDTF">2026-09-21T02:59:00Z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a1d23f60-5bd5-4842-abff-b63f5ff2949a</vt:lpwstr>
  </property>
</Properties>
</file>