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HEALTHFIX</w:t>
        <w:br/>
      </w:r>
      <w:r>
        <w:rPr>
          <w:i/>
          <w:color w:val="64748B"/>
          <w:sz w:val="28"/>
        </w:rPr>
        <w:t>Custom Software Engineering and Implementation Blueprint</w:t>
        <w:br/>
      </w:r>
    </w:p>
    <w:p>
      <w:pPr>
        <w:jc w:val="center"/>
      </w:pPr>
      <w:r>
        <w:t>Document Version: 1.0</w:t>
        <w:br/>
      </w:r>
      <w:r>
        <w:t>Estimated Budget: $7,808.00 USD</w:t>
        <w:br/>
      </w:r>
      <w:r>
        <w:t>Development Timeline: 1 Month 15 Days</w:t>
        <w:br/>
      </w:r>
      <w:r>
        <w:t>Proposal Type: MVP</w:t>
        <w:br/>
      </w:r>
    </w:p>
    <w:p/>
    <w:p>
      <w:pPr>
        <w:spacing w:before="360" w:after="120"/>
      </w:pPr>
      <w:r>
        <w:rPr>
          <w:b/>
          <w:color w:val="1E3A8A"/>
          <w:sz w:val="30"/>
        </w:rPr>
        <w:t>1. Executive Summary</w:t>
      </w:r>
    </w:p>
    <w:p>
      <w:r>
        <w:t>HealthFix addresses the growing need for digital transformation in healthcare by providing a mobile-first platform that empowers patients to proactively manage their health and engage seamlessly with healthcare providers. In an environment where patient engagement, appointment scheduling, and health record management are often fragmented and inefficient, HealthFix offers a unified solution that streamlines these critical workflows. The platform is designed to enhance user experience, reduce administrative overhead, and improve the overall quality of care through digital enablement.</w:t>
      </w:r>
    </w:p>
    <w:p>
      <w:r>
        <w:t>The proposed software solution is essential for modern healthcare organizations seeking to increase patient satisfaction, operational efficiency, and data-driven decision-making. By centralizing health metrics tracking, appointment management, and provider communication, HealthFix enables users to take control of their health journey while ensuring healthcare providers have timely access to relevant patient information. The inclusion of Artificial Intelligence (AI) capabilities in future phases will further enhance the platform by enabling predictive analytics, personalized health recommendations, and automated appointment reminders, thereby driving proactive care and reducing missed appointments.</w:t>
      </w:r>
    </w:p>
    <w:p>
      <w:r>
        <w:t>From a business perspective, HealthFix is engineered for scalability, maintainability, and robust security. The architecture leverages cloud-native deployment on Amazon Web Services (AWS), containerization with Docker, and a modular backend built on Node.js (Express) and Java (Spring Boot), ensuring the solution can scale to accommodate growing user bases and evolving feature sets. Security best practices, including secure authentication and encrypted data storage, are integral to the platform, ensuring compliance with healthcare data protection standards.</w:t>
      </w:r>
    </w:p>
    <w:p>
      <w:r>
        <w:t>The implementation strategy follows modern software engineering practices, including agile development, automated testing, and continuous integration/continuous deployment (CI/CD). This approach ensures rapid delivery of a Minimum Viable Product (MVP) while laying the foundation for future enhancements such as advanced analytics, third-party integrations, and automation. HealthFix is positioned to deliver measurable improvements in patient engagement, operational efficiency, and clinical outcomes for healthcare organizations.</w:t>
      </w:r>
    </w:p>
    <w:p>
      <w:pPr>
        <w:spacing w:before="360" w:after="120"/>
      </w:pPr>
      <w:r>
        <w:rPr>
          <w:b/>
          <w:color w:val="1E3A8A"/>
          <w:sz w:val="30"/>
        </w:rPr>
        <w:t>2. Proposed Solution &amp; Scope</w:t>
      </w:r>
    </w:p>
    <w:p>
      <w:pPr>
        <w:pStyle w:val="ListBullet"/>
      </w:pPr>
      <w:r>
        <w:t>User registration, secure authentication, and profile management for patients and healthcare providers.</w:t>
      </w:r>
    </w:p>
    <w:p>
      <w:pPr>
        <w:pStyle w:val="ListBullet"/>
      </w:pPr>
      <w:r>
        <w:t>Health metrics tracking, including input and visualization of key health indicators (e.g., blood pressure, glucose levels, weight).</w:t>
      </w:r>
    </w:p>
    <w:p>
      <w:pPr>
        <w:pStyle w:val="ListBullet"/>
      </w:pPr>
      <w:r>
        <w:t>Appointment scheduling, rescheduling, and cancellation with real-time availability for healthcare providers.</w:t>
      </w:r>
    </w:p>
    <w:p>
      <w:pPr>
        <w:pStyle w:val="ListBullet"/>
      </w:pPr>
      <w:r>
        <w:t>In-app communication between patients and providers, supporting secure messaging and notifications.</w:t>
      </w:r>
    </w:p>
    <w:p>
      <w:pPr>
        <w:pStyle w:val="ListBullet"/>
      </w:pPr>
      <w:r>
        <w:t>Basic health record management, allowing users to view and update essential medical information.</w:t>
      </w:r>
    </w:p>
    <w:p>
      <w:pPr>
        <w:pStyle w:val="ListBullet"/>
      </w:pPr>
      <w:r>
        <w:t>Administrative dashboard for providers to manage appointments, patient records, and communication.</w:t>
      </w:r>
    </w:p>
    <w:p>
      <w:pPr>
        <w:pStyle w:val="ListBullet"/>
      </w:pPr>
      <w:r>
        <w:t>Reporting module for users and providers to review appointment history and health trends.</w:t>
      </w:r>
    </w:p>
    <w:p>
      <w:pPr>
        <w:pStyle w:val="ListBullet"/>
      </w:pPr>
      <w:r>
        <w:t>Resource allocation management to ensure optimal utilization of development and testing resources.</w:t>
      </w:r>
    </w:p>
    <w:p>
      <w:pPr>
        <w:pStyle w:val="ListBullet"/>
      </w:pPr>
      <w:r>
        <w:t>Proposal generation workflow for future enhancements, including advanced analytics and automation.</w:t>
      </w:r>
    </w:p>
    <w:p>
      <w:pPr>
        <w:pStyle w:val="ListBullet"/>
      </w:pPr>
      <w:r>
        <w:t>Integration-ready architecture for future connectivity with Electronic Health Record (EHR) systems and third-party health data sources.</w:t>
      </w:r>
    </w:p>
    <w:p>
      <w:pPr>
        <w:pStyle w:val="ListBullet"/>
      </w:pPr>
      <w:r>
        <w:t>Scalable infrastructure leveraging AWS and Docker for efficient deployment and future growth.</w:t>
      </w:r>
    </w:p>
    <w:p>
      <w:pPr>
        <w:spacing w:before="360" w:after="120"/>
      </w:pPr>
      <w:r>
        <w:rPr>
          <w:b/>
          <w:color w:val="1E3A8A"/>
          <w:sz w:val="30"/>
        </w:rPr>
        <w:t>3. Estimated Budget &amp; Cost Structure</w:t>
      </w:r>
    </w:p>
    <w:p>
      <w:r>
        <w:t>The total estimated cost for this custom software development solution is $7,808.00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MongoDB</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(Express), Java (Spring Boot)</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Native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 (basic deployment)</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Planned for future phases</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Secure authentication module (custom implementation using JWT and OAuth2 standards)</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 Cloud Storage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containers on AWS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3309951"/>
            <wp:docPr id="1" name="Picture 1"/>
            <wp:cNvGraphicFramePr>
              <a:graphicFrameLocks noChangeAspect="1"/>
            </wp:cNvGraphicFramePr>
            <a:graphic>
              <a:graphicData uri="http://schemas.openxmlformats.org/drawingml/2006/picture">
                <pic:pic>
                  <pic:nvPicPr>
                    <pic:cNvPr id="0" name="temp_mermaid_641f4e732f0f4357b0a3c7491637cbe9.jpg"/>
                    <pic:cNvPicPr/>
                  </pic:nvPicPr>
                  <pic:blipFill>
                    <a:blip r:embed="rId9"/>
                    <a:stretch>
                      <a:fillRect/>
                    </a:stretch>
                  </pic:blipFill>
                  <pic:spPr>
                    <a:xfrm>
                      <a:off x="0" y="0"/>
                      <a:ext cx="5486400" cy="3309951"/>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1 Month 15 Days.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Analysis &amp; Solution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Detailed requirements documentation, technical architecture, and UI/UX wireframes</w:t>
            </w:r>
          </w:p>
        </w:tc>
      </w:tr>
      <w:tr>
        <w:tc>
          <w:tcPr>
            <w:tcW w:type="dxa" w:w="3120"/>
            <w:tcMar>
              <w:top w:w="100" w:type="dxa"/>
              <w:bottom w:w="100" w:type="dxa"/>
              <w:left w:w="150" w:type="dxa"/>
              <w:right w:w="150" w:type="dxa"/>
            </w:tcMar>
          </w:tcPr>
          <w:p>
            <w:r>
              <w:t>Frontend and Backend Development</w:t>
            </w:r>
          </w:p>
        </w:tc>
        <w:tc>
          <w:tcPr>
            <w:tcW w:type="dxa" w:w="3120"/>
            <w:tcMar>
              <w:top w:w="100" w:type="dxa"/>
              <w:bottom w:w="100" w:type="dxa"/>
              <w:left w:w="150" w:type="dxa"/>
              <w:right w:w="150" w:type="dxa"/>
            </w:tcMar>
          </w:tcPr>
          <w:p>
            <w:r>
              <w:t>3 Weeks</w:t>
            </w:r>
          </w:p>
        </w:tc>
        <w:tc>
          <w:tcPr>
            <w:tcW w:type="dxa" w:w="3120"/>
            <w:tcMar>
              <w:top w:w="100" w:type="dxa"/>
              <w:bottom w:w="100" w:type="dxa"/>
              <w:left w:w="150" w:type="dxa"/>
              <w:right w:w="150" w:type="dxa"/>
            </w:tcMar>
          </w:tcPr>
          <w:p>
            <w:r>
              <w:t>Functional React Native mobile application, backend APIs with Node.js (Express) and Java (Spring Boot), integrated with MongoDB</w:t>
            </w:r>
          </w:p>
        </w:tc>
      </w:tr>
      <w:tr>
        <w:tc>
          <w:tcPr>
            <w:tcW w:type="dxa" w:w="3120"/>
            <w:tcMar>
              <w:top w:w="100" w:type="dxa"/>
              <w:bottom w:w="100" w:type="dxa"/>
              <w:left w:w="150" w:type="dxa"/>
              <w:right w:w="150" w:type="dxa"/>
            </w:tcMar>
          </w:tcPr>
          <w:p>
            <w:r>
              <w:t>Integration &amp; Internal Testing</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Integrated system with end-to-end workflows, initial test cases executed, bug fixes applied</w:t>
            </w:r>
          </w:p>
        </w:tc>
      </w:tr>
      <w:tr>
        <w:tc>
          <w:tcPr>
            <w:tcW w:type="dxa" w:w="3120"/>
            <w:tcMar>
              <w:top w:w="100" w:type="dxa"/>
              <w:bottom w:w="100" w:type="dxa"/>
              <w:left w:w="150" w:type="dxa"/>
              <w:right w:w="150" w:type="dxa"/>
            </w:tcMar>
          </w:tcPr>
          <w:p>
            <w:r>
              <w:t>Quality Assurance &amp; User Acceptance Testing</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Comprehensive QA testing, user acceptance testing completed, final refinements</w:t>
            </w:r>
          </w:p>
        </w:tc>
      </w:tr>
      <w:tr>
        <w:tc>
          <w:tcPr>
            <w:tcW w:type="dxa" w:w="3120"/>
            <w:tcMar>
              <w:top w:w="100" w:type="dxa"/>
              <w:bottom w:w="100" w:type="dxa"/>
              <w:left w:w="150" w:type="dxa"/>
              <w:right w:w="150" w:type="dxa"/>
            </w:tcMar>
          </w:tcPr>
          <w:p>
            <w:r>
              <w:t>Deployment &amp; Handover</w:t>
            </w:r>
          </w:p>
        </w:tc>
        <w:tc>
          <w:tcPr>
            <w:tcW w:type="dxa" w:w="3120"/>
            <w:tcMar>
              <w:top w:w="100" w:type="dxa"/>
              <w:bottom w:w="100" w:type="dxa"/>
              <w:left w:w="150" w:type="dxa"/>
              <w:right w:w="150" w:type="dxa"/>
            </w:tcMar>
          </w:tcPr>
          <w:p>
            <w:r>
              <w:t>1 Week 5 Days</w:t>
            </w:r>
          </w:p>
        </w:tc>
        <w:tc>
          <w:tcPr>
            <w:tcW w:type="dxa" w:w="3120"/>
            <w:tcMar>
              <w:top w:w="100" w:type="dxa"/>
              <w:bottom w:w="100" w:type="dxa"/>
              <w:left w:w="150" w:type="dxa"/>
              <w:right w:w="150" w:type="dxa"/>
            </w:tcMar>
          </w:tcPr>
          <w:p>
            <w:r>
              <w:t>Production deployment on AWS, Dockerized containers, documentation, and knowledge transfer</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access to subject matter experts and key stakeholders for requirements validation and user acceptance testing.</w:t>
      </w:r>
    </w:p>
    <w:p>
      <w:pPr>
        <w:pStyle w:val="ListBullet"/>
      </w:pPr>
      <w:r>
        <w:t>All necessary infrastructure, including AWS accounts and cloud resources, will be provisioned and accessible to the development team prior to project commencement.</w:t>
      </w:r>
    </w:p>
    <w:p>
      <w:pPr>
        <w:pStyle w:val="ListBullet"/>
      </w:pPr>
      <w:r>
        <w:t>Third-party integrations, such as Electronic Health Record (EHR) systems or external health data sources, are not required for the MVP phase but will be considered for future releases.</w:t>
      </w:r>
    </w:p>
    <w:p>
      <w:pPr>
        <w:pStyle w:val="ListBullet"/>
      </w:pPr>
      <w:r>
        <w:t>Artificial Intelligence (AI) and advanced analytics features are planned for future phases and are not included in the current MVP scope.</w:t>
      </w:r>
    </w:p>
    <w:p>
      <w:pPr>
        <w:pStyle w:val="ListBullet"/>
      </w:pPr>
      <w:r>
        <w:t>The client will be responsible for providing branding assets, legal disclaimers, and compliance requirements relevant to healthcare data management.</w:t>
      </w:r>
    </w:p>
    <w:p>
      <w:pPr>
        <w:pStyle w:val="ListBullet"/>
      </w:pPr>
      <w:r>
        <w:t>A dedicated testing environment will be made available for quality assurance and user acceptance testing activities.</w:t>
      </w:r>
    </w:p>
    <w:p>
      <w:pPr>
        <w:pStyle w:val="ListBullet"/>
      </w:pPr>
      <w:r>
        <w:t>Security and privacy approvals, including compliance with relevant healthcare regulations (e.g., HIPAA), will be coordinated by the client in collaboration with the development team.</w:t>
      </w:r>
    </w:p>
    <w:p>
      <w:pPr>
        <w:pStyle w:val="ListBullet"/>
      </w:pPr>
      <w:r>
        <w:t>Deployment approvals and access to production environments will be granted in a timely manner to avoid delays.</w:t>
      </w:r>
    </w:p>
    <w:p>
      <w:pPr>
        <w:pStyle w:val="ListBullet"/>
      </w:pPr>
      <w:r>
        <w:t>All user data for testing purposes will be anonymized to ensure privacy and compliance.</w:t>
      </w:r>
    </w:p>
    <w:p>
      <w:pPr>
        <w:pStyle w:val="ListBullet"/>
      </w:pPr>
      <w:r>
        <w:t>Any changes to project scope or requirements after the initial sign-off may impact the timeline and budget.</w:t>
      </w:r>
    </w:p>
    <w:p>
      <w:pPr>
        <w:spacing w:before="240" w:after="80"/>
      </w:pPr>
      <w:r>
        <w:rPr>
          <w:b/>
          <w:color w:val="1E3A8A"/>
          <w:sz w:val="24"/>
        </w:rPr>
        <w:t>Risks &amp; Mitigation</w:t>
      </w:r>
    </w:p>
    <w:p>
      <w:pPr>
        <w:pStyle w:val="ListBullet"/>
      </w:pPr>
      <w:r>
        <w:t>Risk: Delays in stakeholder feedback or requirements clarification.</w:t>
      </w:r>
    </w:p>
    <w:p>
      <w:r>
        <w:t>Mitigation: Establish a regular cadence of review meetings and clear escalation paths for unresolved issues.</w:t>
      </w:r>
    </w:p>
    <w:p>
      <w:pPr>
        <w:pStyle w:val="ListBullet"/>
      </w:pPr>
      <w:r>
        <w:t>Risk: Integration challenges with AWS cloud services or infrastructure provisioning.</w:t>
      </w:r>
    </w:p>
    <w:p>
      <w:r>
        <w:t>Mitigation: Allocate dedicated time for environment setup and leverage AWS best practices for deployment.</w:t>
      </w:r>
    </w:p>
    <w:p>
      <w:pPr>
        <w:pStyle w:val="ListBullet"/>
      </w:pPr>
      <w:r>
        <w:t>Risk: Potential changes in healthcare compliance or regulatory requirements during development.</w:t>
      </w:r>
    </w:p>
    <w:p>
      <w:r>
        <w:t>Mitigation: Engage compliance experts early and conduct periodic reviews to ensure ongoing alignment.</w:t>
      </w:r>
    </w:p>
    <w:p>
      <w:pPr>
        <w:pStyle w:val="ListBullet"/>
      </w:pPr>
      <w:r>
        <w:t>Risk: Limited availability of key resources due to unforeseen circumstances.</w:t>
      </w:r>
    </w:p>
    <w:p>
      <w:r>
        <w:t>Mitigation: Maintain a resource backup plan and cross-train team members on critical tasks.</w:t>
      </w:r>
    </w:p>
    <w:p>
      <w:pPr>
        <w:pStyle w:val="ListBullet"/>
      </w:pPr>
      <w:r>
        <w:t>Risk: Security vulnerabilities in authentication or data storage modules.</w:t>
      </w:r>
    </w:p>
    <w:p>
      <w:r>
        <w:t>Mitigation: Implement secure coding practices, conduct regular security audits, and utilize encryption for sensitive data.</w:t>
      </w:r>
    </w:p>
    <w:p>
      <w:pPr>
        <w:pStyle w:val="ListBullet"/>
      </w:pPr>
      <w:r>
        <w:t>Risk: Performance bottlenecks under high user load.</w:t>
      </w:r>
    </w:p>
    <w:p>
      <w:r>
        <w:t>Mitigation: Design for scalability from the outset and conduct load testing prior to deployment.</w:t>
      </w:r>
    </w:p>
    <w:p>
      <w:pPr>
        <w:pStyle w:val="ListBullet"/>
      </w:pPr>
      <w:r>
        <w:t>Risk: Incomplete or ambiguous user requirements leading to rework.</w:t>
      </w:r>
    </w:p>
    <w:p>
      <w:r>
        <w:t>Mitigation: Use detailed requirements documentation and obtain formal sign-off before development.</w:t>
      </w:r>
    </w:p>
    <w:p>
      <w:pPr>
        <w:pStyle w:val="ListBullet"/>
      </w:pPr>
      <w:r>
        <w:t>Risk: Insufficient user adoption or engagement post-launch.</w:t>
      </w:r>
    </w:p>
    <w:p>
      <w:r>
        <w:t>Mitigation: Incorporate user feedback loops and plan for iterative enhancements based on real-world usage.</w:t>
      </w:r>
    </w:p>
    <w:p>
      <w:pPr>
        <w:pStyle w:val="ListBullet"/>
      </w:pPr>
      <w:r>
        <w:t>Risk: Delays in deployment approvals or access to production environments.</w:t>
      </w:r>
    </w:p>
    <w:p>
      <w:r>
        <w:t>Mitigation: Coordinate deployment schedules in advance and maintain clear communication with client IT teams.</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Rohit Mukherjee</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192 Hours</w:t>
            </w:r>
          </w:p>
        </w:tc>
      </w:tr>
      <w:tr>
        <w:tc>
          <w:tcPr>
            <w:tcW w:type="dxa" w:w="3120"/>
            <w:tcMar>
              <w:top w:w="100" w:type="dxa"/>
              <w:bottom w:w="100" w:type="dxa"/>
              <w:left w:w="150" w:type="dxa"/>
              <w:right w:w="150" w:type="dxa"/>
            </w:tcMar>
          </w:tcPr>
          <w:p>
            <w:r>
              <w:t>Sandipan Banerjee</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64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Serya Reddy</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64 Hours</w:t>
            </w:r>
          </w:p>
        </w:tc>
      </w:tr>
      <w:tr>
        <w:tc>
          <w:tcPr>
            <w:tcW w:type="dxa" w:w="3120"/>
            <w:tcMar>
              <w:top w:w="100" w:type="dxa"/>
              <w:bottom w:w="100" w:type="dxa"/>
              <w:left w:w="150" w:type="dxa"/>
              <w:right w:w="150" w:type="dxa"/>
            </w:tcMar>
          </w:tcPr>
          <w:p>
            <w:r>
              <w:t>Abhijit Bhowmick</w:t>
            </w:r>
          </w:p>
        </w:tc>
        <w:tc>
          <w:tcPr>
            <w:tcW w:type="dxa" w:w="3120"/>
            <w:tcMar>
              <w:top w:w="100" w:type="dxa"/>
              <w:bottom w:w="100" w:type="dxa"/>
              <w:left w:w="150" w:type="dxa"/>
              <w:right w:w="150" w:type="dxa"/>
            </w:tcMar>
          </w:tcPr>
          <w:p>
            <w:r>
              <w:t>Automation Tester</w:t>
            </w:r>
          </w:p>
        </w:tc>
        <w:tc>
          <w:tcPr>
            <w:tcW w:type="dxa" w:w="3120"/>
            <w:tcMar>
              <w:top w:w="100" w:type="dxa"/>
              <w:bottom w:w="100" w:type="dxa"/>
              <w:left w:w="150" w:type="dxa"/>
              <w:right w:w="150" w:type="dxa"/>
            </w:tcMar>
          </w:tcPr>
          <w:p>
            <w:r>
              <w:t>128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