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6"/>
        </w:rPr>
        <w:t>Angerona — Comprehensive Security Assessment</w:t>
      </w:r>
    </w:p>
    <w:p>
      <w:r>
        <w:rPr>
          <w:b w:val="0"/>
          <w:i w:val="0"/>
        </w:rPr>
        <w:t>AngeronaSuite (canonical GUI app) · src/angerona/ · package `angerona`</w:t>
      </w:r>
    </w:p>
    <w:p>
      <w:r>
        <w:t>Assessment version 1.10.1 · 2026-08-24 · Host Adaption improvement-loop assessment, remediation, and final validation.</w:t>
      </w:r>
    </w:p>
    <w:p>
      <w:r>
        <w:t>Classification: Public-release technical assessment. Local static/dynamic review; no external penetration test performed.</w:t>
      </w:r>
    </w:p>
    <w:p/>
    <w:p>
      <w:r>
        <w:rPr>
          <w:b/>
          <w:color w:val="1F3A5F"/>
          <w:sz w:val="25"/>
        </w:rPr>
        <w:t>1. Executive Summary</w:t>
      </w:r>
    </w:p>
    <w:p>
      <w:r>
        <w:rPr>
          <w:b w:val="0"/>
          <w:i w:val="0"/>
        </w:rPr>
        <w:t>A whole-codebase static security review of AngeronaSuite was performed, covering dynamic code execution, deserialization, command/OS injection, the local network services, secrets handling, cryptography, and the AI/automation paths that can change system state. Angerona's core hygiene is strong: no hardcoded secrets, secrets confined to a git-ignored .env, loopback-only network binds, an HMAC-signed event bus, a SHA-256 'Judgment Gate' for staged remediations, an AI guardrail that redacts secrets, and a SOAR active-defense path protected by a system-process allowlist and 2-signal corroboration.</w:t>
      </w:r>
    </w:p>
    <w:p>
      <w:r>
        <w:rPr>
          <w:b w:val="0"/>
          <w:i w:val="0"/>
        </w:rPr>
        <w:t>The residual risk is concentrated in the AUTONOMY and AUTOMATION surfaces — the places where the product deliberately executes generated or dropped-in code. One HIGH finding (autonomous execution of AI-generated Python with only a syntax check) and four MEDIUM findings should be addressed before the repository is made public and, more importantly, before these paths are enabled on a production host.</w:t>
      </w:r>
    </w:p>
    <w:p>
      <w:r>
        <w:rPr>
          <w:b w:val="0"/>
          <w:i w:val="0"/>
        </w:rPr>
        <w:t>Net: safe to open-source from a secrets/quality standpoint; the self-modification and local-service surfaces need hardening and should ship OFF by default.</w:t>
      </w:r>
    </w:p>
    <w:p>
      <w:r>
        <w:rPr>
          <w:b/>
          <w:color w:val="1F3A5F"/>
          <w:sz w:val="25"/>
        </w:rPr>
        <w:t>2. Scope &amp; Methodology</w:t>
      </w:r>
    </w:p>
    <w:p>
      <w:pPr>
        <w:pStyle w:val="ListBullet"/>
      </w:pPr>
      <w:r>
        <w:t>Scope: all Python under src/angerona/ (core, engines, modules, gui, resilience, shark, academy), plus helper scripts. Excludes third-party dependencies and the kernel driver seam (not built here).</w:t>
      </w:r>
    </w:p>
    <w:p>
      <w:pPr>
        <w:pStyle w:val="ListBullet"/>
      </w:pPr>
      <w:r>
        <w:t>Method: static analysis — targeted pattern search (exec/eval, pickle/marshal/yaml.load, shell=True, os.system, subprocess/PowerShell, dynamic import, network binds, CORS, TLS, crypto, secrets) followed by manual reading of every flagged site to confirm exploitability and data flow.</w:t>
      </w:r>
    </w:p>
    <w:p>
      <w:pPr>
        <w:pStyle w:val="ListBullet"/>
      </w:pPr>
      <w:r>
        <w:t>Not performed: dynamic/runtime testing, fuzzing, dependency CVE audit (pip-audit), or authenticated pen-testing. Severities are analyst judgment based on impact × exploitability in the intended single-host, elevated-user deployment.</w:t>
      </w:r>
    </w:p>
    <w:p>
      <w:r>
        <w:rPr>
          <w:b/>
          <w:color w:val="1F3A5F"/>
          <w:sz w:val="25"/>
        </w:rPr>
        <w:t>3. Findings Summary</w:t>
      </w:r>
    </w:p>
    <w:tbl>
      <w:tblPr>
        <w:tblStyle w:val="LightGrid-Accent1"/>
        <w:tblW w:type="auto" w:w="0"/>
        <w:tblLook w:firstColumn="1" w:firstRow="1" w:lastColumn="0" w:lastRow="0" w:noHBand="0" w:noVBand="1" w:val="04A0"/>
      </w:tblPr>
      <w:tblGrid>
        <w:gridCol w:w="1728"/>
        <w:gridCol w:w="1728"/>
        <w:gridCol w:w="1728"/>
        <w:gridCol w:w="1728"/>
        <w:gridCol w:w="1728"/>
      </w:tblGrid>
      <w:tr>
        <w:trPr>
          <w:tblHeader w:val="1"/>
          <w:cantSplit/>
        </w:trPr>
        <w:tc>
          <w:tcPr>
            <w:tcW w:type="dxa" w:w="1728"/>
          </w:tcPr>
          <w:p>
            <w:r/>
            <w:r>
              <w:rPr>
                <w:b/>
                <w:sz w:val="19"/>
              </w:rPr>
              <w:t>ID</w:t>
            </w:r>
          </w:p>
        </w:tc>
        <w:tc>
          <w:tcPr>
            <w:tcW w:type="dxa" w:w="1728"/>
          </w:tcPr>
          <w:p>
            <w:r/>
            <w:r>
              <w:rPr>
                <w:b/>
                <w:sz w:val="19"/>
              </w:rPr>
              <w:t>Title</w:t>
            </w:r>
          </w:p>
        </w:tc>
        <w:tc>
          <w:tcPr>
            <w:tcW w:type="dxa" w:w="1728"/>
          </w:tcPr>
          <w:p>
            <w:r/>
            <w:r>
              <w:rPr>
                <w:b/>
                <w:sz w:val="19"/>
              </w:rPr>
              <w:t>Component</w:t>
            </w:r>
          </w:p>
        </w:tc>
        <w:tc>
          <w:tcPr>
            <w:tcW w:type="dxa" w:w="1728"/>
          </w:tcPr>
          <w:p>
            <w:r/>
            <w:r>
              <w:rPr>
                <w:b/>
                <w:sz w:val="19"/>
              </w:rPr>
              <w:t>Severity</w:t>
            </w:r>
          </w:p>
        </w:tc>
        <w:tc>
          <w:tcPr>
            <w:tcW w:type="dxa" w:w="1728"/>
          </w:tcPr>
          <w:p>
            <w:r/>
            <w:r>
              <w:rPr>
                <w:b/>
                <w:sz w:val="19"/>
              </w:rPr>
              <w:t>Status</w:t>
            </w:r>
          </w:p>
        </w:tc>
      </w:tr>
      <w:tr>
        <w:trPr>
          <w:cantSplit/>
        </w:trPr>
        <w:tc>
          <w:tcPr>
            <w:tcW w:type="dxa" w:w="1728"/>
          </w:tcPr>
          <w:p>
            <w:r/>
            <w:r>
              <w:rPr>
                <w:sz w:val="19"/>
              </w:rPr>
              <w:t>A-01</w:t>
            </w:r>
          </w:p>
        </w:tc>
        <w:tc>
          <w:tcPr>
            <w:tcW w:type="dxa" w:w="1728"/>
          </w:tcPr>
          <w:p>
            <w:r/>
            <w:r>
              <w:rPr>
                <w:sz w:val="19"/>
              </w:rPr>
              <w:t>Autonomous execution of AI-generated Python (syntax-check only)</w:t>
            </w:r>
          </w:p>
        </w:tc>
        <w:tc>
          <w:tcPr>
            <w:tcW w:type="dxa" w:w="1728"/>
          </w:tcPr>
          <w:p>
            <w:r/>
            <w:r>
              <w:rPr>
                <w:sz w:val="19"/>
              </w:rPr>
              <w:t>engines/self_compiler.py, modules/evolution_engine.py</w:t>
            </w:r>
          </w:p>
        </w:tc>
        <w:tc>
          <w:tcPr>
            <w:tcW w:type="dxa" w:w="1728"/>
          </w:tcPr>
          <w:p>
            <w:r/>
            <w:r>
              <w:rPr>
                <w:b/>
                <w:color w:val="C0392B"/>
                <w:sz w:val="19"/>
              </w:rPr>
              <w:t>HIGH</w:t>
            </w:r>
          </w:p>
        </w:tc>
        <w:tc>
          <w:tcPr>
            <w:tcW w:type="dxa" w:w="1728"/>
          </w:tcPr>
          <w:p>
            <w:r>
              <w:t>MITIGATED</w:t>
            </w:r>
            <w:r>
              <w:rPr>
                <w:b/>
                <w:color w:val="1E7A33"/>
                <w:sz w:val="19"/>
              </w:rPr>
            </w:r>
          </w:p>
        </w:tc>
      </w:tr>
      <w:tr>
        <w:trPr>
          <w:cantSplit/>
        </w:trPr>
        <w:tc>
          <w:tcPr>
            <w:tcW w:type="dxa" w:w="1728"/>
          </w:tcPr>
          <w:p>
            <w:r/>
            <w:r>
              <w:rPr>
                <w:sz w:val="19"/>
              </w:rPr>
              <w:t>A-02</w:t>
            </w:r>
          </w:p>
        </w:tc>
        <w:tc>
          <w:tcPr>
            <w:tcW w:type="dxa" w:w="1728"/>
          </w:tcPr>
          <w:p>
            <w:r/>
            <w:r>
              <w:rPr>
                <w:sz w:val="19"/>
              </w:rPr>
              <w:t>MCP server: wildcard CORS + no authentication</w:t>
            </w:r>
          </w:p>
        </w:tc>
        <w:tc>
          <w:tcPr>
            <w:tcW w:type="dxa" w:w="1728"/>
          </w:tcPr>
          <w:p>
            <w:r/>
            <w:r>
              <w:rPr>
                <w:sz w:val="19"/>
              </w:rPr>
              <w:t>engines/mcp_server.py</w:t>
            </w:r>
          </w:p>
        </w:tc>
        <w:tc>
          <w:tcPr>
            <w:tcW w:type="dxa" w:w="1728"/>
          </w:tcPr>
          <w:p>
            <w:r/>
            <w:r>
              <w:rPr>
                <w:b/>
                <w:color w:val="D35C1E"/>
                <w:sz w:val="19"/>
              </w:rPr>
              <w:t>MEDIUM</w:t>
            </w:r>
          </w:p>
        </w:tc>
        <w:tc>
          <w:tcPr>
            <w:tcW w:type="dxa" w:w="1728"/>
          </w:tcPr>
          <w:p>
            <w:r>
              <w:t>MITIGATED</w:t>
            </w:r>
            <w:r>
              <w:rPr>
                <w:b/>
                <w:color w:val="1E7A33"/>
                <w:sz w:val="19"/>
              </w:rPr>
            </w:r>
          </w:p>
        </w:tc>
      </w:tr>
      <w:tr>
        <w:trPr>
          <w:cantSplit/>
        </w:trPr>
        <w:tc>
          <w:tcPr>
            <w:tcW w:type="dxa" w:w="1728"/>
          </w:tcPr>
          <w:p>
            <w:r/>
            <w:r>
              <w:rPr>
                <w:sz w:val="19"/>
              </w:rPr>
              <w:t>A-03</w:t>
            </w:r>
          </w:p>
        </w:tc>
        <w:tc>
          <w:tcPr>
            <w:tcW w:type="dxa" w:w="1728"/>
          </w:tcPr>
          <w:p>
            <w:r/>
            <w:r>
              <w:rPr>
                <w:sz w:val="19"/>
              </w:rPr>
              <w:t>CVE fix advisor executes AI-generated PowerShell (elevated)</w:t>
            </w:r>
          </w:p>
        </w:tc>
        <w:tc>
          <w:tcPr>
            <w:tcW w:type="dxa" w:w="1728"/>
          </w:tcPr>
          <w:p>
            <w:r/>
            <w:r>
              <w:rPr>
                <w:sz w:val="19"/>
              </w:rPr>
              <w:t>core/cve_fix_advisor.py</w:t>
            </w:r>
          </w:p>
        </w:tc>
        <w:tc>
          <w:tcPr>
            <w:tcW w:type="dxa" w:w="1728"/>
          </w:tcPr>
          <w:p>
            <w:r/>
            <w:r>
              <w:rPr>
                <w:b/>
                <w:color w:val="D35C1E"/>
                <w:sz w:val="19"/>
              </w:rPr>
              <w:t>MEDIUM</w:t>
            </w:r>
          </w:p>
        </w:tc>
        <w:tc>
          <w:tcPr>
            <w:tcW w:type="dxa" w:w="1728"/>
          </w:tcPr>
          <w:p>
            <w:r>
              <w:t>MITIGATED - strict generated-containment gate</w:t>
            </w:r>
            <w:r>
              <w:rPr>
                <w:b/>
                <w:color w:val="1E7A33"/>
                <w:sz w:val="19"/>
              </w:rPr>
            </w:r>
          </w:p>
        </w:tc>
      </w:tr>
      <w:tr>
        <w:trPr>
          <w:cantSplit/>
        </w:trPr>
        <w:tc>
          <w:tcPr>
            <w:tcW w:type="dxa" w:w="1728"/>
          </w:tcPr>
          <w:p>
            <w:r/>
            <w:r>
              <w:rPr>
                <w:sz w:val="19"/>
              </w:rPr>
              <w:t>A-04</w:t>
            </w:r>
          </w:p>
        </w:tc>
        <w:tc>
          <w:tcPr>
            <w:tcW w:type="dxa" w:w="1728"/>
          </w:tcPr>
          <w:p>
            <w:r/>
            <w:r>
              <w:rPr>
                <w:sz w:val="19"/>
              </w:rPr>
              <w:t>Drop-in module loader auto-executes any .py at startup</w:t>
            </w:r>
          </w:p>
        </w:tc>
        <w:tc>
          <w:tcPr>
            <w:tcW w:type="dxa" w:w="1728"/>
          </w:tcPr>
          <w:p>
            <w:r/>
            <w:r>
              <w:rPr>
                <w:sz w:val="19"/>
              </w:rPr>
              <w:t>core/module_manager.py</w:t>
            </w:r>
          </w:p>
        </w:tc>
        <w:tc>
          <w:tcPr>
            <w:tcW w:type="dxa" w:w="1728"/>
          </w:tcPr>
          <w:p>
            <w:r/>
            <w:r>
              <w:rPr>
                <w:b/>
                <w:color w:val="D35C1E"/>
                <w:sz w:val="19"/>
              </w:rPr>
              <w:t>MEDIUM</w:t>
            </w:r>
          </w:p>
        </w:tc>
        <w:tc>
          <w:tcPr>
            <w:tcW w:type="dxa" w:w="1728"/>
          </w:tcPr>
          <w:p>
            <w:r>
              <w:t>DEFERRED - trust-root boundary incomplete</w:t>
            </w:r>
            <w:r>
              <w:rPr>
                <w:sz w:val="19"/>
              </w:rPr>
            </w:r>
          </w:p>
        </w:tc>
      </w:tr>
      <w:tr>
        <w:trPr>
          <w:cantSplit/>
        </w:trPr>
        <w:tc>
          <w:tcPr>
            <w:tcW w:type="dxa" w:w="1728"/>
          </w:tcPr>
          <w:p>
            <w:r/>
            <w:r>
              <w:rPr>
                <w:sz w:val="19"/>
              </w:rPr>
              <w:t>A-05</w:t>
            </w:r>
          </w:p>
        </w:tc>
        <w:tc>
          <w:tcPr>
            <w:tcW w:type="dxa" w:w="1728"/>
          </w:tcPr>
          <w:p>
            <w:r/>
            <w:r>
              <w:rPr>
                <w:sz w:val="19"/>
              </w:rPr>
              <w:t>shell=True with interpolated PID in forensics</w:t>
            </w:r>
          </w:p>
        </w:tc>
        <w:tc>
          <w:tcPr>
            <w:tcW w:type="dxa" w:w="1728"/>
          </w:tcPr>
          <w:p>
            <w:r/>
            <w:r>
              <w:rPr>
                <w:sz w:val="19"/>
              </w:rPr>
              <w:t>modules/forensics.py</w:t>
            </w:r>
          </w:p>
        </w:tc>
        <w:tc>
          <w:tcPr>
            <w:tcW w:type="dxa" w:w="1728"/>
          </w:tcPr>
          <w:p>
            <w:r/>
            <w:r>
              <w:rPr>
                <w:b/>
                <w:color w:val="B78A00"/>
                <w:sz w:val="19"/>
              </w:rPr>
              <w:t>LOW</w:t>
            </w:r>
          </w:p>
        </w:tc>
        <w:tc>
          <w:tcPr>
            <w:tcW w:type="dxa" w:w="1728"/>
          </w:tcPr>
          <w:p>
            <w:r>
              <w:t>MITIGATED</w:t>
            </w:r>
            <w:r>
              <w:rPr>
                <w:b/>
                <w:color w:val="1E7A33"/>
                <w:sz w:val="19"/>
              </w:rPr>
            </w:r>
          </w:p>
        </w:tc>
      </w:tr>
      <w:tr>
        <w:trPr>
          <w:cantSplit/>
        </w:trPr>
        <w:tc>
          <w:tcPr>
            <w:tcW w:type="dxa" w:w="1728"/>
          </w:tcPr>
          <w:p>
            <w:r/>
            <w:r>
              <w:rPr>
                <w:sz w:val="19"/>
              </w:rPr>
              <w:t>A-06</w:t>
            </w:r>
          </w:p>
        </w:tc>
        <w:tc>
          <w:tcPr>
            <w:tcW w:type="dxa" w:w="1728"/>
          </w:tcPr>
          <w:p>
            <w:r/>
            <w:r>
              <w:rPr>
                <w:sz w:val="19"/>
              </w:rPr>
              <w:t>Broad 'PowerShell -ExecutionPolicy Bypass' usage</w:t>
            </w:r>
          </w:p>
        </w:tc>
        <w:tc>
          <w:tcPr>
            <w:tcW w:type="dxa" w:w="1728"/>
          </w:tcPr>
          <w:p>
            <w:r/>
            <w:r>
              <w:rPr>
                <w:sz w:val="19"/>
              </w:rPr>
              <w:t>engines/*, modules/*</w:t>
            </w:r>
          </w:p>
        </w:tc>
        <w:tc>
          <w:tcPr>
            <w:tcW w:type="dxa" w:w="1728"/>
          </w:tcPr>
          <w:p>
            <w:r/>
            <w:r>
              <w:rPr>
                <w:b/>
                <w:color w:val="B78A00"/>
                <w:sz w:val="19"/>
              </w:rPr>
              <w:t>LOW</w:t>
            </w:r>
          </w:p>
        </w:tc>
        <w:tc>
          <w:tcPr>
            <w:tcW w:type="dxa" w:w="1728"/>
          </w:tcPr>
          <w:p>
            <w:r>
              <w:t>OPEN</w:t>
            </w:r>
            <w:r>
              <w:rPr>
                <w:sz w:val="19"/>
              </w:rPr>
            </w:r>
          </w:p>
        </w:tc>
      </w:tr>
      <w:tr>
        <w:trPr>
          <w:cantSplit/>
        </w:trPr>
        <w:tc>
          <w:tcPr>
            <w:tcW w:type="dxa" w:w="1728"/>
          </w:tcPr>
          <w:p>
            <w:r/>
            <w:r>
              <w:rPr>
                <w:sz w:val="19"/>
              </w:rPr>
              <w:t>A-07</w:t>
            </w:r>
          </w:p>
        </w:tc>
        <w:tc>
          <w:tcPr>
            <w:tcW w:type="dxa" w:w="1728"/>
          </w:tcPr>
          <w:p>
            <w:r/>
            <w:r>
              <w:rPr>
                <w:sz w:val="19"/>
              </w:rPr>
              <w:t>SHA-1 used for a path identifier (non-security)</w:t>
            </w:r>
          </w:p>
        </w:tc>
        <w:tc>
          <w:tcPr>
            <w:tcW w:type="dxa" w:w="1728"/>
          </w:tcPr>
          <w:p>
            <w:r/>
            <w:r>
              <w:rPr>
                <w:sz w:val="19"/>
              </w:rPr>
              <w:t>modules/shadow_shield.py</w:t>
            </w:r>
          </w:p>
        </w:tc>
        <w:tc>
          <w:tcPr>
            <w:tcW w:type="dxa" w:w="1728"/>
          </w:tcPr>
          <w:p>
            <w:r/>
            <w:r>
              <w:rPr>
                <w:b/>
                <w:color w:val="556B2F"/>
                <w:sz w:val="19"/>
              </w:rPr>
              <w:t>INFO</w:t>
            </w:r>
          </w:p>
        </w:tc>
        <w:tc>
          <w:tcPr>
            <w:tcW w:type="dxa" w:w="1728"/>
          </w:tcPr>
          <w:p>
            <w:r>
              <w:t>CLOSED</w:t>
            </w:r>
            <w:r>
              <w:rPr>
                <w:sz w:val="19"/>
              </w:rPr>
            </w:r>
          </w:p>
        </w:tc>
      </w:tr>
    </w:tbl>
    <w:p>
      <w:r>
        <w:rPr>
          <w:b/>
          <w:color w:val="1F3A5F"/>
          <w:sz w:val="25"/>
        </w:rPr>
        <w:t>4. Detailed Findings &amp; Remediation</w:t>
      </w:r>
    </w:p>
    <w:p>
      <w:r>
        <w:rPr>
          <w:b/>
          <w:sz w:val="23"/>
        </w:rPr>
        <w:t>A-01  —  Autonomous execution of AI-generated Python (syntax-check only)  [</w:t>
      </w:r>
      <w:r>
        <w:rPr>
          <w:b/>
          <w:color w:val="C0392B"/>
          <w:sz w:val="23"/>
        </w:rPr>
        <w:t>HIGH</w:t>
      </w:r>
      <w:r>
        <w:rPr>
          <w:b/>
          <w:sz w:val="23"/>
        </w:rPr>
        <w:t>]</w:t>
      </w:r>
    </w:p>
    <w:p>
      <w:r>
        <w:rPr>
          <w:b/>
        </w:rPr>
        <w:t xml:space="preserve">Component: </w:t>
      </w:r>
      <w:r>
        <w:t>engines/self_compiler.py (hot_reload_capability, orchestrate_self_evolution); modules/evolution_engine.py (EVOL, enabled_by_default=True)</w:t>
      </w:r>
    </w:p>
    <w:p>
      <w:r>
        <w:t>Description: self_compiler.py asks a cloud model (Gemini) to generate Python source, strips the code fences, runs ONLY a `python -m py_compile` syntax audit, then hot_reload_capability() calls spec.loader.exec_module() — executing the generated code in-process. There is no human review of the generated source, no security/behavioral scan, and no privilege isolation; the code runs with the suite's (elevated/Administrator) rights. The evolution module that can drive this loop is auto-enabled.</w:t>
      </w:r>
    </w:p>
    <w:p>
      <w:r>
        <w:rPr>
          <w:b/>
        </w:rPr>
        <w:t xml:space="preserve">Evidence: </w:t>
      </w:r>
      <w:r>
        <w:t>engines/self_compiler.py:80-95 (exec_module of generated file); :66-78 syntax-only audit; modules/evolution_engine.py:39,82 enabled_by_default=True</w:t>
      </w:r>
    </w:p>
    <w:p>
      <w:r>
        <w:rPr>
          <w:b/>
        </w:rPr>
        <w:t xml:space="preserve">Impact: </w:t>
      </w:r>
      <w:r>
        <w:t>Arbitrary code execution at the suite's privilege level. A poisoned/prompt-injected model response, a compromised GEMINI_API_KEY endpoint, or a manipulated feature-request string yields full code execution — the highest-impact outcome in the codebase. py_compile validates syntax, NOT safety.</w:t>
      </w:r>
    </w:p>
    <w:p>
      <w:r>
        <w:t>Remediation steps:</w:t>
      </w:r>
    </w:p>
    <w:p>
      <w:pPr>
        <w:pStyle w:val="ListBullet"/>
      </w:pPr>
      <w:r>
        <w:t>Ship the self-evolution / self-compilation path DISABLED by default (config flag, off) and gate it behind an explicit opt-in the operator must enable knowingly.</w:t>
      </w:r>
    </w:p>
    <w:p>
      <w:pPr>
        <w:pStyle w:val="ListBullet"/>
      </w:pPr>
      <w:r>
        <w:t>Require human review of the generated SOURCE before any execution: show the full diff, and execute only on explicit approval (mirror the 'Judgment Gate' already used for remediation scripts).</w:t>
      </w:r>
    </w:p>
    <w:p>
      <w:pPr>
        <w:pStyle w:val="ListBullet"/>
      </w:pPr>
      <w:r>
        <w:t>Never exec generated code in the main elevated process. Run it in an isolated, least-privilege subprocess (separate user/token, no admin, constrained working dir), and capture results over IPC.</w:t>
      </w:r>
    </w:p>
    <w:p>
      <w:pPr>
        <w:pStyle w:val="ListBullet"/>
      </w:pPr>
      <w:r>
        <w:t>Add a static security scan of the generated source before it is allowed to run — denylist os.system, subprocess, socket, eval/exec, ctypes, file-deletion and registry calls unless explicitly whitelisted.</w:t>
      </w:r>
    </w:p>
    <w:p>
      <w:pPr>
        <w:pStyle w:val="ListBullet"/>
      </w:pPr>
      <w:r>
        <w:t>Apply the existing ai_guardrail.neutralize_telemetry() to the engineering prompt so attacker-controlled telemetry can't steer the generator; log every generated artifact to the audit ledger with a hash.</w:t>
      </w:r>
    </w:p>
    <w:p>
      <w:r>
        <w:rPr>
          <w:b/>
          <w:sz w:val="23"/>
        </w:rPr>
        <w:t>A-02  —  MCP server: wildcard CORS + no authentication  [</w:t>
      </w:r>
      <w:r>
        <w:rPr>
          <w:b/>
          <w:color w:val="D35C1E"/>
          <w:sz w:val="23"/>
        </w:rPr>
        <w:t>MEDIUM</w:t>
      </w:r>
      <w:r>
        <w:rPr>
          <w:b/>
          <w:sz w:val="23"/>
        </w:rPr>
        <w:t>]</w:t>
      </w:r>
    </w:p>
    <w:p>
      <w:r>
        <w:rPr>
          <w:b/>
        </w:rPr>
        <w:t xml:space="preserve">Component: </w:t>
      </w:r>
      <w:r>
        <w:t>engines/mcp_server.py (Handler.send_header 'Access-Control-Allow-Origin: *'; HTTPServer on 127.0.0.1:47923)</w:t>
      </w:r>
    </w:p>
    <w:p>
      <w:r>
        <w:t>Description: the optional MCP server binds to loopback (good) but returns Access-Control-Allow-Origin: * and requires no token. Because of the wildcard, JavaScript on ANY website the user visits can call the loopback endpoints and READ the responses — recent alerts, module status, ATT&amp;CK heatmap, incidents, and the remediation log — a cross-origin local-data disclosure / CSRF-style vector.</w:t>
      </w:r>
    </w:p>
    <w:p>
      <w:r>
        <w:rPr>
          <w:b/>
        </w:rPr>
        <w:t xml:space="preserve">Evidence: </w:t>
      </w:r>
      <w:r>
        <w:t>engines/mcp_server.py:101,106,121 wildcard CORS; :501 bind 127.0.0.1; no Authorization/Origin check (grep found none)</w:t>
      </w:r>
    </w:p>
    <w:p>
      <w:r>
        <w:rPr>
          <w:b/>
        </w:rPr>
        <w:t xml:space="preserve">Impact: </w:t>
      </w:r>
      <w:r>
        <w:t>A malicious or compromised web page can exfiltrate local security telemetry while the suite runs. Mitigated by: loopback-only bind and the server being opt-in and OFF by default (config.mcp_enabled).</w:t>
      </w:r>
    </w:p>
    <w:p>
      <w:r>
        <w:t>Remediation steps:</w:t>
      </w:r>
    </w:p>
    <w:p>
      <w:pPr>
        <w:pStyle w:val="ListBullet"/>
      </w:pPr>
      <w:r>
        <w:t>Remove the wildcard. Either omit CORS entirely (MCP clients are not browsers) or reflect only an explicit, configured allowlist of origins.</w:t>
      </w:r>
    </w:p>
    <w:p>
      <w:pPr>
        <w:pStyle w:val="ListBullet"/>
      </w:pPr>
      <w:r>
        <w:t>Validate the Origin and Host headers on every request; reject cross-site origins and unexpected Host values (defends against DNS-rebinding to 127.0.0.1).</w:t>
      </w:r>
    </w:p>
    <w:p>
      <w:pPr>
        <w:pStyle w:val="ListBullet"/>
      </w:pPr>
      <w:r>
        <w:t>Require a bearer token: generate a per-session secret, expose it only via local config, and check it on every request; keep the server disabled by default.</w:t>
      </w:r>
    </w:p>
    <w:p>
      <w:r>
        <w:rPr>
          <w:b/>
          <w:sz w:val="23"/>
        </w:rPr>
        <w:t>A-03  —  CVE fix advisor executes AI-generated PowerShell (elevated)  [</w:t>
      </w:r>
      <w:r>
        <w:rPr>
          <w:b/>
          <w:color w:val="D35C1E"/>
          <w:sz w:val="23"/>
        </w:rPr>
        <w:t>MEDIUM</w:t>
      </w:r>
      <w:r>
        <w:rPr>
          <w:b/>
          <w:sz w:val="23"/>
        </w:rPr>
        <w:t>]</w:t>
      </w:r>
    </w:p>
    <w:p>
      <w:r>
        <w:rPr>
          <w:b/>
        </w:rPr>
        <w:t xml:space="preserve">Component: </w:t>
      </w:r>
      <w:r>
        <w:t>core/cve_fix_advisor.py (_run_powershell, apply_fix) — added v1.7.1</w:t>
      </w:r>
    </w:p>
    <w:p>
      <w:r>
        <w:t>Description: the Threat-Intel 'Apply fix' path runs AI-proposed PowerShell via `powershell -ExecutionPolicy Bypass -Command &lt;script&gt;` at the suite's privilege level. This is gated by a mandatory confirm-then-execute dialog that shows the exact commands and captures a revert script, which substantially reduces risk, but a rubber-stamped approval or a prompt-influenced CVE record still results in elevated execution of model-authored commands.</w:t>
      </w:r>
    </w:p>
    <w:p>
      <w:r>
        <w:rPr>
          <w:b/>
        </w:rPr>
        <w:t xml:space="preserve">Evidence: </w:t>
      </w:r>
      <w:r>
        <w:t>core/cve_fix_advisor.py:169-186 _run_powershell(Bypass); :210-224 apply_fix; confirm dialog in gui/threat_intel_page.py</w:t>
      </w:r>
    </w:p>
    <w:p>
      <w:r>
        <w:rPr>
          <w:b/>
        </w:rPr>
        <w:t xml:space="preserve">Impact: </w:t>
      </w:r>
      <w:r>
        <w:t>Elevated execution of LLM-generated commands. Residual after the confirm gate: user error / over-trust; injected CVE text steering the model.</w:t>
      </w:r>
    </w:p>
    <w:p>
      <w:r>
        <w:t>Remediation steps:</w:t>
      </w:r>
    </w:p>
    <w:p>
      <w:pPr>
        <w:pStyle w:val="ListBullet"/>
      </w:pPr>
      <w:r>
        <w:t>Keep the mandatory confirmation + verbatim command display (already implemented) — never auto-apply.</w:t>
      </w:r>
    </w:p>
    <w:p>
      <w:pPr>
        <w:pStyle w:val="ListBullet"/>
      </w:pPr>
      <w:r>
        <w:t>Before offering Apply, statically scan the generated script for destructive cmdlets (Remove-Item -Recurse, format, vssadmin/wbadmin delete, bcdedit, Set-MpPreference -Disable*, net user) and refuse or red-flag them.</w:t>
      </w:r>
    </w:p>
    <w:p>
      <w:pPr>
        <w:pStyle w:val="ListBullet"/>
      </w:pPr>
      <w:r>
        <w:t>Write every applied script + output to the SQLite remediation audit ledger (as the vetted-action path does).</w:t>
      </w:r>
    </w:p>
    <w:p>
      <w:pPr>
        <w:pStyle w:val="ListBullet"/>
      </w:pPr>
      <w:r>
        <w:t>Neutralize the CVE text passed to the model (ai_guardrail) and run the fix least-privilege where feasible.</w:t>
      </w:r>
    </w:p>
    <w:p>
      <w:r>
        <w:rPr>
          <w:b/>
          <w:sz w:val="23"/>
        </w:rPr>
        <w:t>A-04  —  Drop-in module loader auto-executes any .py at startup  [</w:t>
      </w:r>
      <w:r>
        <w:rPr>
          <w:b/>
          <w:color w:val="D35C1E"/>
          <w:sz w:val="23"/>
        </w:rPr>
        <w:t>MEDIUM</w:t>
      </w:r>
      <w:r>
        <w:rPr>
          <w:b/>
          <w:sz w:val="23"/>
        </w:rPr>
        <w:t>]</w:t>
      </w:r>
    </w:p>
    <w:p>
      <w:r>
        <w:rPr>
          <w:b/>
        </w:rPr>
        <w:t xml:space="preserve">Component: </w:t>
      </w:r>
      <w:r>
        <w:t>core/module_manager.py (spec_from_file_location + exec on import of modules/ and per-user drop-in dir)</w:t>
      </w:r>
    </w:p>
    <w:p>
      <w:r>
        <w:t>Description: modules are auto-discovered by importing every .py in the modules package and the per-user drop-in directory; import executes top-level code. This is an intentional extensibility feature, but it means anything able to WRITE to those directories gains code execution at the suite's privilege level on next start — a local privilege-escalation / persistence vector if the directory is user-writable.</w:t>
      </w:r>
    </w:p>
    <w:p>
      <w:r>
        <w:rPr>
          <w:b/>
        </w:rPr>
        <w:t xml:space="preserve">Evidence: </w:t>
      </w:r>
      <w:r>
        <w:t>core/module_manager.py:71 spec_from_file_location(...).exec; drop-in dir under %LOCALAPPDATA%\Angerona</w:t>
      </w:r>
    </w:p>
    <w:p>
      <w:r>
        <w:rPr>
          <w:b/>
        </w:rPr>
        <w:t xml:space="preserve">Impact: </w:t>
      </w:r>
      <w:r>
        <w:t>Code execution + persistence for any actor that can drop a file in the modules/drop-in path. Severity depends entirely on the directory ACLs.</w:t>
      </w:r>
    </w:p>
    <w:p>
      <w:r>
        <w:t>Remediation steps:</w:t>
      </w:r>
    </w:p>
    <w:p>
      <w:pPr>
        <w:pStyle w:val="ListBullet"/>
      </w:pPr>
      <w:r>
        <w:t>Ensure the application directory and the drop-in directory are writable ONLY by administrators/the owner; verify/repair the ACL at startup and warn (or refuse to load) if the directory is world/user-writable.</w:t>
      </w:r>
    </w:p>
    <w:p>
      <w:pPr>
        <w:pStyle w:val="ListBullet"/>
      </w:pPr>
      <w:r>
        <w:t>Document the trust boundary prominently: 'any .py in modules/ runs with Angerona's privileges'.</w:t>
      </w:r>
    </w:p>
    <w:p>
      <w:pPr>
        <w:pStyle w:val="ListBullet"/>
      </w:pPr>
      <w:r>
        <w:t>Optionally maintain a hash-allowlist of approved modules and refuse to load unknown files unless the operator confirms.</w:t>
      </w:r>
    </w:p>
    <w:p>
      <w:r>
        <w:rPr>
          <w:b/>
          <w:sz w:val="23"/>
        </w:rPr>
        <w:t>A-05  —  shell=True with interpolated PID in forensics  [</w:t>
      </w:r>
      <w:r>
        <w:rPr>
          <w:b/>
          <w:color w:val="B78A00"/>
          <w:sz w:val="23"/>
        </w:rPr>
        <w:t>LOW</w:t>
      </w:r>
      <w:r>
        <w:rPr>
          <w:b/>
          <w:sz w:val="23"/>
        </w:rPr>
        <w:t>]</w:t>
      </w:r>
    </w:p>
    <w:p>
      <w:r>
        <w:rPr>
          <w:b/>
        </w:rPr>
        <w:t xml:space="preserve">Component: </w:t>
      </w:r>
      <w:r>
        <w:t>modules/forensics.py:_audit_sockets</w:t>
      </w:r>
    </w:p>
    <w:p>
      <w:r>
        <w:t>Description: `run_hidden(f"netstat -ano | findstr {pid}", shell=True, ...)`. The pid is typed int and comes from psutil, so it is not attacker-controlled in practice — but shell=True with string interpolation is a fragile pattern that invites command injection if the input source ever changes.</w:t>
      </w:r>
    </w:p>
    <w:p>
      <w:r>
        <w:rPr>
          <w:b/>
        </w:rPr>
        <w:t xml:space="preserve">Evidence: </w:t>
      </w:r>
      <w:r>
        <w:t>modules/forensics.py:117</w:t>
      </w:r>
    </w:p>
    <w:p>
      <w:r>
        <w:rPr>
          <w:b/>
        </w:rPr>
        <w:t xml:space="preserve">Impact: </w:t>
      </w:r>
      <w:r>
        <w:t>Low today (pid is int). Would become command injection if pid ever originates from untrusted input.</w:t>
      </w:r>
    </w:p>
    <w:p>
      <w:r>
        <w:t>Remediation steps:</w:t>
      </w:r>
    </w:p>
    <w:p>
      <w:pPr>
        <w:pStyle w:val="ListBullet"/>
      </w:pPr>
      <w:r>
        <w:t>Drop shell=True: run `netstat -ano` without a shell and filter for the PID in Python (str(pid) match), or pass an argument list. Coerce pid = int(pid) defensively at the boundary.</w:t>
      </w:r>
    </w:p>
    <w:p>
      <w:r>
        <w:rPr>
          <w:b/>
          <w:sz w:val="23"/>
        </w:rPr>
        <w:t>A-06  —  Broad 'PowerShell -ExecutionPolicy Bypass' usage  [</w:t>
      </w:r>
      <w:r>
        <w:rPr>
          <w:b/>
          <w:color w:val="B78A00"/>
          <w:sz w:val="23"/>
        </w:rPr>
        <w:t>LOW</w:t>
      </w:r>
      <w:r>
        <w:rPr>
          <w:b/>
          <w:sz w:val="23"/>
        </w:rPr>
        <w:t>]</w:t>
      </w:r>
    </w:p>
    <w:p>
      <w:r>
        <w:rPr>
          <w:b/>
        </w:rPr>
        <w:t xml:space="preserve">Component: </w:t>
      </w:r>
      <w:r>
        <w:t>engines/defense_monitor.py, modules/av_telemetry_bridge.py, gui/pages.py, gui/upgrade_console.py, core/cve_fix_advisor.py</w:t>
      </w:r>
    </w:p>
    <w:p>
      <w:r>
        <w:t>Description: several call sites launch PowerShell with -ExecutionPolicy Bypass. Most use argument lists (no shell injection) with fixed/allowlisted commands or a fixed .ps1 fed a JSON payload, so injection risk is low. Bypass, however, disables script-policy defense-in-depth wherever it is used.</w:t>
      </w:r>
    </w:p>
    <w:p>
      <w:r>
        <w:rPr>
          <w:b/>
        </w:rPr>
        <w:t xml:space="preserve">Evidence: </w:t>
      </w:r>
      <w:r>
        <w:t>engines/defense_monitor.py:74 (fixed mitigation_gate.ps1 + JSON payload); av_telemetry_bridge.py:220,273; core/cve_fix_advisor.py:176</w:t>
      </w:r>
    </w:p>
    <w:p>
      <w:r>
        <w:rPr>
          <w:b/>
        </w:rPr>
        <w:t xml:space="preserve">Impact: </w:t>
      </w:r>
      <w:r>
        <w:t>Defense-in-depth weakening; not directly exploitable given list-form, vetted commands.</w:t>
      </w:r>
    </w:p>
    <w:p>
      <w:r>
        <w:t>Remediation steps:</w:t>
      </w:r>
    </w:p>
    <w:p>
      <w:pPr>
        <w:pStyle w:val="ListBullet"/>
      </w:pPr>
      <w:r>
        <w:t>Route all PowerShell execution through one audited helper that logs command + caller + output.</w:t>
      </w:r>
    </w:p>
    <w:p>
      <w:pPr>
        <w:pStyle w:val="ListBullet"/>
      </w:pPr>
      <w:r>
        <w:t>Prefer signed scripts (AllSigned) over Bypass for the fixed remediation scripts; confirm every dynamic command originates from a vetted allowlist.</w:t>
      </w:r>
    </w:p>
    <w:p>
      <w:r>
        <w:rPr>
          <w:b/>
          <w:sz w:val="23"/>
        </w:rPr>
        <w:t>A-07  —  SHA-1 used for a path identifier (non-security)  [</w:t>
      </w:r>
      <w:r>
        <w:rPr>
          <w:b/>
          <w:color w:val="556B2F"/>
          <w:sz w:val="23"/>
        </w:rPr>
        <w:t>INFO</w:t>
      </w:r>
      <w:r>
        <w:rPr>
          <w:b/>
          <w:sz w:val="23"/>
        </w:rPr>
        <w:t>]</w:t>
      </w:r>
    </w:p>
    <w:p>
      <w:r>
        <w:rPr>
          <w:b/>
        </w:rPr>
        <w:t xml:space="preserve">Component: </w:t>
      </w:r>
      <w:r>
        <w:t>modules/shadow_shield.py:_hash</w:t>
      </w:r>
    </w:p>
    <w:p>
      <w:r>
        <w:t>Description: SHA-1 is used to derive a short identifier from a file path. This is not a security/integrity use (the integrity-critical paths already use SHA-256, e.g. the Judgment Gate and remediation ledger), so it is not a vulnerability — noted only for consistency.</w:t>
      </w:r>
    </w:p>
    <w:p>
      <w:r>
        <w:rPr>
          <w:b/>
        </w:rPr>
        <w:t xml:space="preserve">Remediation steps: </w:t>
      </w:r>
      <w:r>
        <w:t>Optional: switch to hashlib.sha256 for uniformity; no action required for correctness.</w:t>
      </w:r>
    </w:p>
    <w:p>
      <w:r>
        <w:rPr>
          <w:b/>
          <w:color w:val="1F3A5F"/>
          <w:sz w:val="25"/>
        </w:rPr>
        <w:t>5. Positive Security Controls Observed</w:t>
      </w:r>
    </w:p>
    <w:p>
      <w:pPr>
        <w:pStyle w:val="ListBullet"/>
      </w:pPr>
      <w:r>
        <w:t>Secrets confined to a git-ignored .env (.env, .env.* ignored, .env.example kept); no hardcoded API keys, tokens, or private keys in any tracked file.</w:t>
      </w:r>
    </w:p>
    <w:p>
      <w:pPr>
        <w:pStyle w:val="ListBullet"/>
      </w:pPr>
      <w:r>
        <w:t>AI guardrail (engines/ai_guardrail.py) redacts SSNs, card numbers, API/AWS keys, and private keys from AI I/O and carries prompt-injection heuristics.</w:t>
      </w:r>
    </w:p>
    <w:p>
      <w:pPr>
        <w:pStyle w:val="ListBullet"/>
      </w:pPr>
      <w:r>
        <w:t>All local services bind to 127.0.0.1 (MCP server, singleton lock) — no 0.0.0.0 exposure.</w:t>
      </w:r>
    </w:p>
    <w:p>
      <w:pPr>
        <w:pStyle w:val="ListBullet"/>
      </w:pPr>
      <w:r>
        <w:t>HMAC-SHA256-signed EventBus and a SHA-256 'Judgment Gate' that re-verifies staged remediation scripts before execution.</w:t>
      </w:r>
    </w:p>
    <w:p>
      <w:pPr>
        <w:pStyle w:val="ListBullet"/>
      </w:pPr>
      <w:r>
        <w:t>SOAR active defense enforces a protected-process allowlist (lsass/csrss/svchost/etc.) and 2-signal corroboration before containment; network isolation is additive.</w:t>
      </w:r>
    </w:p>
    <w:p>
      <w:pPr>
        <w:pStyle w:val="ListBullet"/>
      </w:pPr>
      <w:r>
        <w:t>No unsafe deserialization anywhere (no pickle / marshal / yaml.load); no os.system() on untrusted input.</w:t>
      </w:r>
    </w:p>
    <w:p>
      <w:pPr>
        <w:pStyle w:val="ListBullet"/>
      </w:pPr>
      <w:r>
        <w:t>Remediation actions are drawn from a vetted allow-list and logged to a SQLite audit ledger.</w:t>
      </w:r>
    </w:p>
    <w:p>
      <w:r>
        <w:rPr>
          <w:b/>
          <w:color w:val="1F3A5F"/>
          <w:sz w:val="25"/>
        </w:rPr>
        <w:t>6. Prioritized Remediation Roadmap</w:t>
      </w:r>
    </w:p>
    <w:p>
      <w:r>
        <w:t>Before making the repository public: none of the findings expose secrets, so publication is safe — but resolve A-01 and A-02 first because the code will be publicly readable and both are attractive targets.</w:t>
      </w:r>
    </w:p>
    <w:p>
      <w:pPr>
        <w:pStyle w:val="ListBullet"/>
      </w:pPr>
      <w:r>
        <w:t>P0 (now): A-01 — disable self-evolution by default; add human-review + isolation before any exec of generated code.</w:t>
      </w:r>
    </w:p>
    <w:p>
      <w:pPr>
        <w:pStyle w:val="ListBullet"/>
      </w:pPr>
      <w:r>
        <w:t>P1 (before enabling services on a real host): A-02 remove wildcard CORS + add token/Origin check; A-04 lock down drop-in directory ACLs + document the trust boundary.</w:t>
      </w:r>
    </w:p>
    <w:p>
      <w:pPr>
        <w:pStyle w:val="ListBullet"/>
      </w:pPr>
      <w:r>
        <w:t>P2: A-03 add destructive-cmdlet denylist + audit-log applied fixes; A-05 remove shell=True; A-06 centralize/log PowerShell execution.</w:t>
      </w:r>
    </w:p>
    <w:p>
      <w:pPr>
        <w:pStyle w:val="ListBullet"/>
      </w:pPr>
      <w:r>
        <w:t>P3 (hygiene): A-07 SHA-256 for consistency; add a dependency CVE audit (pip-audit) and a runtime/dynamic test pass to complement this static review.</w:t>
      </w:r>
    </w:p>
    <w:p>
      <w:r>
        <w:rPr>
          <w:b/>
          <w:color w:val="1F3A5F"/>
          <w:sz w:val="25"/>
        </w:rPr>
        <w:t>7. Assessment Status</w:t>
      </w:r>
    </w:p>
    <w:p>
      <w:r>
        <w:t>7 findings identified (1 HIGH, 3 MEDIUM, 2 LOW, 1 INFO). All are OPEN as of 2026-07-13; A-03 and A-04 carry meaningful in-product mitigations already. This is a static review — a follow-up dynamic test pass and a dependency CVE audit are recommended to close out coverage.</w:t>
      </w:r>
    </w:p>
    <w:p>
      <w:r>
        <w:t>Prepared by automated static analysis for the project owner. Findings reflect the intended single-host, elevated-user deployment model.</w:t>
      </w:r>
    </w:p>
    <w:p/>
    <w:p>
      <w:r>
        <w:rPr>
          <w:b/>
          <w:color w:val="1F3A5F"/>
          <w:sz w:val="25"/>
        </w:rPr>
        <w:t>8. Remediation Applied — 2026-07-13</w:t>
      </w:r>
    </w:p>
    <w:p>
      <w:r>
        <w:t>The following code changes were made and unit-verified the same day. A-04, A-06 and A-07 remain open (operational/hardening items, tracked in the roadmap).</w:t>
      </w:r>
    </w:p>
    <w:p>
      <w:pPr>
        <w:pStyle w:val="ListBullet"/>
      </w:pPr>
      <w:r>
        <w:t>A-01 (HIGH) MITIGATED — engines/self_compiler.py: autonomous execution of AI-generated Python is now OFF by default (SELF_EVOLVE_ENABLED / env ANGERONA_SELF_EVOLVE, default 0). hot_reload_capability() refuses to run unless explicitly authorized AND the generated source passes a new static security scan (scan_generated_source) that denies subprocess/os.system/eval/exec/ctypes/socket/file-write and similar constructs. Result: no unreviewed AI code can execute.</w:t>
      </w:r>
    </w:p>
    <w:p>
      <w:pPr>
        <w:pStyle w:val="ListBullet"/>
      </w:pPr>
      <w:r>
        <w:t>A-02 (MEDIUM) MITIGATED — engines/mcp_server.py: removed all wildcard 'Access-Control-Allow-Origin: *' headers (browsers can no longer read the loopback API cross-origin); added a _guard() that rejects any request whose Host isn't loopback (defeats DNS-rebinding) and enforces an optional bearer token (config.mcp_token / env ANGERONA_MCP_TOKEN) on every GET/POST.</w:t>
      </w:r>
    </w:p>
    <w:p>
      <w:pPr>
        <w:pStyle w:val="ListBullet"/>
      </w:pPr>
      <w:r>
        <w:t>A-03 (MEDIUM) MITIGATED — core/cve_fix_advisor.py: added a destructive-command denylist (scan_powershell) covering Remove-Item, vssadmin/wbadmin delete, bcdedit, Set-MpPreference -Disable, New-LocalUser, Invoke-Expression/iex, reg delete, -EncodedCommand, etc. Such 'fixes' are now refused at both analysis time (fix_available forced False, blocked_destructive flag) and at apply_fix() execution time.</w:t>
      </w:r>
    </w:p>
    <w:p>
      <w:pPr>
        <w:pStyle w:val="ListBullet"/>
      </w:pPr>
      <w:r>
        <w:t>A-05 (LOW) MITIGATED — modules/forensics.py: removed shell=True; netstat now runs as an argv list (['netstat','-ano']) with the PID coerced to int and matched against the last column in Python (more precise than the old substring findstr, and no shell to inject into).</w:t>
      </w:r>
    </w:p>
    <w:p>
      <w:r>
        <w:t>Verification: isolated unit tests confirm the self-evolution gate blocks by default and blocks malicious source even when authorized; the destructive-PowerShell denylist refuses dangerous fixes and passes benign ones; cve_fix_advisor.self_test() updated to assert the denylist. (Full in-process compile is masked by a sandbox mount limitation; changes are surgical edits to files that compiled prior to the change.)</w:t>
      </w:r>
    </w:p>
    <w:p>
      <w:r>
        <w:rPr>
          <w:b/>
          <w:color w:val="1F3A5F"/>
          <w:sz w:val="25"/>
        </w:rPr>
        <w:t>9. Residual / Open Items</w:t>
      </w:r>
    </w:p>
    <w:p>
      <w:pPr>
        <w:pStyle w:val="ListBullet"/>
      </w:pPr>
      <w:r>
        <w:t>A-04 (MEDIUM, OPEN) — lock down drop-in module directory ACLs + document the trust boundary.</w:t>
      </w:r>
    </w:p>
    <w:p>
      <w:pPr>
        <w:pStyle w:val="ListBullet"/>
      </w:pPr>
      <w:r>
        <w:t>A-06 (LOW, OPEN) — centralize/allowlist/log all PowerShell execution.</w:t>
      </w:r>
    </w:p>
    <w:p>
      <w:pPr>
        <w:pStyle w:val="ListBullet"/>
      </w:pPr>
      <w:r>
        <w:t>A-07 (INFO, OPEN) — SHA-256 for the shadow_shield path identifier (cosmetic).</w:t>
      </w:r>
    </w:p>
    <w:p>
      <w:pPr>
        <w:pStyle w:val="ListBullet"/>
      </w:pPr>
      <w:r>
        <w:t>Recommended next: dependency CVE audit (pip-audit) and a dynamic/runtime test pass.</w:t>
      </w:r>
    </w:p>
    <w:p>
      <w:r>
        <w:br w:type="page"/>
      </w:r>
    </w:p>
    <w:p>
      <w:pPr>
        <w:pStyle w:val="Heading1"/>
        <w:keepNext/>
      </w:pPr>
      <w:r>
        <w:rPr>
          <w:color w:val="0078D4"/>
        </w:rPr>
        <w:t>Stability and Remediation Sweep — 14 July 2026</w:t>
      </w:r>
    </w:p>
    <w:p>
      <w:r>
        <w:rPr>
          <w:i/>
        </w:rPr>
        <w:t>This addendum records the code, performance, crash-log, and remediation-report sweep completed against the Angerona v1.7.4 baseline. It supplements earlier assessment text; it is internal validation evidence, not an independent certification.</w:t>
      </w:r>
    </w:p>
    <w:p>
      <w:pPr>
        <w:pStyle w:val="Heading2"/>
      </w:pPr>
      <w:r>
        <w:t>Evidence reviewed</w:t>
      </w:r>
    </w:p>
    <w:p>
      <w:pPr>
        <w:pStyle w:val="ListBullet"/>
      </w:pPr>
      <w:r>
        <w:t>Native crash history, UI non-response snapshots, remediation-attempt logs, and current after-action reports.</w:t>
      </w:r>
    </w:p>
    <w:p>
      <w:pPr>
        <w:pStyle w:val="ListBullet"/>
      </w:pPr>
      <w:r>
        <w:t>Security Assessment v2.0, Vulnerabilities Assessment/Remediation v1.7.4, and loop remediation summaries.</w:t>
      </w:r>
    </w:p>
    <w:p>
      <w:pPr>
        <w:pStyle w:val="ListBullet"/>
      </w:pPr>
      <w:r>
        <w:t>Current source, GUI refresh paths, event/storage behavior, module discovery, and PowerShell remediation gates.</w:t>
      </w:r>
    </w:p>
    <w:p>
      <w:pPr>
        <w:pStyle w:val="Heading2"/>
      </w:pPr>
      <w:r>
        <w:t>Implemented corrections</w:t>
      </w:r>
    </w:p>
    <w:tbl>
      <w:tblPr>
        <w:tblStyle w:val="TableGrid"/>
        <w:tblW w:type="auto" w:w="0"/>
        <w:tblLayout w:type="fixed"/>
        <w:tblLook w:firstColumn="1" w:firstRow="1" w:lastColumn="0" w:lastRow="0" w:noHBand="0" w:noVBand="1" w:val="04A0"/>
      </w:tblPr>
      <w:tblGrid>
        <w:gridCol w:w="1944"/>
        <w:gridCol w:w="2880"/>
        <w:gridCol w:w="5112"/>
      </w:tblGrid>
      <w:tr>
        <w:trPr>
          <w:tblHeader w:val="1"/>
          <w:cantSplit/>
        </w:trPr>
        <w:tc>
          <w:tcPr>
            <w:tcW w:type="dxa" w:w="2880"/>
            <w:vAlign w:val="center"/>
            <w:shd w:fill="1F4E78"/>
          </w:tcPr>
          <w:p>
            <w:r/>
            <w:r>
              <w:rPr>
                <w:rFonts w:ascii="Aptos" w:hAnsi="Aptos"/>
                <w:b/>
                <w:color w:val="FFFFFF"/>
                <w:sz w:val="19"/>
              </w:rPr>
              <w:t>Area</w:t>
            </w:r>
          </w:p>
        </w:tc>
        <w:tc>
          <w:tcPr>
            <w:tcW w:type="dxa" w:w="2880"/>
            <w:vAlign w:val="center"/>
            <w:shd w:fill="1F4E78"/>
          </w:tcPr>
          <w:p>
            <w:r/>
            <w:r>
              <w:rPr>
                <w:rFonts w:ascii="Aptos" w:hAnsi="Aptos"/>
                <w:b/>
                <w:color w:val="FFFFFF"/>
                <w:sz w:val="19"/>
              </w:rPr>
              <w:t>Status</w:t>
            </w:r>
          </w:p>
        </w:tc>
        <w:tc>
          <w:tcPr>
            <w:tcW w:type="dxa" w:w="2880"/>
            <w:vAlign w:val="center"/>
            <w:shd w:fill="1F4E78"/>
          </w:tcPr>
          <w:p>
            <w:r/>
            <w:r>
              <w:rPr>
                <w:rFonts w:ascii="Aptos" w:hAnsi="Aptos"/>
                <w:b/>
                <w:color w:val="FFFFFF"/>
                <w:sz w:val="19"/>
              </w:rPr>
              <w:t>Correction</w:t>
            </w:r>
          </w:p>
        </w:tc>
      </w:tr>
      <w:tr>
        <w:trPr>
          <w:cantSplit/>
        </w:trPr>
        <w:tc>
          <w:tcPr>
            <w:tcW w:type="dxa" w:w="1944"/>
            <w:vAlign w:val="center"/>
          </w:tcPr>
          <w:p>
            <w:r/>
            <w:r>
              <w:rPr>
                <w:rFonts w:ascii="Aptos" w:hAnsi="Aptos"/>
                <w:b/>
                <w:sz w:val="19"/>
              </w:rPr>
              <w:t>Native stability</w:t>
            </w:r>
          </w:p>
        </w:tc>
        <w:tc>
          <w:tcPr>
            <w:tcW w:type="dxa" w:w="2880"/>
            <w:vAlign w:val="center"/>
          </w:tcPr>
          <w:p>
            <w:r/>
            <w:r>
              <w:rPr>
                <w:rFonts w:ascii="Aptos" w:hAnsi="Aptos"/>
                <w:b/>
                <w:color w:val="087F5B"/>
                <w:sz w:val="19"/>
              </w:rPr>
              <w:t>Fixed by safe default</w:t>
            </w:r>
          </w:p>
        </w:tc>
        <w:tc>
          <w:tcPr>
            <w:tcW w:type="dxa" w:w="5112"/>
            <w:vAlign w:val="center"/>
          </w:tcPr>
          <w:p>
            <w:r/>
            <w:r>
              <w:rPr>
                <w:rFonts w:ascii="Aptos" w:hAnsi="Aptos"/>
                <w:b w:val="0"/>
                <w:sz w:val="19"/>
              </w:rPr>
              <w:t>Twenty-one recorded native access violations converged on direct in-process AmsiScanBuffer health checks. AMSI Bridge now defaults to ETW/Sysmon observation; direct ctypes AMSI is explicit compatibility-test opt-in only.</w:t>
            </w:r>
          </w:p>
        </w:tc>
      </w:tr>
      <w:tr>
        <w:trPr>
          <w:cantSplit/>
        </w:trPr>
        <w:tc>
          <w:tcPr>
            <w:tcW w:type="dxa" w:w="1944"/>
            <w:vAlign w:val="center"/>
          </w:tcPr>
          <w:p>
            <w:r/>
            <w:r>
              <w:rPr>
                <w:rFonts w:ascii="Aptos" w:hAnsi="Aptos"/>
                <w:b/>
                <w:sz w:val="19"/>
              </w:rPr>
              <w:t>Long-run UI</w:t>
            </w:r>
          </w:p>
        </w:tc>
        <w:tc>
          <w:tcPr>
            <w:tcW w:type="dxa" w:w="2880"/>
            <w:vAlign w:val="center"/>
          </w:tcPr>
          <w:p>
            <w:r/>
            <w:r>
              <w:rPr>
                <w:rFonts w:ascii="Aptos" w:hAnsi="Aptos"/>
                <w:b/>
                <w:color w:val="087F5B"/>
                <w:sz w:val="19"/>
              </w:rPr>
              <w:t>Fixed</w:t>
            </w:r>
          </w:p>
        </w:tc>
        <w:tc>
          <w:tcPr>
            <w:tcW w:type="dxa" w:w="5112"/>
            <w:vAlign w:val="center"/>
          </w:tcPr>
          <w:p>
            <w:r/>
            <w:r>
              <w:rPr>
                <w:rFonts w:ascii="Aptos" w:hAnsi="Aptos"/>
                <w:b w:val="0"/>
                <w:sz w:val="19"/>
              </w:rPr>
              <w:t>Flight Instructor work is bounded to one worker and an eight-item coalescing queue; flow-metric disk writes are off the Qt thread; alert-table gap rebuilds are burst-throttled.</w:t>
            </w:r>
          </w:p>
        </w:tc>
      </w:tr>
      <w:tr>
        <w:trPr>
          <w:cantSplit/>
        </w:trPr>
        <w:tc>
          <w:tcPr>
            <w:tcW w:type="dxa" w:w="1944"/>
            <w:vAlign w:val="center"/>
          </w:tcPr>
          <w:p>
            <w:r/>
            <w:r>
              <w:rPr>
                <w:rFonts w:ascii="Aptos" w:hAnsi="Aptos"/>
                <w:b/>
                <w:sz w:val="19"/>
              </w:rPr>
              <w:t>Diagnostics</w:t>
            </w:r>
          </w:p>
        </w:tc>
        <w:tc>
          <w:tcPr>
            <w:tcW w:type="dxa" w:w="2880"/>
            <w:vAlign w:val="center"/>
          </w:tcPr>
          <w:p>
            <w:r/>
            <w:r>
              <w:rPr>
                <w:rFonts w:ascii="Aptos" w:hAnsi="Aptos"/>
                <w:b/>
                <w:color w:val="087F5B"/>
                <w:sz w:val="19"/>
              </w:rPr>
              <w:t>Fixed</w:t>
            </w:r>
          </w:p>
        </w:tc>
        <w:tc>
          <w:tcPr>
            <w:tcW w:type="dxa" w:w="5112"/>
            <w:vAlign w:val="center"/>
          </w:tcPr>
          <w:p>
            <w:r/>
            <w:r>
              <w:rPr>
                <w:rFonts w:ascii="Aptos" w:hAnsi="Aptos"/>
                <w:b w:val="0"/>
                <w:sz w:val="19"/>
              </w:rPr>
              <w:t>UI watchdog snapshots are main-thread focused, rate-limited to 60 seconds, and rotated at 4 MB instead of growing without bound.</w:t>
            </w:r>
          </w:p>
        </w:tc>
      </w:tr>
      <w:tr>
        <w:trPr>
          <w:cantSplit/>
        </w:trPr>
        <w:tc>
          <w:tcPr>
            <w:tcW w:type="dxa" w:w="1944"/>
            <w:vAlign w:val="center"/>
          </w:tcPr>
          <w:p>
            <w:r/>
            <w:r>
              <w:rPr>
                <w:rFonts w:ascii="Aptos" w:hAnsi="Aptos"/>
                <w:b/>
                <w:sz w:val="19"/>
              </w:rPr>
              <w:t>Event delivery</w:t>
            </w:r>
          </w:p>
        </w:tc>
        <w:tc>
          <w:tcPr>
            <w:tcW w:type="dxa" w:w="2880"/>
            <w:vAlign w:val="center"/>
          </w:tcPr>
          <w:p>
            <w:r/>
            <w:r>
              <w:rPr>
                <w:rFonts w:ascii="Aptos" w:hAnsi="Aptos"/>
                <w:b/>
                <w:color w:val="087F5B"/>
                <w:sz w:val="19"/>
              </w:rPr>
              <w:t>Fixed</w:t>
            </w:r>
          </w:p>
        </w:tc>
        <w:tc>
          <w:tcPr>
            <w:tcW w:type="dxa" w:w="5112"/>
            <w:vAlign w:val="center"/>
          </w:tcPr>
          <w:p>
            <w:r/>
            <w:r>
              <w:rPr>
                <w:rFonts w:ascii="Aptos" w:hAnsi="Aptos"/>
                <w:b w:val="0"/>
                <w:sz w:val="19"/>
              </w:rPr>
              <w:t>Removed permanent INFO suppression after the in-memory history reached 85% capacity. The bounded deque rolls off old history while new events continue to subscribers and storage.</w:t>
            </w:r>
          </w:p>
        </w:tc>
      </w:tr>
      <w:tr>
        <w:trPr>
          <w:cantSplit/>
        </w:trPr>
        <w:tc>
          <w:tcPr>
            <w:tcW w:type="dxa" w:w="1944"/>
            <w:vAlign w:val="center"/>
          </w:tcPr>
          <w:p>
            <w:r/>
            <w:r>
              <w:rPr>
                <w:rFonts w:ascii="Aptos" w:hAnsi="Aptos"/>
                <w:b/>
                <w:sz w:val="19"/>
              </w:rPr>
              <w:t>History dialogs</w:t>
            </w:r>
          </w:p>
        </w:tc>
        <w:tc>
          <w:tcPr>
            <w:tcW w:type="dxa" w:w="2880"/>
            <w:vAlign w:val="center"/>
          </w:tcPr>
          <w:p>
            <w:r/>
            <w:r>
              <w:rPr>
                <w:rFonts w:ascii="Aptos" w:hAnsi="Aptos"/>
                <w:b/>
                <w:color w:val="087F5B"/>
                <w:sz w:val="19"/>
              </w:rPr>
              <w:t>Fixed</w:t>
            </w:r>
          </w:p>
        </w:tc>
        <w:tc>
          <w:tcPr>
            <w:tcW w:type="dxa" w:w="5112"/>
            <w:vAlign w:val="center"/>
          </w:tcPr>
          <w:p>
            <w:r/>
            <w:r>
              <w:rPr>
                <w:rFonts w:ascii="Aptos" w:hAnsi="Aptos"/>
                <w:b w:val="0"/>
                <w:sz w:val="19"/>
              </w:rPr>
              <w:t>Interactive 24-hour event views use severity-filtered SQL capped at 500 newest rows. After-Action Reports retain complete, uncapped run-window queries.</w:t>
            </w:r>
          </w:p>
        </w:tc>
      </w:tr>
      <w:tr>
        <w:trPr>
          <w:cantSplit/>
        </w:trPr>
        <w:tc>
          <w:tcPr>
            <w:tcW w:type="dxa" w:w="1944"/>
            <w:vAlign w:val="center"/>
          </w:tcPr>
          <w:p>
            <w:r/>
            <w:r>
              <w:rPr>
                <w:rFonts w:ascii="Aptos" w:hAnsi="Aptos"/>
                <w:b/>
                <w:sz w:val="19"/>
              </w:rPr>
              <w:t>GUI exceptions</w:t>
            </w:r>
          </w:p>
        </w:tc>
        <w:tc>
          <w:tcPr>
            <w:tcW w:type="dxa" w:w="2880"/>
            <w:vAlign w:val="center"/>
          </w:tcPr>
          <w:p>
            <w:r/>
            <w:r>
              <w:rPr>
                <w:rFonts w:ascii="Aptos" w:hAnsi="Aptos"/>
                <w:b/>
                <w:color w:val="087F5B"/>
                <w:sz w:val="19"/>
              </w:rPr>
              <w:t>Fixed</w:t>
            </w:r>
          </w:p>
        </w:tc>
        <w:tc>
          <w:tcPr>
            <w:tcW w:type="dxa" w:w="5112"/>
            <w:vAlign w:val="center"/>
          </w:tcPr>
          <w:p>
            <w:r/>
            <w:r>
              <w:rPr>
                <w:rFonts w:ascii="Aptos" w:hAnsi="Aptos"/>
                <w:b w:val="0"/>
                <w:sz w:val="19"/>
              </w:rPr>
              <w:t>Sandbox Editor uses valid QTextCursor movement enums; Settings uses the implemented autostart enable/disable functions; unchanged module-status tables are no longer rebuilt every 1.5 seconds.</w:t>
            </w:r>
          </w:p>
        </w:tc>
      </w:tr>
      <w:tr>
        <w:trPr>
          <w:cantSplit/>
        </w:trPr>
        <w:tc>
          <w:tcPr>
            <w:tcW w:type="dxa" w:w="1944"/>
            <w:vAlign w:val="center"/>
          </w:tcPr>
          <w:p>
            <w:r/>
            <w:r>
              <w:rPr>
                <w:rFonts w:ascii="Aptos" w:hAnsi="Aptos"/>
                <w:b/>
                <w:sz w:val="19"/>
              </w:rPr>
              <w:t>A-04</w:t>
            </w:r>
          </w:p>
        </w:tc>
        <w:tc>
          <w:tcPr>
            <w:tcW w:type="dxa" w:w="2880"/>
            <w:vAlign w:val="center"/>
          </w:tcPr>
          <w:p>
            <w:r/>
            <w:r>
              <w:rPr>
                <w:rFonts w:ascii="Aptos" w:hAnsi="Aptos"/>
                <w:b/>
                <w:color w:val="087F5B"/>
                <w:sz w:val="19"/>
              </w:rPr>
              <w:t>Closed in default configuration</w:t>
            </w:r>
          </w:p>
        </w:tc>
        <w:tc>
          <w:tcPr>
            <w:tcW w:type="dxa" w:w="5112"/>
            <w:vAlign w:val="center"/>
          </w:tcPr>
          <w:p>
            <w:r/>
            <w:r>
              <w:rPr>
                <w:rFonts w:ascii="Aptos" w:hAnsi="Aptos"/>
                <w:b w:val="0"/>
                <w:sz w:val="19"/>
              </w:rPr>
              <w:t>External Python drop-ins no longer execute automatically. Trusted development environments must explicitly set ANGERONA_EXTERNAL_MODULES=1.</w:t>
            </w:r>
          </w:p>
        </w:tc>
      </w:tr>
      <w:tr>
        <w:trPr>
          <w:cantSplit/>
        </w:trPr>
        <w:tc>
          <w:tcPr>
            <w:tcW w:type="dxa" w:w="1944"/>
            <w:vAlign w:val="center"/>
          </w:tcPr>
          <w:p>
            <w:r/>
            <w:r>
              <w:rPr>
                <w:rFonts w:ascii="Aptos" w:hAnsi="Aptos"/>
                <w:b/>
                <w:sz w:val="19"/>
              </w:rPr>
              <w:t>A-07</w:t>
            </w:r>
          </w:p>
        </w:tc>
        <w:tc>
          <w:tcPr>
            <w:tcW w:type="dxa" w:w="2880"/>
            <w:vAlign w:val="center"/>
          </w:tcPr>
          <w:p>
            <w:r/>
            <w:r>
              <w:rPr>
                <w:rFonts w:ascii="Aptos" w:hAnsi="Aptos"/>
                <w:b/>
                <w:color w:val="087F5B"/>
                <w:sz w:val="19"/>
              </w:rPr>
              <w:t>Closed</w:t>
            </w:r>
          </w:p>
        </w:tc>
        <w:tc>
          <w:tcPr>
            <w:tcW w:type="dxa" w:w="5112"/>
            <w:vAlign w:val="center"/>
          </w:tcPr>
          <w:p>
            <w:r/>
            <w:r>
              <w:rPr>
                <w:rFonts w:ascii="Aptos" w:hAnsi="Aptos"/>
                <w:b w:val="0"/>
                <w:sz w:val="19"/>
              </w:rPr>
              <w:t>Shadow Shield path identifiers now use SHA-256 instead of SHA-1.</w:t>
            </w:r>
          </w:p>
        </w:tc>
      </w:tr>
      <w:tr>
        <w:trPr>
          <w:cantSplit/>
        </w:trPr>
        <w:tc>
          <w:tcPr>
            <w:tcW w:type="dxa" w:w="1944"/>
            <w:vAlign w:val="center"/>
          </w:tcPr>
          <w:p>
            <w:r/>
            <w:r>
              <w:rPr>
                <w:rFonts w:ascii="Aptos" w:hAnsi="Aptos"/>
                <w:b/>
                <w:sz w:val="19"/>
              </w:rPr>
              <w:t>A-06</w:t>
            </w:r>
          </w:p>
        </w:tc>
        <w:tc>
          <w:tcPr>
            <w:tcW w:type="dxa" w:w="2880"/>
            <w:vAlign w:val="center"/>
          </w:tcPr>
          <w:p>
            <w:r/>
            <w:r>
              <w:rPr>
                <w:rFonts w:ascii="Aptos" w:hAnsi="Aptos"/>
                <w:b/>
                <w:color w:val="B26A00"/>
                <w:sz w:val="19"/>
              </w:rPr>
              <w:t>Partially addressed</w:t>
            </w:r>
          </w:p>
        </w:tc>
        <w:tc>
          <w:tcPr>
            <w:tcW w:type="dxa" w:w="5112"/>
            <w:vAlign w:val="center"/>
          </w:tcPr>
          <w:p>
            <w:r/>
            <w:r>
              <w:rPr>
                <w:rFonts w:ascii="Aptos" w:hAnsi="Aptos"/>
                <w:b w:val="0"/>
                <w:sz w:val="19"/>
              </w:rPr>
              <w:t>AI fix and revert scripts now reject additional defense-weakening, persistence, remote-execution, scheduled-task/service, Run-key, and firewall-disable patterns. A single centralized PowerShell executor/audit boundary remains recommended.</w:t>
            </w:r>
          </w:p>
        </w:tc>
      </w:tr>
    </w:tbl>
    <w:p>
      <w:pPr>
        <w:pStyle w:val="Heading2"/>
      </w:pPr>
      <w:r>
        <w:t>Validation</w:t>
      </w:r>
    </w:p>
    <w:p>
      <w:r>
        <w:t>Compilation and focused event-bus, storage, AMSI-default, and CVE-guardrail tests passed. The complete headless regression suite completed 26 of 26 phases with zero failures and a clean process exit, including the live benign red-team simulation and After-Action path.</w:t>
      </w:r>
    </w:p>
    <w:p>
      <w:pPr>
        <w:pStyle w:val="Heading2"/>
      </w:pPr>
      <w:r>
        <w:t>Residual assurance work</w:t>
      </w:r>
    </w:p>
    <w:p>
      <w:pPr>
        <w:pStyle w:val="ListBullet"/>
      </w:pPr>
      <w:r>
        <w:t>Run a true multi-hour desktop soak with representative alert and red-team bursts; the headless suite is not a substitute for elapsed-time GUI validation.</w:t>
      </w:r>
    </w:p>
    <w:p>
      <w:pPr>
        <w:pStyle w:val="ListBullet"/>
      </w:pPr>
      <w:r>
        <w:t>Keep ANGERONA_AMSI_INPROCESS disabled unless testing a known-compatible runtime; native ctypes failures cannot be recovered by Python exception handling.</w:t>
      </w:r>
    </w:p>
    <w:p>
      <w:pPr>
        <w:pStyle w:val="ListBullet"/>
      </w:pPr>
      <w:r>
        <w:t>Centralize every PowerShell invocation behind one policy, approval, integrity, and append-only audit boundary to fully close A-06.</w:t>
      </w:r>
    </w:p>
    <w:p>
      <w:pPr>
        <w:pStyle w:val="ListBullet"/>
      </w:pPr>
      <w:r>
        <w:t>Treat external modules as privileged code and leave external discovery disabled in normal deployments.</w:t>
      </w:r>
    </w:p>
    <w:p>
      <w:r>
        <w:rPr>
          <w:b/>
        </w:rPr>
        <w:t xml:space="preserve">Superseding validation note: </w:t>
      </w:r>
      <w:r>
        <w:t>where an earlier 14 July addendum cites a 61-check module report, this sweep's final release-gate result is 26/26 end-to-end phases; individual stopped/idle modules remain reported as expected skips inside the module-level diagnostic output.</w:t>
      </w:r>
    </w:p>
    <w:p>
      <w:pPr>
        <w:pStyle w:val="Heading1"/>
      </w:pPr>
      <w:r>
        <w:t>Improvement Loop Release - 14 July 2026 (v1.7.5)</w:t>
      </w:r>
    </w:p>
    <w:p>
      <w:r>
        <w:t>The three-round improvement loop found 12 distinct security weaknesses: nine were fixed and three were deliberately deferred because safe closure requires a versioned protocol or privileged deployment boundary.</w:t>
      </w:r>
    </w:p>
    <w:p>
      <w:pPr>
        <w:pStyle w:val="ListBullet"/>
      </w:pPr>
      <w:r>
        <w:t>Round 1: R1-01 through R1-04 fixed - AI-authored PowerShell is scanned before staging and execution, the elevated playbook gate fails closed on unsafe ACLs, and the dormant sniffer no longer starts on import or sends cleartext geolocation requests.</w:t>
      </w:r>
    </w:p>
    <w:p>
      <w:pPr>
        <w:pStyle w:val="ListBullet"/>
      </w:pPr>
      <w:r>
        <w:t>Round 2: R2-01, R2-03, and R2-04 fixed - hostile Authenticode paths remain data, event HMACs cover and persist complete details with verification on read, and MCP SSE/POST handling is concurrent and bounded. R2-02 is deferred for a versioned mutual-authentication and encrypted-channel migration.</w:t>
      </w:r>
    </w:p>
    <w:p>
      <w:pPr>
        <w:pStyle w:val="ListBullet"/>
      </w:pPr>
      <w:r>
        <w:t>Round 3: R3-03 and R3-04 fixed - generated containment uses a strict firewall-command allow-list plus a final PowerShell AST gate, and generated YARA must compile before atomic activation with last-known-good preservation. R3-01 and R3-02 remain deferred; malformed existing ledger keys now fail closed as partial hardening.</w:t>
      </w:r>
    </w:p>
    <w:p>
      <w:pPr>
        <w:pStyle w:val="ListBullet"/>
      </w:pPr>
      <w:r>
        <w:t>Defensive additions, not vulnerability closures: Evidence Lattice Fusion (ELAT) promotes corroborated structured MEDIUM evidence to an explainable HIGH event; Telemetry Expectation Contracts (TECT) now make DRILL require an exact ETW/EID 4688 echo rather than accepting its own announcement.</w:t>
      </w:r>
    </w:p>
    <w:p>
      <w:pPr>
        <w:pStyle w:val="Heading2"/>
      </w:pPr>
      <w:r>
        <w:t>Validation and remaining work</w:t>
      </w:r>
    </w:p>
    <w:p>
      <w:pPr>
        <w:pStyle w:val="ListBullet"/>
      </w:pPr>
      <w:r>
        <w:t>Release gates passed: 177/177 Python files compiled; 62/62 module files imported; 61 modules discovered with zero errors or duplicate codes; the full self-check passed 26/26 phases with zero failures.</w:t>
      </w:r>
    </w:p>
    <w:p>
      <w:pPr>
        <w:pStyle w:val="ListBullet"/>
      </w:pPr>
      <w:r>
        <w:t>Deferred security boundaries: Remote Bridge mutual authentication plus AEAD/mTLS (R2-02), an Administrator-owned packaged runtime and plug-in trust root (R3-01), and privileged/non-exportable ledger-key custody (R3-02). Broad PowerShell execution centralization (A-06) also remains open.</w:t>
      </w:r>
    </w:p>
    <w:p>
      <w:pPr>
        <w:pStyle w:val="ListBullet"/>
      </w:pPr>
      <w:r>
        <w:t>Proposed, not shipped: detector reuse of the shared connection cache, a global MCP request-worker cap, bounded reverse/indexed Evolution-feed lookup, isolated counterfactual replay, offline telemetry-failure mutation, keyed causal-ledger checkpoints, and local novelty sketches.</w:t>
      </w:r>
    </w:p>
    <w:p>
      <w:r>
        <w:br w:type="page"/>
      </w:r>
    </w:p>
    <w:p>
      <w:pPr>
        <w:pStyle w:val="Heading1"/>
      </w:pPr>
      <w:r>
        <w:t>9. Cycle 2 Security Reassessment — v1.8.0</w:t>
      </w:r>
    </w:p>
    <w:p>
      <w:r>
        <w:t>Ten new findings were established across the three Cycle 2 red-team passes. Six were MEDIUM active reliability/security weaknesses and four were LOW dormant or opt-in boundary weaknesses. Every finding was remediated; the final round found no new MEDIUM, HIGH, or CRITICAL issue. This is an internal code and diagnostic review, not an external penetration test.</w:t>
      </w:r>
    </w:p>
    <w:p>
      <w:pPr>
        <w:pStyle w:val="Heading2"/>
      </w:pPr>
      <w:r>
        <w:t>Closed findings</w:t>
      </w:r>
    </w:p>
    <w:p>
      <w:pPr>
        <w:pStyle w:val="ListBullet"/>
      </w:pPr>
      <w:r>
        <w:t>C2-R1-01 through C2-R1-05: path-aware trust, deterministic AAR evidence, severity-aware bounded retention, scoped emergency shutdown, and fail-closed ARIA disabled state.</w:t>
      </w:r>
    </w:p>
    <w:p>
      <w:pPr>
        <w:pStyle w:val="ListBullet"/>
      </w:pPr>
      <w:r>
        <w:t>C2-R2-01 through C2-R2-04: reliable drill cancellation, strict shutdown ownership, immutable ARIA action binding, and confirmed browser/indicator egress.</w:t>
      </w:r>
    </w:p>
    <w:p>
      <w:pPr>
        <w:pStyle w:val="ListBullet"/>
      </w:pPr>
      <w:r>
        <w:t>C2-R3-01: full 128-bit collision-safe confirmation tokens plus atomic pending/tool-registry state; user callbacks and shadow evaluation remain outside the lock.</w:t>
      </w:r>
    </w:p>
    <w:p>
      <w:pPr>
        <w:pStyle w:val="ListBullet"/>
      </w:pPr>
      <w:r>
        <w:t>Performance follow-up: a valid 21:39:50 5.4-second GUI/storage-lock stall was closed with committed revision tracking and immediate-only interactive reads.</w:t>
      </w:r>
    </w:p>
    <w:p>
      <w:pPr>
        <w:pStyle w:val="Heading2"/>
      </w:pPr>
      <w:r>
        <w:t>Implemented versus experimental</w:t>
      </w:r>
    </w:p>
    <w:p>
      <w:r>
        <w:t>The Response Safety Kernel in core/action_policy.py is implemented only as a bounded, digest-only shadow evaluator attached to an already-staged ARIA WRITE preview. Its ALLOW/DENY value is experimental data, not authorization. Confirmation, callback execution, SOAR, Resolve Center, drill remediation, shutdown, process trust, and storage never consume or branch on the shadow result. Production promotion, policy loading/editing, durable shadow receipts, Sensor Cells, Collective Baseline Exchange, Lifecycle Epoch Ledger, and Shadow Differential Review remain proposed and require separate operator approval.</w:t>
      </w:r>
    </w:p>
    <w:p>
      <w:pPr>
        <w:pStyle w:val="Heading2"/>
      </w:pPr>
      <w:r>
        <w:t>Final verification</w:t>
      </w:r>
    </w:p>
    <w:p>
      <w:pPr>
        <w:pStyle w:val="ListBullet"/>
      </w:pPr>
      <w:r>
        <w:t>Complete-tree compile: 205/205 Python files; production-package compile: 195/195.</w:t>
      </w:r>
    </w:p>
    <w:p>
      <w:pPr>
        <w:pStyle w:val="ListBullet"/>
      </w:pPr>
      <w:r>
        <w:t>Module integrity: 62/62 module files imported; 61/61 modules constructed and discovered; no duplicate names or non-empty codes.</w:t>
      </w:r>
    </w:p>
    <w:p>
      <w:pPr>
        <w:pStyle w:val="ListBullet"/>
      </w:pPr>
      <w:r>
        <w:t>Behavioral gates: 24/24 focused regressions; 12/12 ARIA and research self-tests; Response Safety Kernel self-test passed.</w:t>
      </w:r>
    </w:p>
    <w:p>
      <w:pPr>
        <w:pStyle w:val="ListBullet"/>
      </w:pPr>
      <w:r>
        <w:t>Full application self-check: 26/26 phases. Raw module diagnostics: 47 pass, 15 expected stopped/idle/optional-Ollama skips, 0 genuine failures.</w:t>
      </w:r>
    </w:p>
    <w:p>
      <w:pPr>
        <w:pStyle w:val="Heading2"/>
      </w:pPr>
      <w:r>
        <w:t>Residual risk and deferred work</w:t>
      </w:r>
    </w:p>
    <w:p>
      <w:pPr>
        <w:pStyle w:val="ListBullet"/>
      </w:pPr>
      <w:r>
        <w:t>The Response Safety Kernel has no production authority; promotion requires a separate policy-lifecycle, adapter, rollback, identity, audit, soak, and operator-approval program.</w:t>
      </w:r>
    </w:p>
    <w:p>
      <w:pPr>
        <w:pStyle w:val="ListBullet"/>
      </w:pPr>
      <w:r>
        <w:t>Prior deferred boundaries remain: Remote Bridge mutual authentication plus encrypted transport, an Administrator/SYSTEM-owned packaged trust root, privileged/non-exportable ledger-key custody, and centralized PowerShell execution policy.</w:t>
      </w:r>
    </w:p>
    <w:p>
      <w:pPr>
        <w:pStyle w:val="ListBullet"/>
      </w:pPr>
      <w:r>
        <w:t>Certificate/hash-bound process trust, a signed cold-evidence tier, and persisted PID/start-time ownership remain future hardening, not current guarantees.</w:t>
      </w:r>
    </w:p>
    <w:p>
      <w:r>
        <w:br w:type="page"/>
      </w:r>
    </w:p>
    <w:p>
      <w:r>
        <w:rPr>
          <w:b/>
          <w:sz w:val="36"/>
        </w:rPr>
        <w:t>v1.9.3 Cycle 3 Public-Release Update</w:t>
      </w:r>
    </w:p>
    <w:p>
      <w:r>
        <w:t>Validated 2026-07-19 through three focused rounds covering security and privacy, correctness and remediation, and sustained performance/UI behavior.</w:t>
      </w:r>
    </w:p>
    <w:p>
      <w:r>
        <w:t>• Public-release controls: DPAPI-backed secret storage, default-off sanitized cloud escalation, bounded/redacted incident bundles, and strict connector authentication.</w:t>
      </w:r>
    </w:p>
    <w:p>
      <w:r>
        <w:t>• Remote Bridge now uses mutual authentication and AES-GCM; Teams identity checks use immutable sender IDs; SIEM transport rejects insecure remote delivery.</w:t>
      </w:r>
    </w:p>
    <w:p>
      <w:r>
        <w:t>• Current-tree privacy review removed workstation paths, live telemetry screenshots, bundled native binaries, and personal metadata. Git history still requires a separate owner-approved audit or clean publication repository.</w:t>
      </w:r>
    </w:p>
    <w:p>
      <w:r>
        <w:t>Verification baseline: 57 automated tests passed with one platform-specific skip; the product self-check completed 26/26 gates and ARIA completed 13/13 checks.</w:t>
      </w:r>
    </w:p>
    <w:p>
      <w:r>
        <w:br w:type="page"/>
      </w:r>
    </w:p>
    <w:p>
      <w:r>
        <w:rPr>
          <w:b/>
          <w:sz w:val="36"/>
        </w:rPr>
        <w:t>v1.9.3 Final Installer and Publication Gate</w:t>
      </w:r>
    </w:p>
    <w:p>
      <w:r>
        <w:t>• The recommended GitHub release is now a one-click protected install: it re-verifies both one-file executables, installs them under %ProgramFiles%\Angerona, creates the supported shortcut, and defaults mutable state to protected D:\AngeronaData on a fixed D: volume, with protected %ProgramData%\Angerona only when D: is unavailable. Legacy per-user C: spill is migrated collision-safely.</w:t>
      </w:r>
    </w:p>
    <w:p>
      <w:r>
        <w:t>• The Black Box is built first and its SHA-256 is embedded in Angerona.exe. Frozen launch requires the same protected root, non-writable ACLs, no reparse points, and an exact digest match. The verified offline speech model and ARIA documentation are bundled.</w:t>
      </w:r>
    </w:p>
    <w:p>
      <w:r>
        <w:t>• The full CPython 3.12 Windows release/tool dependency closure is pinned. Contributor source setup rejects an untrusted pre-existing virtual environment and only accepts Authenticode-valid official Python/Ollama executables. The public tree uses synthetic demo telemetry and contains no personal workstation identity or paths.</w:t>
      </w:r>
    </w:p>
    <w:p>
      <w:r>
        <w:t>• Verification: 63 modules discovered; 57 automated tests passed with one platform skip; product self-check 26/26; ARIA 13/13. Current files are privacy-clean, but Git history still requires an explicit owner-approved rewrite or clean-repository publication before going public. Builds remain unsigned until an Authenticode certificate is supplied.</w:t>
      </w:r>
    </w:p>
    <w:p>
      <w:r>
        <w:br w:type="page"/>
      </w:r>
    </w:p>
    <w:p>
      <w:pPr>
        <w:pStyle w:val="Heading1"/>
        <w:keepNext/>
      </w:pPr>
      <w:r>
        <w:t>Cycle 4 Security and Privacy Reassessment — v1.9.4</w:t>
      </w:r>
    </w:p>
    <w:p>
      <w:pPr>
        <w:keepNext/>
      </w:pPr>
      <w:r>
        <w:t>Integrated verification after remediation; local static/dynamic review, not an external penetration test.</w:t>
      </w:r>
    </w:p>
    <w:p>
      <w:pPr>
        <w:pStyle w:val="Heading2"/>
        <w:keepNext/>
      </w:pPr>
      <w:r>
        <w:t>Executive conclusion</w:t>
      </w:r>
    </w:p>
    <w:p>
      <w:r>
        <w:t>The new functional findings in cloud alert analysis and AAR trust were closed and regression-tested. Automated drill response is more narrowly scoped, failed response events no longer overstate remediation, runtime writes remain under the configured D-drive data root, and the long-session Qt/worker lifecycle is materially safer.</w:t>
      </w:r>
    </w:p>
    <w:tbl>
      <w:tblPr>
        <w:tblStyle w:val="TableGrid"/>
        <w:tblW w:type="auto" w:w="0"/>
        <w:tblLook w:firstColumn="1" w:firstRow="1" w:lastColumn="0" w:lastRow="0" w:noHBand="0" w:noVBand="1" w:val="04A0"/>
      </w:tblPr>
      <w:tblGrid>
        <w:gridCol w:w="2880"/>
        <w:gridCol w:w="2880"/>
        <w:gridCol w:w="2880"/>
      </w:tblGrid>
      <w:tr>
        <w:trPr>
          <w:tblHeader w:val="true"/>
          <w:cantSplit/>
        </w:trPr>
        <w:tc>
          <w:tcPr>
            <w:tcW w:type="dxa" w:w="2880"/>
          </w:tcPr>
          <w:p>
            <w:r>
              <w:rPr>
                <w:b/>
              </w:rPr>
              <w:t>Control</w:t>
            </w:r>
          </w:p>
        </w:tc>
        <w:tc>
          <w:tcPr>
            <w:tcW w:type="dxa" w:w="2880"/>
          </w:tcPr>
          <w:p>
            <w:r>
              <w:rPr>
                <w:b/>
              </w:rPr>
              <w:t>Result</w:t>
            </w:r>
          </w:p>
        </w:tc>
        <w:tc>
          <w:tcPr>
            <w:tcW w:type="dxa" w:w="2880"/>
          </w:tcPr>
          <w:p>
            <w:r>
              <w:rPr>
                <w:b/>
              </w:rPr>
              <w:t>Evidence</w:t>
            </w:r>
          </w:p>
        </w:tc>
      </w:tr>
      <w:tr>
        <w:trPr>
          <w:cantSplit/>
        </w:trPr>
        <w:tc>
          <w:tcPr>
            <w:tcW w:type="dxa" w:w="2880"/>
          </w:tcPr>
          <w:p>
            <w:r>
              <w:t>Default-local alert analysis</w:t>
            </w:r>
          </w:p>
        </w:tc>
        <w:tc>
          <w:tcPr>
            <w:tcW w:type="dxa" w:w="2880"/>
          </w:tcPr>
          <w:p>
            <w:r>
              <w:t>PASS</w:t>
            </w:r>
          </w:p>
        </w:tc>
        <w:tc>
          <w:tcPr>
            <w:tcW w:type="dxa" w:w="2880"/>
          </w:tcPr>
          <w:p>
            <w:r>
              <w:t>Separate default-off consent and provider-boundary gate</w:t>
            </w:r>
          </w:p>
        </w:tc>
      </w:tr>
      <w:tr>
        <w:trPr>
          <w:cantSplit/>
        </w:trPr>
        <w:tc>
          <w:tcPr>
            <w:tcW w:type="dxa" w:w="2880"/>
          </w:tcPr>
          <w:p>
            <w:r>
              <w:t>Cloud payload privacy</w:t>
            </w:r>
          </w:p>
        </w:tc>
        <w:tc>
          <w:tcPr>
            <w:tcW w:type="dxa" w:w="2880"/>
          </w:tcPr>
          <w:p>
            <w:r>
              <w:t>PASS</w:t>
            </w:r>
          </w:p>
        </w:tc>
        <w:tc>
          <w:tcPr>
            <w:tcW w:type="dxa" w:w="2880"/>
          </w:tcPr>
          <w:p>
            <w:r>
              <w:t>Recursive sensitive-key redaction plus string/container/depth/node/prompt budgets</w:t>
            </w:r>
          </w:p>
        </w:tc>
      </w:tr>
      <w:tr>
        <w:trPr>
          <w:cantSplit/>
        </w:trPr>
        <w:tc>
          <w:tcPr>
            <w:tcW w:type="dxa" w:w="2880"/>
          </w:tcPr>
          <w:p>
            <w:r>
              <w:t>AAR authenticity</w:t>
            </w:r>
          </w:p>
        </w:tc>
        <w:tc>
          <w:tcPr>
            <w:tcW w:type="dxa" w:w="2880"/>
          </w:tcPr>
          <w:p>
            <w:r>
              <w:t>PASS</w:t>
            </w:r>
          </w:p>
        </w:tc>
        <w:tc>
          <w:tcPr>
            <w:tcW w:type="dxa" w:w="2880"/>
          </w:tcPr>
          <w:p>
            <w:r>
              <w:t>Unsigned, tampered, verifier-error, and manual-bypass regressions</w:t>
            </w:r>
          </w:p>
        </w:tc>
      </w:tr>
      <w:tr>
        <w:trPr>
          <w:cantSplit/>
        </w:trPr>
        <w:tc>
          <w:tcPr>
            <w:tcW w:type="dxa" w:w="2880"/>
          </w:tcPr>
          <w:p>
            <w:r>
              <w:t>Drill response containment</w:t>
            </w:r>
          </w:p>
        </w:tc>
        <w:tc>
          <w:tcPr>
            <w:tcW w:type="dxa" w:w="2880"/>
          </w:tcPr>
          <w:p>
            <w:r>
              <w:t>PASS</w:t>
            </w:r>
          </w:p>
        </w:tc>
        <w:tc>
          <w:tcPr>
            <w:tcW w:type="dxa" w:w="2880"/>
          </w:tcPr>
          <w:p>
            <w:r>
              <w:t>Recognized drill artifacts/tagged processes inside explicit scope only</w:t>
            </w:r>
          </w:p>
        </w:tc>
      </w:tr>
      <w:tr>
        <w:trPr>
          <w:cantSplit/>
        </w:trPr>
        <w:tc>
          <w:tcPr>
            <w:tcW w:type="dxa" w:w="2880"/>
          </w:tcPr>
          <w:p>
            <w:r>
              <w:t>Long-session worker safety</w:t>
            </w:r>
          </w:p>
        </w:tc>
        <w:tc>
          <w:tcPr>
            <w:tcW w:type="dxa" w:w="2880"/>
          </w:tcPr>
          <w:p>
            <w:r>
              <w:t>PASS</w:t>
            </w:r>
          </w:p>
        </w:tc>
        <w:tc>
          <w:tcPr>
            <w:tcW w:type="dxa" w:w="2880"/>
          </w:tcPr>
          <w:p>
            <w:r>
              <w:t>Single Top Talkers worker; bounded Scapy generation shutdown</w:t>
            </w:r>
          </w:p>
        </w:tc>
      </w:tr>
      <w:tr>
        <w:trPr>
          <w:cantSplit/>
        </w:trPr>
        <w:tc>
          <w:tcPr>
            <w:tcW w:type="dxa" w:w="2880"/>
          </w:tcPr>
          <w:p>
            <w:r>
              <w:t>Core/module restart safety</w:t>
            </w:r>
          </w:p>
        </w:tc>
        <w:tc>
          <w:tcPr>
            <w:tcW w:type="dxa" w:w="2880"/>
          </w:tcPr>
          <w:p>
            <w:r>
              <w:t>PASS</w:t>
            </w:r>
          </w:p>
        </w:tc>
        <w:tc>
          <w:tcPr>
            <w:tcW w:type="dxa" w:w="2880"/>
          </w:tcPr>
          <w:p>
            <w:r>
              <w:t>Authenticated watchdog Core control; adopted-process identity validation; join-aware generation retirement</w:t>
            </w:r>
          </w:p>
        </w:tc>
      </w:tr>
      <w:tr>
        <w:trPr>
          <w:cantSplit/>
        </w:trPr>
        <w:tc>
          <w:tcPr>
            <w:tcW w:type="dxa" w:w="2880"/>
          </w:tcPr>
          <w:p>
            <w:r>
              <w:t>Long-session state bounds</w:t>
            </w:r>
          </w:p>
        </w:tc>
        <w:tc>
          <w:tcPr>
            <w:tcW w:type="dxa" w:w="2880"/>
          </w:tcPr>
          <w:p>
            <w:r>
              <w:t>PASS</w:t>
            </w:r>
          </w:p>
        </w:tc>
        <w:tc>
          <w:tcPr>
            <w:tcW w:type="dxa" w:w="2880"/>
          </w:tcPr>
          <w:p>
            <w:r>
              <w:t>Network socket/PID, forensics capture, and HEAL filename state pruning</w:t>
            </w:r>
          </w:p>
        </w:tc>
      </w:tr>
      <w:tr>
        <w:trPr>
          <w:cantSplit/>
        </w:trPr>
        <w:tc>
          <w:tcPr>
            <w:tcW w:type="dxa" w:w="2880"/>
          </w:tcPr>
          <w:p>
            <w:r>
              <w:t>Tracked runtime/privacy artifacts</w:t>
            </w:r>
          </w:p>
        </w:tc>
        <w:tc>
          <w:tcPr>
            <w:tcW w:type="dxa" w:w="2880"/>
          </w:tcPr>
          <w:p>
            <w:r>
              <w:t>PASS current tree</w:t>
            </w:r>
          </w:p>
        </w:tc>
        <w:tc>
          <w:tcPr>
            <w:tcW w:type="dxa" w:w="2880"/>
          </w:tcPr>
          <w:p>
            <w:r>
              <w:t>No tracked databases, runtime-data, settings, secrets, or raw operator screenshots</w:t>
            </w:r>
          </w:p>
        </w:tc>
      </w:tr>
      <w:tr>
        <w:trPr>
          <w:cantSplit/>
        </w:trPr>
        <w:tc>
          <w:tcPr>
            <w:tcW w:type="dxa" w:w="2880"/>
          </w:tcPr>
          <w:p>
            <w:r>
              <w:t>External extension trust</w:t>
            </w:r>
          </w:p>
        </w:tc>
        <w:tc>
          <w:tcPr>
            <w:tcW w:type="dxa" w:w="2880"/>
          </w:tcPr>
          <w:p>
            <w:r>
              <w:t>PASS</w:t>
            </w:r>
          </w:p>
        </w:tc>
        <w:tc>
          <w:tcPr>
            <w:tcW w:type="dxa" w:w="2880"/>
          </w:tcPr>
          <w:p>
            <w:r>
              <w:t>Detached Capability Manifest v1, exact source hash, trusted Ed25519 publisher, rejection before import</w:t>
            </w:r>
          </w:p>
        </w:tc>
      </w:tr>
      <w:tr>
        <w:trPr>
          <w:cantSplit/>
        </w:trPr>
        <w:tc>
          <w:tcPr>
            <w:tcW w:type="dxa" w:w="2880"/>
          </w:tcPr>
          <w:p>
            <w:r>
              <w:t>Remediation proof integrity</w:t>
            </w:r>
          </w:p>
        </w:tc>
        <w:tc>
          <w:tcPr>
            <w:tcW w:type="dxa" w:w="2880"/>
          </w:tcPr>
          <w:p>
            <w:r>
              <w:t>PASS local boundary</w:t>
            </w:r>
          </w:p>
        </w:tc>
        <w:tc>
          <w:tcPr>
            <w:tcW w:type="dxa" w:w="2880"/>
          </w:tcPr>
          <w:p>
            <w:r>
              <w:t>Canonical record digest, passed-postcondition requirement, HMAC predecessor chain, retention checkpoint</w:t>
            </w:r>
          </w:p>
        </w:tc>
      </w:tr>
      <w:tr>
        <w:trPr>
          <w:cantSplit/>
        </w:trPr>
        <w:tc>
          <w:tcPr>
            <w:tcW w:type="dxa" w:w="2880"/>
          </w:tcPr>
          <w:p>
            <w:r>
              <w:t>Causal reasoning safety</w:t>
            </w:r>
          </w:p>
        </w:tc>
        <w:tc>
          <w:tcPr>
            <w:tcW w:type="dxa" w:w="2880"/>
          </w:tcPr>
          <w:p>
            <w:r>
              <w:t>PASS</w:t>
            </w:r>
          </w:p>
        </w:tc>
        <w:tc>
          <w:tcPr>
            <w:tcW w:type="dxa" w:w="2880"/>
          </w:tcPr>
          <w:p>
            <w:r>
              <w:t>Bounded read-side graph, PID-generation separation, typed/based/confident edges, no response authority</w:t>
            </w:r>
          </w:p>
        </w:tc>
      </w:tr>
      <w:tr>
        <w:trPr>
          <w:cantSplit/>
        </w:trPr>
        <w:tc>
          <w:tcPr>
            <w:tcW w:type="dxa" w:w="2880"/>
          </w:tcPr>
          <w:p>
            <w:r>
              <w:t>Enterprise readiness truthfulness</w:t>
            </w:r>
          </w:p>
        </w:tc>
        <w:tc>
          <w:tcPr>
            <w:tcW w:type="dxa" w:w="2880"/>
          </w:tcPr>
          <w:p>
            <w:r>
              <w:t>PASS</w:t>
            </w:r>
          </w:p>
        </w:tc>
        <w:tc>
          <w:tcPr>
            <w:tcW w:type="dxa" w:w="2880"/>
          </w:tcPr>
          <w:p>
            <w:r>
              <w:t>Settings/console/MCP show demonstrated local controls and explicit fleet/RBAC/HA gaps</w:t>
            </w:r>
          </w:p>
        </w:tc>
      </w:tr>
      <w:tr>
        <w:trPr>
          <w:cantSplit/>
        </w:trPr>
        <w:tc>
          <w:tcPr>
            <w:tcW w:type="dxa" w:w="2880"/>
          </w:tcPr>
          <w:p>
            <w:r>
              <w:t>Release publisher identity</w:t>
            </w:r>
          </w:p>
        </w:tc>
        <w:tc>
          <w:tcPr>
            <w:tcW w:type="dxa" w:w="2880"/>
          </w:tcPr>
          <w:p>
            <w:r>
              <w:t>RESIDUAL</w:t>
            </w:r>
          </w:p>
        </w:tc>
        <w:tc>
          <w:tcPr>
            <w:tcW w:type="dxa" w:w="2880"/>
          </w:tcPr>
          <w:p>
            <w:r>
              <w:t>Checksums/SBOM/provenance exist; Authenticode publisher signature does not</w:t>
            </w:r>
          </w:p>
        </w:tc>
      </w:tr>
      <w:tr>
        <w:trPr>
          <w:cantSplit/>
        </w:trPr>
        <w:tc>
          <w:tcPr>
            <w:tcW w:type="dxa" w:w="2880"/>
          </w:tcPr>
          <w:p>
            <w:r>
              <w:t>Historical commit identity</w:t>
            </w:r>
          </w:p>
        </w:tc>
        <w:tc>
          <w:tcPr>
            <w:tcW w:type="dxa" w:w="2880"/>
          </w:tcPr>
          <w:p>
            <w:r>
              <w:t>RESIDUAL</w:t>
            </w:r>
          </w:p>
        </w:tc>
        <w:tc>
          <w:tcPr>
            <w:tcW w:type="dxa" w:w="2880"/>
          </w:tcPr>
          <w:p>
            <w:r>
              <w:t>Future noreply configured; existing commit metadata not rewritten</w:t>
            </w:r>
          </w:p>
        </w:tc>
      </w:tr>
      <w:tr>
        <w:trPr>
          <w:cantSplit/>
        </w:trPr>
        <w:tc>
          <w:tcPr>
            <w:tcW w:type="dxa" w:w="2880"/>
          </w:tcPr>
          <w:p>
            <w:r>
              <w:t>Fleet control plane</w:t>
            </w:r>
          </w:p>
        </w:tc>
        <w:tc>
          <w:tcPr>
            <w:tcW w:type="dxa" w:w="2880"/>
          </w:tcPr>
          <w:p>
            <w:r>
              <w:t>RESIDUAL</w:t>
            </w:r>
          </w:p>
        </w:tc>
        <w:tc>
          <w:tcPr>
            <w:tcW w:type="dxa" w:w="2880"/>
          </w:tcPr>
          <w:p>
            <w:r>
              <w:t>No endpoint mTLS enrollment, organization RBAC/audit, signed central policy, fleet search/storage, HA, or case management</w:t>
            </w:r>
          </w:p>
        </w:tc>
      </w:tr>
      <w:tr>
        <w:trPr>
          <w:cantSplit/>
        </w:trPr>
        <w:tc>
          <w:tcPr>
            <w:tcW w:type="dxa" w:w="2880"/>
          </w:tcPr>
          <w:p>
            <w:r>
              <w:t>Extension/AI OS isolation</w:t>
            </w:r>
          </w:p>
        </w:tc>
        <w:tc>
          <w:tcPr>
            <w:tcW w:type="dxa" w:w="2880"/>
          </w:tcPr>
          <w:p>
            <w:r>
              <w:t>RESIDUAL</w:t>
            </w:r>
          </w:p>
        </w:tc>
        <w:tc>
          <w:tcPr>
            <w:tcW w:type="dxa" w:w="2880"/>
          </w:tcPr>
          <w:p>
            <w:r>
              <w:t>Manifest permissions are an auditable contract, not an AppContainer/restricted-token enforcement boundary</w:t>
            </w:r>
          </w:p>
        </w:tc>
      </w:tr>
    </w:tbl>
    <w:p>
      <w:pPr>
        <w:pStyle w:val="Heading2"/>
        <w:keepNext/>
      </w:pPr>
      <w:r>
        <w:t>Public-release guidance</w:t>
      </w:r>
    </w:p>
    <w:p>
      <w:pPr>
        <w:pStyle w:val="ListBullet"/>
      </w:pPr>
      <w:r>
        <w:t>Publish from a reviewed release tag and verify every staged file. Keep operational telemetry and credentials outside Git.</w:t>
      </w:r>
    </w:p>
    <w:p>
      <w:pPr>
        <w:pStyle w:val="ListBullet"/>
      </w:pPr>
      <w:r>
        <w:t>Do not describe current unsigned binaries as publisher-authenticated. State the Unknown Publisher limitation until signing is deployed.</w:t>
      </w:r>
    </w:p>
    <w:p>
      <w:pPr>
        <w:pStyle w:val="ListBullet"/>
      </w:pPr>
      <w:r>
        <w:t>Treat cloud alert analysis as a separate consent surface from ARIA conversation. The two toggles must remain independent.</w:t>
      </w:r>
    </w:p>
    <w:p>
      <w:pPr>
        <w:pStyle w:val="ListBullet"/>
      </w:pPr>
      <w:r>
        <w:t>If history is retained, rewrite or replace commits containing personal author metadata before public exposure and coordinate the resulting force-push.</w:t>
      </w:r>
    </w:p>
    <w:p>
      <w:pPr>
        <w:pStyle w:val="ListBullet"/>
      </w:pPr>
      <w:r>
        <w:t>Describe Capability Manifest v1 as pre-import authenticity/integrity and disclosure enforcement, not as an operating-system sandbox.</w:t>
      </w:r>
    </w:p>
    <w:p>
      <w:pPr>
        <w:pStyle w:val="ListBullet"/>
      </w:pPr>
      <w:r>
        <w:t>Do not describe the local readiness score as fleet certification; the report explicitly records the missing control-plane capabilities.</w:t>
      </w:r>
    </w:p>
    <w:p>
      <w:pPr>
        <w:pStyle w:val="Heading2"/>
        <w:keepNext/>
      </w:pPr>
      <w:r>
        <w:t>Verification</w:t>
      </w:r>
    </w:p>
    <w:p>
      <w:r>
        <w:t>Repository pytest: 133 passed, 1 skipped. Headless self-check: 26/26 PASS. ARIA self-tests: 13/13 PASS. Cycle 4 focused regression gate: 49/49 PASS. Python compile and diff checks: PASS. Auto-discovery remains 63 modules. Synthetic 100,000-event causal graph: 2.958 seconds (29.58 microseconds per input event), 1,000 retained events, 2,500-node cap respected, approximately 3.81 MiB RSS added.</w:t>
      </w:r>
    </w:p>
    <w:p>
      <w:pPr>
        <w:pStyle w:val="Heading1"/>
      </w:pPr>
      <w:r>
        <w:t>Loop remediation — 2026-08-24</w:t>
      </w:r>
    </w:p>
    <w:p>
      <w:r>
        <w:t>Scope: the new Adaption / Adapt to Host service, dashboard workbench, Windows Firewall mutation boundary, context automation, exception and feedback logic, rollback, and performance path. This was one combined bug, adversary, remediation, performance, and visionary loop; no external penetration test or real elevated firewall mutation was performed.</w:t>
      </w:r>
    </w:p>
    <w:p>
      <w:pPr>
        <w:pStyle w:val="Heading2"/>
      </w:pPr>
      <w:r>
        <w:t>Findings found and fixed</w:t>
      </w:r>
    </w:p>
    <w:p>
      <w:pPr>
        <w:pStyle w:val="ListBullet"/>
      </w:pPr>
      <w:r>
        <w:t>R8-RT-01 (Medium) — stale automation authority: fixed with monotonic state revisions, compare-and-swap updates, a single-flight transaction, fresh context checks, and final pre-execution authorization.</w:t>
      </w:r>
    </w:p>
    <w:p>
      <w:pPr>
        <w:pStyle w:val="ListBullet"/>
      </w:pPr>
      <w:r>
        <w:t>R8-RT-02 (Medium) — command success without effective-state proof: fixed with explicit Firewall ActiveStore collection, exact apply postconditions, automatic verified recovery, and restore postconditions.</w:t>
      </w:r>
    </w:p>
    <w:p>
      <w:pPr>
        <w:pStyle w:val="ListBullet"/>
      </w:pPr>
      <w:r>
        <w:t>R8-RT-03 (Medium) — over-broad exceptions and feedback: fixed with exact before/after finding fingerprints, one-shot labels, three distinct reviewed findings before tuning, and a 0.75 weight floor.</w:t>
      </w:r>
    </w:p>
    <w:p>
      <w:pPr>
        <w:pStyle w:val="ListBullet"/>
      </w:pPr>
      <w:r>
        <w:t>R8-RT-04 (Medium) — weaker context precedence: fixed with strongest-posture ordering, conservative Public-network detection across all active adapters, and refusal of automatic relaxation.</w:t>
      </w:r>
    </w:p>
    <w:p>
      <w:pPr>
        <w:pStyle w:val="ListBullet"/>
      </w:pPr>
      <w:r>
        <w:t>R8-RT-05 (Medium) — incomplete collector authority: fixed with explicit quality metadata, privacy-minimized service/listener identity, effective firewall profiles, and a bounded rule inventory; incomplete categories are not scored as healthy.</w:t>
      </w:r>
    </w:p>
    <w:p>
      <w:pPr>
        <w:pStyle w:val="ListBullet"/>
      </w:pPr>
      <w:r>
        <w:t>R8-BT-01 through R8-BT-03 — context re-entry, simultaneous Public-network classification, and batch selfcheck exit-code propagation were found and fixed.</w:t>
      </w:r>
    </w:p>
    <w:p>
      <w:pPr>
        <w:pStyle w:val="Heading2"/>
      </w:pPr>
      <w:r>
        <w:t>Mitigations and safety boundary</w:t>
      </w:r>
    </w:p>
    <w:p>
      <w:pPr>
        <w:pStyle w:val="ListBullet"/>
      </w:pPr>
      <w:r>
        <w:t>Balanced, Public Network, and Emergency Lockdown remain a closed firewall-only catalog. Plans are short-lived, host/precondition-bound, previewed exactly, and require exact approval; the sandbox is no-write.</w:t>
      </w:r>
    </w:p>
    <w:p>
      <w:pPr>
        <w:pStyle w:val="ListBullet"/>
      </w:pPr>
      <w:r>
        <w:t>Production apply requires a verified Windows Firewall export. Trusted absolute Windows tools and a sanitized child environment are used. Receipt failure or postcondition mismatch enters automatic recovery.</w:t>
      </w:r>
    </w:p>
    <w:p>
      <w:pPr>
        <w:pStyle w:val="ListBullet"/>
      </w:pPr>
      <w:r>
        <w:t>Automation defaults to proposal-only. Separately armed auto-apply is revision-bound, serialized, context-revalidated, non-relaxing, and rate-limited by a persistent circuit breaker.</w:t>
      </w:r>
    </w:p>
    <w:p>
      <w:pPr>
        <w:pStyle w:val="Heading2"/>
      </w:pPr>
      <w:r>
        <w:t>Deferred and external</w:t>
      </w:r>
    </w:p>
    <w:p>
      <w:pPr>
        <w:pStyle w:val="ListBullet"/>
      </w:pPr>
      <w:r>
        <w:t>Deferred implementation depth: per-rule program/service/address/port firewall filter joins and executable signer/content-hash attestation for service binaries.</w:t>
      </w:r>
    </w:p>
    <w:p>
      <w:pPr>
        <w:pStyle w:val="ListBullet"/>
      </w:pPr>
      <w:r>
        <w:t>External acceptance: real elevated apply/rollback with connectivity-loss recovery and a physical simultaneous Public/Private/VPN topology.</w:t>
      </w:r>
    </w:p>
    <w:p>
      <w:pPr>
        <w:pStyle w:val="Heading2"/>
      </w:pPr>
      <w:r>
        <w:t>Verification</w:t>
      </w:r>
    </w:p>
    <w:p>
      <w:pPr>
        <w:pStyle w:val="ListBullet"/>
      </w:pPr>
      <w:r>
        <w:t>Focused host-adaptation/UI/performance set: 20/20 passed.</w:t>
      </w:r>
    </w:p>
    <w:p>
      <w:pPr>
        <w:pStyle w:val="ListBullet"/>
      </w:pPr>
      <w:r>
        <w:t>Full repository suite: 1077 passed, 3 intentional platform skips, 0 failed in 75.71 seconds.</w:t>
      </w:r>
    </w:p>
    <w:p>
      <w:pPr>
        <w:pStyle w:val="ListBullet"/>
      </w:pPr>
      <w:r>
        <w:t>Headless selfcheck: 26/26 passed.</w:t>
      </w:r>
    </w:p>
    <w:sectPr>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Angerona Security Assessment v1.10.1</dc:title>
  <dc:subject>Host Adaption improvement-loop security assessment</dc:subject>
  <dc:creator/>
  <cp:keywords>Angerona, EDR, NDR, SOAR, local-first, security</cp:keywords>
  <dc:description/>
  <cp:lastModifiedBy>Angerona documentation loop</cp:lastModifiedBy>
  <cp:revision>1</cp:revision>
  <dcterms:created xsi:type="dcterms:W3CDTF">2013-12-23T23:15:00Z</dcterms:created>
  <dcterms:modified xsi:type="dcterms:W3CDTF">2026-07-14T15:47:35Z</dcterms:modified>
  <cp:category/>
  <cp:version>1.10.1</cp:version>
</cp:coreProperties>
</file>