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rPr>
          <w:rFonts w:ascii="Calibri" w:hAnsi="Calibri"/>
          <w:i/>
          <w:color w:val="64748B"/>
          <w:sz w:val="21"/>
        </w:rPr>
        <w:t>Cycle 6 current-development edition  |  29 July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Fleet enrollment, organization RBAC/audit, centrally signed policy, cross-endpoint search/storage, HA, and case management remain future work.</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ListBullet"/>
      </w:pPr>
      <w:r>
        <w:t>The authenticated hunt workspace stores typed queries, bounded analyst notes, findings, decisions, and immutable result/evidence references with optimistic concurrency. It has no executable cells.</w:t>
      </w:r>
    </w:p>
    <w:p>
      <w:pPr>
        <w:pStyle w:val="ListBullet"/>
      </w:pPr>
      <w:r>
        <w:t>Sanitized notebook export redacts identities and paths, omits device tokens and raw artifacts, and excludes restricted results by default.</w:t>
      </w:r>
    </w:p>
    <w:p>
      <w:pPr>
        <w:pStyle w:val="Heading2"/>
      </w:pPr>
      <w:r>
        <w:t>Reliability and release evidence</w:t>
      </w:r>
    </w:p>
    <w:p>
      <w:pPr>
        <w:pStyle w:val="ListBullet"/>
      </w:pPr>
      <w:r>
        <w:t>A short bounded atomic-replacement retry tolerates temporary antivirus sharing locks on hunt state while persistent or unrelated failures remain visible.</w:t>
      </w:r>
    </w:p>
    <w:p>
      <w:pPr>
        <w:pStyle w:val="ListBullet"/>
      </w:pPr>
      <w:r>
        <w:t>Registered deterministic recovery drills enforce explicit retryable errors, attempt limits, delay caps, total time budgets, and content-addressed outcomes. Current fixtures cover transient database locks, collector outage, unknown errors, service restart, and dead letters.</w:t>
      </w:r>
    </w:p>
    <w:p>
      <w:pPr>
        <w:pStyle w:val="ListBullet"/>
      </w:pPr>
      <w:r>
        <w:t>The fixed local release gate runs serial tests, bytecode compilation, Ruff, dependency audit, and documentation drift without accepting operator-supplied commands or invoking a shell.</w:t>
      </w:r>
    </w:p>
    <w:p>
      <w:pPr>
        <w:pStyle w:val="ListBullet"/>
      </w:pPr>
      <w:r>
        <w:t>Its bounded evidence pack binds the complete source commit and source epoch to redacted summaries, command/output digests, limitations, and a canonical manifest digest. Publisher signing and long-duration physical-host soaks remain separate gates.</w:t>
      </w:r>
    </w:p>
    <w:p>
      <w:pPr>
        <w:pStyle w:val="Heading2"/>
      </w:pPr>
      <w:r>
        <w:t>Encrypted backup, restore, and audit export</w:t>
      </w:r>
    </w:p>
    <w:p>
      <w:pPr>
        <w:pStyle w:val="ListBullet"/>
      </w:pPr>
      <w:r>
        <w:t>Selected canonical data-root files and consistent SQLite snapshots stream into an Advanced Encryption Standard Galois/Counter Mode (AES-GCM) authenticated archive. Filenames, paths, manifests, and payloads remain inside the encrypted stream.</w:t>
      </w:r>
    </w:p>
    <w:p>
      <w:pPr>
        <w:pStyle w:val="ListBullet"/>
      </w:pPr>
      <w:r>
        <w:t>Backup rejects traversal, symlink or reparse-point input, an in-root archive destination, missing required data, byte overflow, wrong keys, tampering, and digest mismatch.</w:t>
      </w:r>
    </w:p>
    <w:p>
      <w:pPr>
        <w:pStyle w:val="ListBullet"/>
      </w:pPr>
      <w:r>
        <w:t>Restore is planned separately and binds the exact archive, target, manifest, item list, requester, and expiry. It requires Angerona offline plus two distinct non-requester approvals, stages every item, and retains replaced files in a rollback scope.</w:t>
      </w:r>
    </w:p>
    <w:p>
      <w:pPr>
        <w:pStyle w:val="ListBullet"/>
      </w:pPr>
      <w:r>
        <w:t>An interrupted replacement restores the previous file. Protected key recovery, scheduling, retention, and full disaster-recovery exercises remain operational gates.</w:t>
      </w:r>
    </w:p>
    <w:p>
      <w:pPr>
        <w:pStyle w:val="ListBullet"/>
      </w:pPr>
      <w:r>
        <w:t>Audit export filters an exact tenant, scope, inclusive time range and record limit. Restricted fields are removed, sensitive values and actors are tokenized, free text is redacted, and truncation is explicit.</w:t>
      </w:r>
    </w:p>
    <w:p>
      <w:pPr>
        <w:pStyle w:val="ListBullet"/>
      </w:pPr>
      <w:r>
        <w:t>Exported audit records form a cryptographic custody chain; an HMAC-authenticated manifest binds the chain head, record digest, scope, time range, privacy policy, and requester token.</w:t>
      </w:r>
    </w:p>
    <w:p>
      <w:pPr>
        <w:pStyle w:val="Heading2"/>
      </w:pPr>
      <w:r>
        <w:t>Engineering efficiency and verification</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Final repository evidence: 397 tests passed, 2 intentional platform-dependent skips, 0 failures; Python compilation, Ruff, dependency audit, and whitespace checks passed.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8 consolidated 2026-07-29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