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spacing w:after="200"/>
        <w:jc w:val="center"/>
      </w:pPr>
      <w:r>
        <w:rPr>
          <w:rFonts w:ascii="Calibri" w:hAnsi="Calibri" w:eastAsia="Calibri"/>
          <w:b/>
          <w:color w:val="0B2545"/>
          <w:sz w:val="64"/>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release: v1.13.0 - local Fleet Center, DetectionForge, and AegisPath enterprise-pattern programs; independent adversarial re-attacks; bounded evidence; and explicit non-parity limits.</w:t>
            </w:r>
          </w:p>
        </w:tc>
      </w:tr>
    </w:tbl>
    <w:p>
      <w:pPr>
        <w:spacing w:after="40"/>
      </w:pPr>
    </w:p>
    <w:p/>
    <w:p/>
    <w:p>
      <w:pPr>
        <w:jc w:val="center"/>
      </w:pPr>
      <w:r>
        <w:rPr>
          <w:rFonts w:ascii="Calibri" w:hAnsi="Calibri" w:eastAsia="Calibri"/>
          <w:b/>
          <w:color w:val="0B2545"/>
          <w:sz w:val="22"/>
        </w:rPr>
        <w:t>30 August 2026</w:t>
      </w:r>
    </w:p>
    <w:p>
      <w:pPr>
        <w:jc w:val="center"/>
      </w:pPr>
      <w:r>
        <w:rPr>
          <w:rFonts w:ascii="Calibri" w:hAnsi="Calibri" w:eastAsia="Calibri"/>
          <w:color w:val="667085"/>
          <w:sz w:val="19"/>
        </w:rPr>
        <w:t>Windows Protect | macOS Observe | Linux Observe + optional eBPF</w:t>
      </w:r>
    </w:p>
    <w:p>
      <w:r>
        <w:br w:type="page"/>
      </w: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1.13.0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Cycles 31-33 implementation, remediation, independent re-attack, performance, documentation, and authoritative release validation complete; guarded publication pending</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84-capability machine-readable inventory, and analysis/loop/cycles31-33-summary.md as of 30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The v1.13.0 inventory discovers 84 defensive capabilities. Every capability receives a validated operational contract and health snapshot; nine declare native contracts and 75 use explicit compatibility adapters. Product version, implementation label, contract maturity, and efficacy remain separate claims.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40"/>
      </w:pPr>
    </w:p>
    <w:p>
      <w:pPr>
        <w:pStyle w:val="Heading2"/>
      </w:pPr>
      <w:r>
        <w:t>1.2 Recommended starting posture</w:t>
      </w:r>
    </w:p>
    <w:p>
      <w:pPr>
        <w:numPr>
          <w:ilvl w:val="0"/>
          <w:numId w:val="12"/>
        </w:numPr>
      </w:pPr>
      <w:r>
        <w:rPr>
          <w:rFonts w:ascii="Calibri" w:hAnsi="Calibri" w:eastAsia="Calibri"/>
          <w:color w:val="243447"/>
        </w:rPr>
        <w:t>Install into a reviewed, protected runtime and keep mutable data in the protected canonical data root.</w:t>
      </w:r>
    </w:p>
    <w:p>
      <w:pPr>
        <w:numPr>
          <w:ilvl w:val="0"/>
          <w:numId w:val="12"/>
        </w:numPr>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Final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Authoritative five-check release gate on exact commit edefd8b07b94da4d682a35ace23057e7b22c3790: 2,790 passed; 13 intentional host/platform skips; 0 failed; 325.19 seconds. Evidence-manifest SHA-256: 23fd1c70b5b227f45175570eee14774a1693d93f1fe4e8cb914b8ce9a5d2b813. Historical pre-documentation result: 2,788 passed / 13 intentional skips / 1 expected stale-marker drift failure, since corrected.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9 native contracts and 75 compatibility adapters; workflow policy 3/3</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69 pass; 16 expected platform, disabled, or optional-prerequisite skips; 0 failed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six pytest skips are declared host/platform capability gates; structured classification cannot waive an unknown failure.</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numPr>
          <w:ilvl w:val="0"/>
          <w:numId w:val="10"/>
        </w:numPr>
      </w:pPr>
      <w:r>
        <w:rPr>
          <w:rFonts w:ascii="Calibri" w:hAnsi="Calibri" w:eastAsia="Calibri"/>
          <w:color w:val="243447"/>
        </w:rPr>
        <w:t>A global per-CVE detail-worker cap remains proposed so bursts across many distinct CVEs cannot exceed the already bounded per-item UI work.</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1"/>
        <w:pageBreakBefore/>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Final red-team verdict: Cycles 31-33 fixed 31 initial findings and 15 independently discovered re-attack bypasses. No reviewed issue reopened in the final bounded gates. Fleet transport/HA, independent rollback anchors, provider PKI, clean-machine scale trials, and independent efficacy remain external work.</w:t>
            </w:r>
          </w:p>
        </w:tc>
      </w:tr>
    </w:tbl>
    <w:p>
      <w:pPr>
        <w:spacing w:after="40"/>
      </w:pPr>
    </w:p>
    <w:p>
      <w:pPr>
        <w:pStyle w:val="Heading2"/>
      </w:pPr>
      <w:r>
        <w:t>15.1 Non-blocking defense-in-depth item</w:t>
      </w:r>
    </w:p>
    <w:p>
      <w:r>
        <w:rPr>
          <w:rFonts w:ascii="Calibri" w:hAnsi="Calibri" w:eastAsia="Calibri"/>
          <w:i w:val="0"/>
          <w:color w:val="243447"/>
        </w:rPr>
        <w:t>R6-03 remains open as a Medium defense-in-depth improvement, not a release blocker: path-wide program firewall work would be stronger if Combat retained an OS process handle and a bounded executable-file identity lease for the full action interval. Current controls revalidate PID birth and executable identity, and the final audit found no reproducing unsafe mutation in this surface.</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guarded publication remains pending.</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sectPr w:rsidR="00FC693F" w:rsidRPr="0006063C" w:rsidSect="00034616">
      <w:headerReference w:type="default" r:id="rId9"/>
      <w:footerReference w:type="default" r:id="rId10"/>
      <w:footerReference w:type="first" r:id="rId11"/>
      <w:headerReference w:type="first" r:id="rId12"/>
      <w:headerReference w:type="even" r:id="rId13"/>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instrText xml:space="preserve"> PAGE </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v1.12.0  |  28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v1.12.0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v1.13.0 operator reference with Cycles 31-33 enterprise-pattern defensive programs</dc:subject>
  <dc:creator>Angerona Project</dc:creator>
  <cp:keywords>Angerona, EDR, NDR, SOAR, DFIR, Adversary Combat, ARIA, Ollama</cp:keywords>
  <dc:description>Angerona v1.13.0 terminal documentation synchronized to the authoritative five-check release gate; guarded publication remains pending.</dc:description>
  <cp:lastModifiedBy/>
  <cp:revision>1</cp:revision>
  <dcterms:created xsi:type="dcterms:W3CDTF">2026-08-25T00:00:00Z</dcterms:created>
  <dcterms:modified xsi:type="dcterms:W3CDTF">2026-08-25T18:54:20Z</dcterms:modified>
  <cp:category/>
</cp:coreProperties>
</file>