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1.7.3  ·  2026-07-13</w:t>
      </w:r>
    </w:p>
    <w:p>
      <w:r>
        <w:rPr>
          <w:color w:val="555555"/>
          <w:sz w:val="21"/>
        </w:rPr>
        <w:t>Supersedes the earlier 7-node data-flow diagram of the same document name — see §3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Sensors publish raw events: File Integrity Monitor, Process Monitor, Network/NDR, YARA, ETW/Sysmon listeners, Active Deception canaries.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EventBus fan-out plus the 17-rule deterministic Fast-Path Interceptor (FPTH), which can emit CRITICAL immediately, bypassing AI triage.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p>
      <w:pPr>
        <w:pStyle w:val="ListBullet"/>
      </w:pPr>
      <w:r>
        <w:t>Reach a C2 after containment → the RESPOND node's active-defense isolation adds a hidden netsh outbound-block firewall rule for the contained process (Angerona-Isolate-&lt;name&gt;-&lt;pid&gt;), so a suspended or resumed process still cannot beacon out. Corroborated attacks are also reconstructed as ATT&amp;CK kill-chains (core/incident_timeline.py) for triage.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