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with October dashboard responsiveness, default-on adaptive routine scan pacing, and a review of all 87 module source files covering 84 discovered capabilities.</w:t>
            </w:r>
          </w:p>
        </w:tc>
      </w:tr>
    </w:tbl>
    <w:p>
      <w:pPr>
        <w:spacing w:after="40"/>
      </w:pPr>
    </w:p>
    <w:p/>
    <w:p/>
    <w:p>
      <w:pPr>
        <w:jc w:val="center"/>
      </w:pPr>
      <w:r>
        <w:rPr>
          <w:rFonts w:ascii="Calibri" w:hAnsi="Calibri" w:eastAsia="Calibri"/>
          <w:b/>
          <w:color w:val="0B2545"/>
          <w:sz w:val="22"/>
        </w:rPr>
        <w:t>4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October 2026 maintenance. See section 13.3 for local validation; publication and exact-commit CI remain governed by the canonical publisher and GitHub Actions.</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unchanged 84-capability inventory, and analysis/loop/cycle34 evidence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v1.13.0  |  4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v1.13.0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October 2026 dashboard pacing and module review</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2026-10-04T00:00:00Z</dcterms:modified>
  <cp:category/>
</cp:coreProperties>
</file>