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F172A"/>
          <w:sz w:val="48"/>
        </w:rPr>
        <w:t>Angerona — System Architecture Flow</w:t>
      </w:r>
    </w:p>
    <w:p>
      <w:r>
        <w:rPr>
          <w:color w:val="555555"/>
          <w:sz w:val="21"/>
        </w:rPr>
        <w:t>AngeronaSuite (canonical GUI app) · src/angerona/</w:t>
      </w:r>
    </w:p>
    <w:p>
      <w:r>
        <w:rPr>
          <w:color w:val="555555"/>
          <w:sz w:val="21"/>
        </w:rPr>
        <w:t>Document version 1.7.1  ·  2026-07-12</w:t>
      </w:r>
    </w:p>
    <w:p>
      <w:r>
        <w:rPr>
          <w:color w:val="555555"/>
          <w:sz w:val="21"/>
        </w:rPr>
        <w:t>Supersedes the earlier 7-node data-flow diagram of the same document name — see §3</w:t>
      </w:r>
    </w:p>
    <w:p>
      <w:r>
        <w:rPr>
          <w:sz w:val="8"/>
        </w:rPr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1. Current Flow — 6-Node World View Grid</w:t>
      </w:r>
    </w:p>
    <w:p>
      <w:pPr>
        <w:spacing w:after="120"/>
      </w:pPr>
      <w:r>
        <w:rPr>
          <w:b w:val="0"/>
          <w:i w:val="0"/>
          <w:sz w:val="21"/>
        </w:rPr>
        <w:t>This is the operational cycle as actually shipped in gui/flow_window.py + core/flow_metrics.py and shown live in the app behind the 🌐 World View button. It replaced an earlier 7-node single-row layout (1460px wide, whose fitInView scale made 11pt node text render at ~7.5pt — effectively invisible) with a compact 2×3 grid at a readable scale.</w:t>
      </w:r>
    </w:p>
    <w:p>
      <w:r>
        <w:drawing>
          <wp:inline xmlns:a="http://schemas.openxmlformats.org/drawingml/2006/main" xmlns:pic="http://schemas.openxmlformats.org/drawingml/2006/picture">
            <wp:extent cx="5976000" cy="317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17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2. Node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1474"/>
        <w:gridCol w:w="1247"/>
        <w:gridCol w:w="3175"/>
        <w:gridCol w:w="1928"/>
      </w:tblGrid>
      <w:tr>
        <w:tc>
          <w:tcPr>
            <w:tcW w:type="dxa" w:w="1987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987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Node</w:t>
            </w:r>
          </w:p>
        </w:tc>
        <w:tc>
          <w:tcPr>
            <w:tcW w:type="dxa" w:w="1987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Colour</w:t>
            </w:r>
          </w:p>
        </w:tc>
        <w:tc>
          <w:tcPr>
            <w:tcW w:type="dxa" w:w="1987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1987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Live metrics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CAPTURE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7"/>
              </w:rPr>
              <w:t>Blue — defensive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7"/>
              </w:rPr>
              <w:t>Sensors publish raw events: File Integrity Monitor, Process Monitor, Network/NDR, YARA, ETW/Sysmon listeners, Active Deception canaries.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events/sec, sensors up, state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DETECT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7"/>
              </w:rPr>
              <w:t>Blue — defensive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7"/>
              </w:rPr>
              <w:t>EventBus fan-out plus the 17-rule deterministic Fast-Path Interceptor (FPTH), which can emit CRITICAL immediately, bypassing AI triage.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events/sec, sensors up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AI TRIAGE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7"/>
              </w:rPr>
              <w:t>Purple — AI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7"/>
              </w:rPr>
              <w:t>Local Ollama (llama3) scores and explains serious events; escalates to opt-in cloud (Gemini → OpenRouter) only above the confidence/severity threshold.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confidence, cloud escalation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RESPOND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7"/>
              </w:rPr>
              <w:t>Blue — defensive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7"/>
              </w:rPr>
              <w:t>SOAR plays a recommendation, or (opt-in) auto-contains — kill/suspend/isolate — after SOAR Corroboration confirms a second sensor.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alerts, corroboration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ATTACK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7"/>
              </w:rPr>
              <w:t>Red — adversarial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7"/>
              </w:rPr>
              <w:t>The Shark Attack red-team engine (shark/shark_attack.py) drills the whole loop end-to-end using benign tagged footprints only.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techniques run, evasion level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SELF-HARDEN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7"/>
              </w:rPr>
              <w:t>Green — self-hardening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7"/>
              </w:rPr>
              <w:t>Posture Hardening tails the after-action report; any SUCCESS/low-detection technique becomes a staged, review-gated remediation, then the cycle loops to CAPTURE.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weaknesses found, fixed count</w:t>
            </w:r>
          </w:p>
        </w:tc>
      </w:tr>
    </w:tbl>
    <w:p/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3. Retired Design — Why This Document Was Regenerated</w:t>
      </w:r>
    </w:p>
    <w:p>
      <w:pPr>
        <w:spacing w:after="120"/>
      </w:pPr>
      <w:r>
        <w:rPr>
          <w:b w:val="0"/>
          <w:i w:val="0"/>
          <w:sz w:val="21"/>
        </w:rPr>
        <w:t>An existing file of the same name (Angerona_System_Flow.docx, found both at the repository root and in AngeronaSuite/) describes a different, older architecture: a 7-node single-row data-flow pipeline — Sensors → Telemetry Bus → Dynamic Patch Engine → GPU Offload → AI Guardrail → Ollama LLM → Self-Hardening Core — with a separate “Circular trust” section on hook/blinding/tamper scenarios. That diagram describes real subsystems (the GPU entropy pipeline, the AI guardrail proxy) but is not the flowchart the running application renders or that tools/selfcheck.py validates.</w:t>
      </w:r>
    </w:p>
    <w:p>
      <w:pPr>
        <w:spacing w:after="120"/>
      </w:pPr>
      <w:r>
        <w:rPr>
          <w:b w:val="0"/>
          <w:i w:val="0"/>
          <w:sz w:val="21"/>
        </w:rPr>
        <w:t>tools/selfcheck.py itself carried two assertions still checking that retired 7-node shape until this pass (see the Vulnerabilities Assessment &amp; Remediation document, finding V-02) — direct evidence the 7-node description had drifted from the shipped 6-node grid. Rather than editing the old file's different diagram in place, this is a new deliverable describing the current, correct flow; the older file is left untouched at its existing path for historical reference.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4. Trust &amp; Failure Modes (carried forward, still accurate)</w:t>
      </w:r>
    </w:p>
    <w:p>
      <w:pPr>
        <w:pStyle w:val="ListBullet"/>
      </w:pPr>
      <w:r>
        <w:rPr>
          <w:sz w:val="21"/>
        </w:rPr>
        <w:t>Hook APIs to blind sensors → caught by APID (API-patch / anti-blinding detector) comparing live export prologues against pristine System32 copies.</w:t>
      </w:r>
    </w:p>
    <w:p>
      <w:pPr>
        <w:pStyle w:val="ListBullet"/>
      </w:pPr>
      <w:r>
        <w:rPr>
          <w:sz w:val="21"/>
        </w:rPr>
        <w:t>Drop telemetry without hooking → DRILL canary misses (no 4688 echo within 6s) raise a telemetry-blinding alert.</w:t>
      </w:r>
    </w:p>
    <w:p>
      <w:pPr>
        <w:pStyle w:val="ListBullet"/>
      </w:pPr>
      <w:r>
        <w:rPr>
          <w:sz w:val="21"/>
        </w:rPr>
        <w:t>Freeze the process to stop DRILL → FRZ's out-of-process Go watchdog detects the stalled heartbeat and isolates the host / hard-kills the interpreter.</w:t>
      </w:r>
    </w:p>
    <w:p>
      <w:pPr>
        <w:pStyle w:val="ListBullet"/>
      </w:pPr>
      <w:r>
        <w:rPr>
          <w:sz w:val="21"/>
        </w:rPr>
        <w:t>Tamper a staged fix on disk → the SHA-256 Judgment Gate re-verifies the exact bytes at execution time and blocks a mismatch.</w:t>
      </w:r>
    </w:p>
    <w:p>
      <w:pPr>
        <w:pStyle w:val="ListBullet"/>
      </w:pPr>
      <w:r>
        <w:t>Reach a C2 after containment → the RESPOND node's active-defense isolation adds a hidden netsh outbound-block firewall rule for the contained process (Angerona-Isolate-&lt;name&gt;-&lt;pid&gt;), so a suspended or resumed process still cannot beacon out. Corroborated attacks are also reconstructed as ATT&amp;CK kill-chains (core/incident_timeline.py) for triage.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