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v1.13.0 with Cycle 34 post-release defensive convergence across governed detection authority, Fleet custody and lifecycle, loopback canvas isolation, AegisPath lookup bounds, and coherent publisher-key validation.</w:t>
            </w:r>
          </w:p>
        </w:tc>
      </w:tr>
    </w:tbl>
    <w:p>
      <w:pPr>
        <w:spacing w:after="40"/>
      </w:pPr>
    </w:p>
    <w:p/>
    <w:p/>
    <w:p>
      <w:pPr>
        <w:jc w:val="center"/>
      </w:pPr>
      <w:r>
        <w:rPr>
          <w:rFonts w:ascii="Calibri" w:hAnsi="Calibri" w:eastAsia="Calibri"/>
          <w:b/>
          <w:color w:val="0B2545"/>
          <w:sz w:val="22"/>
        </w:rPr>
        <w:t>30 August 2026</w:t>
      </w:r>
    </w:p>
    <w:p>
      <w:pPr>
        <w:jc w:val="center"/>
      </w:pPr>
      <w:r>
        <w:rPr>
          <w:rFonts w:ascii="Calibri" w:hAnsi="Calibri" w:eastAsia="Calibri"/>
          <w:color w:val="667085"/>
          <w:sz w:val="19"/>
        </w:rPr>
        <w:t>Windows Protect | macOS Observe | Linux Observe + optional eBPF</w:t>
      </w:r>
    </w:p>
    <w:p>
      <w:pPr>
        <w:sectPr w:rsidR="00FC693F" w:rsidRPr="0006063C" w:rsidSect="00034616">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1.13.0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Cycle 34 three-round convergence and commit-bound release validation complete; GitHub publication is restricted to the guarded canonical publisher</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unchanged 84-capability inventory, and analysis/loop/cycle34 evidence as of 30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The v1.13.0 inventory discovers 84 defensive capabilities. Every capability receives a validated operational contract and health snapshot; nine declare native contracts and 75 use explicit compatibility adapters. Product version, implementation label, contract maturity, and efficacy remain separate claims.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six pytest skips are declared host/platform capability gates; structured classification cannot waive an unknown failure.</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numPr>
          <w:ilvl w:val="0"/>
          <w:numId w:val="10"/>
        </w:numPr>
      </w:pPr>
      <w:r>
        <w:rPr>
          <w:rFonts w:ascii="Calibri" w:hAnsi="Calibri" w:eastAsia="Calibri"/>
          <w:color w:val="243447"/>
        </w:rPr>
        <w:t>A global per-CVE detail-worker cap remains proposed so bursts across many distinct CVEs cannot exceed the already bounded per-item UI work.</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Final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v1.13.0  |  30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v1.13.0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v1.13.0 operator reference with Cycle 34 defensive convergence maintenance</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2026-08-30T00:00:00Z</dcterms:modified>
  <cp:category/>
</cp:coreProperties>
</file>