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v1.14.2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29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1.14.2</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v1.14.2 source maintenance. Current validation: analysis/curated-tools-breach-2026-10-29.md.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analysis/curated-tools-breach-2026-10-29.md;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v1.14.2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t xml:space="preserve">Current v1.14 reference route: use docs/live-debug-harness.md for AI-assisted testing, docs/releases/v1.14-security-integration.md for the nine security workstreams and analysis/live-debug-2026-10-22 for the current issue map, observations and validation. The Live debug and AI review chapter gives current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t xml:space="preserve">The installed response-service boundary is separate from the ordinary-user desktop and sensor graph. Its native pipe authenticates the actual Windows peer token and verifies the installed service before sending requests. Source Python, a caller-supplied name or a same-user bearer secret does not become privileged authority. Immutable publisher/package pins, protected state and a restricted SCM identity must be provisioned independently. The initial service surface is diagnostic only; unavailable native process-egress enforcement remains visibly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integrations and recovery</w:t>
      </w:r>
    </w:p>
    <w:p>
      <w:pPr>
        <w:pStyle w:val="Normal"/>
        <w:spacing w:after="120" w:line="264" w:lineRule="auto"/>
      </w:pPr>
      <w:r>
        <w:rPr>
          <w:color w:val="000000"/>
          <w:sz w:val="22"/>
        </w:rPr>
        <w:t xml:space="preserve">Current operating guidance 29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Normal"/>
        <w:spacing w:after="120" w:line="264" w:lineRule="auto"/>
      </w:pPr>
      <w:r>
        <w:rPr>
          <w:color w:val="000000"/>
          <w:sz w:val="22"/>
        </w:rPr>
        <w:t xml:space="preserve">Windows source Safe Startup treats retained diagnostic history and recommended free-space reserves as advisory for normal dashboard startup. Critical launch work uses four reusable purposes per canonical temporary-data base, with fixed admission budgets and managed-output limits. A live producer's inherited lease prevents reuse until that producer exits. Actual private storage access, source/runtime trust and process custody remain checked; optional downloads and repairs retain their separate storage admission.</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Curated tools and priority scans</w:t>
      </w:r>
    </w:p>
    <w:p>
      <w:pPr>
        <w:keepNext/>
        <w:spacing w:after="120"/>
      </w:pPr>
      <w:r>
        <w:drawing>
          <wp:inline xmlns:wp="http://schemas.openxmlformats.org/drawingml/2006/wordprocessingDrawing" distT="0" distB="0" distL="0" distR="0">
            <wp:extent cx="5943600" cy="4331398"/>
            <wp:docPr id="9004" name="security-flow-tools.png" descr="security flow tools"/>
            <a:graphic xmlns:a="http://schemas.openxmlformats.org/drawingml/2006/main">
              <a:graphicData uri="http://schemas.openxmlformats.org/drawingml/2006/picture">
                <pic:pic xmlns:pic="http://schemas.openxmlformats.org/drawingml/2006/picture">
                  <pic:nvPicPr>
                    <pic:cNvPr id="0" name="security-flow-tools.png"/>
                    <pic:cNvPicPr/>
                  </pic:nvPicPr>
                  <pic:blipFill>
                    <a:blip r:embed="rIdAngeronaSecurityFlow4"/>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tools flow</w:t>
      </w:r>
    </w:p>
    <w:p>
      <w:pPr>
        <w:pStyle w:val="Normal"/>
        <w:spacing w:after="120" w:line="264" w:lineRule="auto"/>
      </w:pPr>
      <w:r>
        <w:rPr>
          <w:color w:val="000000"/>
          <w:sz w:val="22"/>
        </w:rPr>
        <w:t xml:space="preserve">The GitHub Tools hub and SpywareGuard &gt; Zero Breach share one controller and the pinned Zero Breach Toolkit v0.1.10 installation. The complete engine and required notices ship with Angerona; optional restoration uses the fixed reviewed release. Third-party Python runs in a separate owned ordinary-user process, never by importing its socket-changing globals into the core or GUI. Current installed/elevated execution is held pending an accepted ordinary-user broker. The existing Source Library remains a data-only repository review path.</w:t>
      </w:r>
    </w:p>
    <w:p>
      <w:pPr>
        <w:pStyle w:val="Normal"/>
        <w:spacing w:after="120" w:line="264" w:lineRule="auto"/>
      </w:pPr>
      <w:r>
        <w:rPr>
          <w:color w:val="000000"/>
          <w:sz w:val="22"/>
        </w:rPr>
        <w:t xml:space="preserve">Spyware Scan schedules the selected native and curated checks with visible priority, resource and privilege-coverage controls. High is the supported ceiling; REALTIME is not used. The requested 10% routine-background pace is a cadence choice, not a CPU guarantee. Critical control, heartbeat and event intake retain their cadence. Missing inputs, dependencies, privileges or measurements remain coverage gaps. Full upstream advanced execution remains held until its managed adapters are accepted. See the toolkit guide.</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Verified breach review and lockdown</w:t>
      </w:r>
    </w:p>
    <w:p>
      <w:pPr>
        <w:keepNext/>
        <w:spacing w:after="120"/>
      </w:pPr>
      <w:r>
        <w:drawing>
          <wp:inline xmlns:wp="http://schemas.openxmlformats.org/drawingml/2006/wordprocessingDrawing" distT="0" distB="0" distL="0" distR="0">
            <wp:extent cx="5943600" cy="4331398"/>
            <wp:docPr id="9005" name="security-flow-breach.png" descr="security flow breach"/>
            <a:graphic xmlns:a="http://schemas.openxmlformats.org/drawingml/2006/main">
              <a:graphicData uri="http://schemas.openxmlformats.org/drawingml/2006/picture">
                <pic:pic xmlns:pic="http://schemas.openxmlformats.org/drawingml/2006/picture">
                  <pic:nvPicPr>
                    <pic:cNvPr id="0" name="security-flow-breach.png"/>
                    <pic:cNvPicPr/>
                  </pic:nvPicPr>
                  <pic:blipFill>
                    <a:blip r:embed="rIdAngeronaSecurityFlow5"/>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4 breach flow</w:t>
      </w:r>
    </w:p>
    <w:p>
      <w:pPr>
        <w:pStyle w:val="Normal"/>
        <w:spacing w:after="120" w:line="264" w:lineRule="auto"/>
      </w:pPr>
      <w:r>
        <w:rPr>
          <w:color w:val="000000"/>
          <w:sz w:val="22"/>
        </w:rPr>
        <w:t xml:space="preserve">The red/orange Breached state requires fresh manager-enrolled native LIVE evidence, a registered current producer, an exact response contract and explicit active-attack or active-exploitation evidence. Health failures, exposure, practice markers, remote Observe events, raw critical severity and third-party findings alone cannot create it. An explicit spyware_confirmed=False remains uncertainty. A bounded case identity links the latched brand warning, critical report, border state and after-action review. The threat card and footer project Compromised for the active case while preserving the engine's underlying scores and counts. Displaying a breach grants no response authority.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Next step</w:t>
            </w:r>
          </w:p>
        </w:tc>
        <w:tc>
          <w:tcPr>
            <w:tcW w:w="7160" w:type="dxa"/>
            <w:shd w:fill="DCE7F0"/>
            <w:vAlign w:val="center"/>
          </w:tcPr>
          <w:p>
            <w:pPr>
              <w:pStyle w:val="Normal"/>
              <w:spacing w:after="120" w:line="264" w:lineRule="auto"/>
            </w:pPr>
            <w:r>
              <w:rPr>
                <w:b/>
                <w:color w:val="000000"/>
                <w:sz w:val="19"/>
              </w:rPr>
              <w:t xml:space="preserve">Behavior and boundary</w:t>
            </w:r>
          </w:p>
        </w:tc>
      </w:tr>
      <w:tr>
        <w:trPr>
          <w:cantSplit/>
        </w:trPr>
        <w:tc>
          <w:tcPr>
            <w:tcW w:w="2200" w:type="dxa"/>
            <w:shd w:fill="FFFFFF"/>
            <w:vAlign w:val="center"/>
          </w:tcPr>
          <w:p>
            <w:pPr>
              <w:pStyle w:val="Normal"/>
              <w:spacing w:after="120" w:line="264" w:lineRule="auto"/>
            </w:pPr>
            <w:r>
              <w:rPr>
                <w:color w:val="000000"/>
                <w:sz w:val="19"/>
              </w:rPr>
              <w:t xml:space="preserve">Investigate</w:t>
            </w:r>
          </w:p>
        </w:tc>
        <w:tc>
          <w:tcPr>
            <w:tcW w:w="7160" w:type="dxa"/>
            <w:shd w:fill="FFFFFF"/>
            <w:vAlign w:val="center"/>
          </w:tcPr>
          <w:p>
            <w:pPr>
              <w:pStyle w:val="Normal"/>
              <w:spacing w:after="120" w:line="264" w:lineRule="auto"/>
            </w:pPr>
            <w:r>
              <w:rPr>
                <w:color w:val="000000"/>
                <w:sz w:val="19"/>
              </w:rPr>
              <w:t xml:space="preserve">Opens the case and retained report for read-only review.</w:t>
            </w:r>
          </w:p>
        </w:tc>
      </w:tr>
      <w:tr>
        <w:trPr>
          <w:cantSplit/>
        </w:trPr>
        <w:tc>
          <w:tcPr>
            <w:tcW w:w="2200" w:type="dxa"/>
            <w:shd w:fill="F4F6F8"/>
            <w:vAlign w:val="center"/>
          </w:tcPr>
          <w:p>
            <w:pPr>
              <w:pStyle w:val="Normal"/>
              <w:spacing w:after="120" w:line="264" w:lineRule="auto"/>
            </w:pPr>
            <w:r>
              <w:rPr>
                <w:color w:val="000000"/>
                <w:sz w:val="19"/>
              </w:rPr>
              <w:t xml:space="preserve">Trace</w:t>
            </w:r>
          </w:p>
        </w:tc>
        <w:tc>
          <w:tcPr>
            <w:tcW w:w="7160" w:type="dxa"/>
            <w:shd w:fill="F4F6F8"/>
            <w:vAlign w:val="center"/>
          </w:tcPr>
          <w:p>
            <w:pPr>
              <w:pStyle w:val="Normal"/>
              <w:spacing w:after="120" w:line="264" w:lineRule="auto"/>
            </w:pPr>
            <w:r>
              <w:rPr>
                <w:color w:val="000000"/>
                <w:sz w:val="19"/>
              </w:rPr>
              <w:t xml:space="preserve">Follows the case's process, network and evidence context without mutation.</w:t>
            </w:r>
          </w:p>
        </w:tc>
      </w:tr>
      <w:tr>
        <w:trPr>
          <w:cantSplit/>
        </w:trPr>
        <w:tc>
          <w:tcPr>
            <w:tcW w:w="2200" w:type="dxa"/>
            <w:shd w:fill="FFFFFF"/>
            <w:vAlign w:val="center"/>
          </w:tcPr>
          <w:p>
            <w:pPr>
              <w:pStyle w:val="Normal"/>
              <w:spacing w:after="120" w:line="264" w:lineRule="auto"/>
            </w:pPr>
            <w:r>
              <w:rPr>
                <w:color w:val="000000"/>
                <w:sz w:val="19"/>
              </w:rPr>
              <w:t xml:space="preserve">Isolate</w:t>
            </w:r>
          </w:p>
        </w:tc>
        <w:tc>
          <w:tcPr>
            <w:tcW w:w="7160" w:type="dxa"/>
            <w:shd w:fill="FFFFFF"/>
            <w:vAlign w:val="center"/>
          </w:tcPr>
          <w:p>
            <w:pPr>
              <w:pStyle w:val="Normal"/>
              <w:spacing w:after="120" w:line="264" w:lineRule="auto"/>
            </w:pPr>
            <w:r>
              <w:rPr>
                <w:color w:val="000000"/>
                <w:sz w:val="19"/>
              </w:rPr>
              <w:t xml:space="preserve">Requests host network lockdown only with current evidence, its original host-scope contract, saved policy and verified signed installed Protect/Administrator authority.</w:t>
            </w:r>
          </w:p>
        </w:tc>
      </w:tr>
      <w:tr>
        <w:trPr>
          <w:cantSplit/>
        </w:trPr>
        <w:tc>
          <w:tcPr>
            <w:tcW w:w="2200" w:type="dxa"/>
            <w:shd w:fill="F4F6F8"/>
            <w:vAlign w:val="center"/>
          </w:tcPr>
          <w:p>
            <w:pPr>
              <w:pStyle w:val="Normal"/>
              <w:spacing w:after="120" w:line="264" w:lineRule="auto"/>
            </w:pPr>
            <w:r>
              <w:rPr>
                <w:color w:val="000000"/>
                <w:sz w:val="19"/>
              </w:rPr>
              <w:t xml:space="preserve">Kill</w:t>
            </w:r>
          </w:p>
        </w:tc>
        <w:tc>
          <w:tcPr>
            <w:tcW w:w="7160" w:type="dxa"/>
            <w:shd w:fill="F4F6F8"/>
            <w:vAlign w:val="center"/>
          </w:tcPr>
          <w:p>
            <w:pPr>
              <w:pStyle w:val="Normal"/>
              <w:spacing w:after="120" w:line="264" w:lineRule="auto"/>
            </w:pPr>
            <w:r>
              <w:rPr>
                <w:color w:val="000000"/>
                <w:sz w:val="19"/>
              </w:rPr>
              <w:t xml:space="preserve">Requires an exact current process target, its permitted action and the same response authority; confirmation cannot create a missing contract.</w:t>
            </w:r>
          </w:p>
        </w:tc>
      </w:tr>
      <w:tr>
        <w:trPr>
          <w:cantSplit/>
        </w:trPr>
        <w:tc>
          <w:tcPr>
            <w:tcW w:w="2200" w:type="dxa"/>
            <w:shd w:fill="FFFFFF"/>
            <w:vAlign w:val="center"/>
          </w:tcPr>
          <w:p>
            <w:pPr>
              <w:pStyle w:val="Normal"/>
              <w:spacing w:after="120" w:line="264" w:lineRule="auto"/>
            </w:pPr>
            <w:r>
              <w:rPr>
                <w:color w:val="000000"/>
                <w:sz w:val="19"/>
              </w:rPr>
              <w:t xml:space="preserve">Patch</w:t>
            </w:r>
          </w:p>
        </w:tc>
        <w:tc>
          <w:tcPr>
            <w:tcW w:w="7160" w:type="dxa"/>
            <w:shd w:fill="FFFFFF"/>
            <w:vAlign w:val="center"/>
          </w:tcPr>
          <w:p>
            <w:pPr>
              <w:pStyle w:val="Normal"/>
              <w:spacing w:after="120" w:line="264" w:lineRule="auto"/>
            </w:pPr>
            <w:r>
              <w:rPr>
                <w:color w:val="000000"/>
                <w:sz w:val="19"/>
              </w:rPr>
              <w:t xml:space="preserve">Disabled when no reviewed patch operation is bound to this evidence; report text cannot become a command.</w:t>
            </w:r>
          </w:p>
        </w:tc>
      </w:tr>
      <w:tr>
        <w:trPr>
          <w:cantSplit/>
        </w:trPr>
        <w:tc>
          <w:tcPr>
            <w:tcW w:w="2200" w:type="dxa"/>
            <w:shd w:fill="F4F6F8"/>
            <w:vAlign w:val="center"/>
          </w:tcPr>
          <w:p>
            <w:pPr>
              <w:pStyle w:val="Normal"/>
              <w:spacing w:after="120" w:line="264" w:lineRule="auto"/>
            </w:pPr>
            <w:r>
              <w:rPr>
                <w:color w:val="000000"/>
                <w:sz w:val="19"/>
              </w:rPr>
              <w:t xml:space="preserve">Lift Lockdown</w:t>
            </w:r>
          </w:p>
        </w:tc>
        <w:tc>
          <w:tcPr>
            <w:tcW w:w="7160" w:type="dxa"/>
            <w:shd w:fill="F4F6F8"/>
            <w:vAlign w:val="center"/>
          </w:tcPr>
          <w:p>
            <w:pPr>
              <w:pStyle w:val="Normal"/>
              <w:spacing w:after="120" w:line="264" w:lineRule="auto"/>
            </w:pPr>
            <w:r>
              <w:rPr>
                <w:color w:val="000000"/>
                <w:sz w:val="19"/>
              </w:rPr>
              <w:t xml:space="preserve">Removes only verified Angerona-managed lockdown rules through authenticated Undo and absence checks; unrelated policy and preferences remain.</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automatic-lockdown preference defaults on, but mutation still goes through the existing Adversary Combat worker and its full policy, deployment and journal checks. Current source Observe controls show HELD with their reason. There is no accepted signed release implied by these implemented source controls.</w:t>
      </w:r>
    </w:p>
    <w:p>
      <w:pPr>
        <w:pStyle w:val="Normal"/>
        <w:spacing w:after="120" w:line="264" w:lineRule="auto"/>
      </w:pPr>
      <w:r>
        <w:rPr>
          <w:color w:val="000000"/>
          <w:sz w:val="22"/>
        </w:rPr>
        <w:t xml:space="preserve">The requested network scope covers Ethernet, Wi-Fi and other interfaces; IPv4/IPv6, inbound/outbound traffic, all protocols and ports. The adapter must verify rule scope, enabled profiles and effective-policy prerequisites before it can report containment. Unknown enterprise policy or ambiguous readback remains held or unverified. Rule configuration and an authenticated receipt do not prove packet drops, kernel integrity or resistance to a hostile administrator.</w:t>
      </w:r>
    </w:p>
    <w:p>
      <w:pPr>
        <w:pStyle w:val="Normal"/>
        <w:spacing w:after="120" w:line="264" w:lineRule="auto"/>
      </w:pPr>
      <w:r>
        <w:rPr>
          <w:color w:val="000000"/>
          <w:sz w:val="22"/>
        </w:rPr>
        <w:t xml:space="preserve">On Windows, the fixed owned query reads Domain, Private and Public profiles from Get-NetFirewallProfile -PolicyStore ActiveStore and checks INetFwPolicy2.LocalPolicyModifyState. Every required enabled-profile, local-rule-merge and inbound-rule setting must be explicit, with no excluded interfaces. Unknown or NotConfigured results remain held; the adapter preserves the existing policy. Microsoft documents the ActiveStore profile query and the read-only local-policy modification state.</w:t>
      </w:r>
    </w:p>
    <w:p>
      <w:pPr>
        <w:pStyle w:val="Normal"/>
        <w:spacing w:after="120" w:line="264" w:lineRule="auto"/>
      </w:pPr>
      <w:r>
        <w:rPr>
          <w:color w:val="000000"/>
          <w:sz w:val="22"/>
        </w:rPr>
        <w:t xml:space="preserve">Lift requires the exact managed receipt and verified removal. A saved bounded case decision prevents automatic relocking of that same lifted case; a new case can request containment again. Lifting restrictions does not erase the breach evidence or resolve the red review state. Review resolved remains separate. STOP does not automatically remove persistent lockdown rules.</w:t>
      </w:r>
    </w:p>
    <w:p>
      <w:pPr>
        <w:pStyle w:val="Normal"/>
        <w:spacing w:after="120" w:line="264" w:lineRule="auto"/>
      </w:pPr>
      <w:r>
        <w:rPr>
          <w:color w:val="000000"/>
          <w:sz w:val="22"/>
        </w:rPr>
        <w:t xml:space="preserve">If isolation removes remote access, use the local console or an approved out-of-band administration route. Prefer the report's Lift Lockdown control. If Angerona cannot open, review Windows Defender Firewall with Advanced Security locally and match the exact rule names to the retained authenticated action receipt before changing only those rules. Preserve the case and receipt; a matching name prefix alone is insufficient. Do not reset the whole firewall, disable protection or remove unrelated rules as a recovery shortcut. Missing or ambiguous receipts require reviewed OS administration rather than a guessed Undo.</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Path</w:t>
            </w:r>
          </w:p>
        </w:tc>
        <w:tc>
          <w:tcPr>
            <w:tcW w:w="7160" w:type="dxa"/>
            <w:shd w:fill="DCE7F0"/>
            <w:vAlign w:val="center"/>
          </w:tcPr>
          <w:p>
            <w:pPr>
              <w:pStyle w:val="Normal"/>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r>
        <w:trPr>
          <w:cantSplit/>
        </w:trPr>
        <w:tc>
          <w:tcPr>
            <w:tcW w:w="2200" w:type="dxa"/>
            <w:shd w:fill="F4F6F8"/>
            <w:vAlign w:val="center"/>
          </w:tcPr>
          <w:p>
            <w:pPr>
              <w:pStyle w:val="Normal"/>
              <w:spacing w:after="120" w:line="264" w:lineRule="auto"/>
            </w:pPr>
            <w:r>
              <w:rPr>
                <w:color w:val="000000"/>
                <w:sz w:val="19"/>
              </w:rPr>
              <w:t xml:space="preserve">Curated Zero Breach scanner</w:t>
            </w:r>
          </w:p>
        </w:tc>
        <w:tc>
          <w:tcPr>
            <w:tcW w:w="7160" w:type="dxa"/>
            <w:shd w:fill="F4F6F8"/>
            <w:vAlign w:val="center"/>
          </w:tcPr>
          <w:p>
            <w:pPr>
              <w:pStyle w:val="Normal"/>
              <w:spacing w:after="120" w:line="264" w:lineRule="auto"/>
            </w:pPr>
            <w:r>
              <w:rPr>
                <w:color w:val="000000"/>
                <w:sz w:val="19"/>
              </w:rPr>
              <w:t xml:space="preserve">Exact bundled or pinned-release bytes and retained licenses; separate owned ordinary-user job, private temporary data and validated reports. No automatic feed refresh; third-party results remain leads. Source Library imports and advanced acquisition/dependencies retain separate holds.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spacing w:after="120" w:line="264" w:lineRule="auto"/>
            </w:pPr>
            <w:r>
              <w:rPr>
                <w:b/>
                <w:color w:val="000000"/>
                <w:sz w:val="19"/>
              </w:rPr>
              <w:t xml:space="preserve">Surface and failure</w:t>
            </w:r>
          </w:p>
        </w:tc>
        <w:tc>
          <w:tcPr>
            <w:tcW w:w="2600" w:type="dxa"/>
            <w:shd w:fill="DCE7F0"/>
            <w:vAlign w:val="center"/>
          </w:tcPr>
          <w:p>
            <w:pPr>
              <w:pStyle w:val="Normal"/>
              <w:spacing w:after="120" w:line="264" w:lineRule="auto"/>
            </w:pPr>
            <w:r>
              <w:rPr>
                <w:b/>
                <w:color w:val="000000"/>
                <w:sz w:val="19"/>
              </w:rPr>
              <w:t xml:space="preserve">Main code</w:t>
            </w:r>
          </w:p>
        </w:tc>
        <w:tc>
          <w:tcPr>
            <w:tcW w:w="2400" w:type="dxa"/>
            <w:shd w:fill="DCE7F0"/>
            <w:vAlign w:val="center"/>
          </w:tcPr>
          <w:p>
            <w:pPr>
              <w:pStyle w:val="Normal"/>
              <w:spacing w:after="120" w:line="264" w:lineRule="auto"/>
            </w:pPr>
            <w:r>
              <w:rPr>
                <w:b/>
                <w:color w:val="000000"/>
                <w:sz w:val="19"/>
              </w:rPr>
              <w:t xml:space="preserve">Regression entry points</w:t>
            </w:r>
          </w:p>
        </w:tc>
        <w:tc>
          <w:tcPr>
            <w:tcW w:w="2360" w:type="dxa"/>
            <w:shd w:fill="DCE7F0"/>
            <w:vAlign w:val="center"/>
          </w:tcPr>
          <w:p>
            <w:pPr>
              <w:pStyle w:val="Normal"/>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r>
        <w:trPr>
          <w:cantSplit/>
        </w:trPr>
        <w:tc>
          <w:tcPr>
            <w:tcW w:w="2000" w:type="dxa"/>
            <w:shd w:fill="FFFFFF"/>
            <w:vAlign w:val="center"/>
          </w:tcPr>
          <w:p>
            <w:pPr>
              <w:pStyle w:val="Normal"/>
              <w:spacing w:after="120" w:line="264" w:lineRule="auto"/>
            </w:pPr>
            <w:r>
              <w:rPr>
                <w:color w:val="000000"/>
                <w:sz w:val="19"/>
              </w:rPr>
              <w:t xml:space="preserve">Curated engine tamper, orphan job or unsafe report cleanup</w:t>
            </w:r>
          </w:p>
        </w:tc>
        <w:tc>
          <w:tcPr>
            <w:tcW w:w="2600" w:type="dxa"/>
            <w:shd w:fill="FFFFFF"/>
            <w:vAlign w:val="center"/>
          </w:tcPr>
          <w:p>
            <w:pPr>
              <w:pStyle w:val="Normal"/>
              <w:spacing w:after="120" w:line="264" w:lineRule="auto"/>
            </w:pPr>
            <w:r>
              <w:rPr>
                <w:color w:val="000000"/>
                <w:sz w:val="19"/>
              </w:rPr>
              <w:t xml:space="preserve">core/curated_tools.py, core/curated_tool_worker.py, gui/curated_tools.py</w:t>
            </w:r>
          </w:p>
        </w:tc>
        <w:tc>
          <w:tcPr>
            <w:tcW w:w="2400" w:type="dxa"/>
            <w:shd w:fill="FFFFFF"/>
            <w:vAlign w:val="center"/>
          </w:tcPr>
          <w:p>
            <w:pPr>
              <w:pStyle w:val="Normal"/>
              <w:spacing w:after="120" w:line="264" w:lineRule="auto"/>
            </w:pPr>
            <w:r>
              <w:rPr>
                <w:color w:val="000000"/>
                <w:sz w:val="19"/>
              </w:rPr>
              <w:t xml:space="preserve">tests/test_curated_tools.py, tests/test_zero_breach_bundle.py, tests/test_curated_app_lifecycle.py</w:t>
            </w:r>
          </w:p>
        </w:tc>
        <w:tc>
          <w:tcPr>
            <w:tcW w:w="2360" w:type="dxa"/>
            <w:shd w:fill="FFFFFF"/>
            <w:vAlign w:val="center"/>
          </w:tcPr>
          <w:p>
            <w:pPr>
              <w:pStyle w:val="Normal"/>
              <w:spacing w:after="120" w:line="264" w:lineRule="auto"/>
            </w:pPr>
            <w:r>
              <w:rPr>
                <w:color w:val="000000"/>
                <w:sz w:val="19"/>
              </w:rPr>
              <w:t xml:space="preserve">Fixed artifact identities, separate process/job custody, validated bounded reports, private job roots and preservation of unknown or modified originals.</w:t>
            </w:r>
          </w:p>
        </w:tc>
      </w:tr>
      <w:tr>
        <w:trPr>
          <w:cantSplit/>
        </w:trPr>
        <w:tc>
          <w:tcPr>
            <w:tcW w:w="2000" w:type="dxa"/>
            <w:shd w:fill="F4F6F8"/>
            <w:vAlign w:val="center"/>
          </w:tcPr>
          <w:p>
            <w:pPr>
              <w:pStyle w:val="Normal"/>
              <w:spacing w:after="120" w:line="264" w:lineRule="auto"/>
            </w:pPr>
            <w:r>
              <w:rPr>
                <w:color w:val="000000"/>
                <w:sz w:val="19"/>
              </w:rPr>
              <w:t xml:space="preserve">Priority scan starves essential work or overstates privileges</w:t>
            </w:r>
          </w:p>
        </w:tc>
        <w:tc>
          <w:tcPr>
            <w:tcW w:w="2600" w:type="dxa"/>
            <w:shd w:fill="F4F6F8"/>
            <w:vAlign w:val="center"/>
          </w:tcPr>
          <w:p>
            <w:pPr>
              <w:pStyle w:val="Normal"/>
              <w:spacing w:after="120" w:line="264" w:lineRule="auto"/>
            </w:pPr>
            <w:r>
              <w:rPr>
                <w:color w:val="000000"/>
                <w:sz w:val="19"/>
              </w:rPr>
              <w:t xml:space="preserve">SpywareGuard, core/background_pacing.py, curated scan controls</w:t>
            </w:r>
          </w:p>
        </w:tc>
        <w:tc>
          <w:tcPr>
            <w:tcW w:w="2400" w:type="dxa"/>
            <w:shd w:fill="F4F6F8"/>
            <w:vAlign w:val="center"/>
          </w:tcPr>
          <w:p>
            <w:pPr>
              <w:pStyle w:val="Normal"/>
              <w:spacing w:after="120" w:line="264" w:lineRule="auto"/>
            </w:pPr>
            <w:r>
              <w:rPr>
                <w:color w:val="000000"/>
                <w:sz w:val="19"/>
              </w:rPr>
              <w:t xml:space="preserve">tests/test_spyware_priority_scan.py, tests/test_curated_tools_ui.py</w:t>
            </w:r>
          </w:p>
        </w:tc>
        <w:tc>
          <w:tcPr>
            <w:tcW w:w="2360" w:type="dxa"/>
            <w:shd w:fill="F4F6F8"/>
            <w:vAlign w:val="center"/>
          </w:tcPr>
          <w:p>
            <w:pPr>
              <w:pStyle w:val="Normal"/>
              <w:spacing w:after="120" w:line="264" w:lineRule="auto"/>
            </w:pPr>
            <w:r>
              <w:rPr>
                <w:color w:val="000000"/>
                <w:sz w:val="19"/>
              </w:rPr>
              <w:t xml:space="preserve">Explicit scanner toggles, supported priority ceiling, copied resource state and coverage; critical controls/intake remain independent of routine pacing.</w:t>
            </w:r>
          </w:p>
        </w:tc>
      </w:tr>
      <w:tr>
        <w:trPr>
          <w:cantSplit/>
        </w:trPr>
        <w:tc>
          <w:tcPr>
            <w:tcW w:w="2000" w:type="dxa"/>
            <w:shd w:fill="FFFFFF"/>
            <w:vAlign w:val="center"/>
          </w:tcPr>
          <w:p>
            <w:pPr>
              <w:pStyle w:val="Normal"/>
              <w:spacing w:after="120" w:line="264" w:lineRule="auto"/>
            </w:pPr>
            <w:r>
              <w:rPr>
                <w:color w:val="000000"/>
                <w:sz w:val="19"/>
              </w:rPr>
              <w:t xml:space="preserve">Untrusted lead becomes breach or unjustified lockdown</w:t>
            </w:r>
          </w:p>
        </w:tc>
        <w:tc>
          <w:tcPr>
            <w:tcW w:w="2600" w:type="dxa"/>
            <w:shd w:fill="FFFFFF"/>
            <w:vAlign w:val="center"/>
          </w:tcPr>
          <w:p>
            <w:pPr>
              <w:pStyle w:val="Normal"/>
              <w:spacing w:after="120" w:line="264" w:lineRule="auto"/>
            </w:pPr>
            <w:r>
              <w:rPr>
                <w:color w:val="000000"/>
                <w:sz w:val="19"/>
              </w:rPr>
              <w:t xml:space="preserve">core/breach_state.py, Adversary Combat, gui/breach_display.py</w:t>
            </w:r>
          </w:p>
        </w:tc>
        <w:tc>
          <w:tcPr>
            <w:tcW w:w="2400" w:type="dxa"/>
            <w:shd w:fill="FFFFFF"/>
            <w:vAlign w:val="center"/>
          </w:tcPr>
          <w:p>
            <w:pPr>
              <w:pStyle w:val="Normal"/>
              <w:spacing w:after="120" w:line="264" w:lineRule="auto"/>
            </w:pPr>
            <w:r>
              <w:rPr>
                <w:color w:val="000000"/>
                <w:sz w:val="19"/>
              </w:rPr>
              <w:t xml:space="preserve">tests/test_breach_state.py, tests/test_breach_lockdown.py, tests/test_breach_display.py</w:t>
            </w:r>
          </w:p>
        </w:tc>
        <w:tc>
          <w:tcPr>
            <w:tcW w:w="2360" w:type="dxa"/>
            <w:shd w:fill="FFFFFF"/>
            <w:vAlign w:val="center"/>
          </w:tcPr>
          <w:p>
            <w:pPr>
              <w:pStyle w:val="Normal"/>
              <w:spacing w:after="120" w:line="264" w:lineRule="auto"/>
            </w:pPr>
            <w:r>
              <w:rPr>
                <w:color w:val="000000"/>
                <w:sz w:val="19"/>
              </w:rPr>
              <w:t xml:space="preserve">Fresh native current-generation evidence, original target/action contract, signed installed authority, effective-policy/scope checks, durable receipts and managed-only verified Lift.</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Capability</w:t>
            </w:r>
          </w:p>
        </w:tc>
        <w:tc>
          <w:tcPr>
            <w:tcW w:w="7160" w:type="dxa"/>
            <w:shd w:fill="DCE7F0"/>
            <w:vAlign w:val="center"/>
          </w:tcPr>
          <w:p>
            <w:pPr>
              <w:pStyle w:val="Normal"/>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GitHub Tools and Zero Breach Toolkit</w:t>
      </w:r>
    </w:p>
    <w:p>
      <w:pPr>
        <w:pStyle w:val="Normal"/>
        <w:spacing w:after="120" w:line="264" w:lineRule="auto"/>
      </w:pPr>
      <w:r>
        <w:rPr>
          <w:color w:val="000000"/>
          <w:sz w:val="22"/>
        </w:rPr>
        <w:t xml:space="preserve">Angerona's GitHub Tools button opens curated scanners, source review, verification, settings, analysis and credits. SpywareGuard &gt; Zero Breach uses the same prepared tool and job state. Opening a second view does not install a second copy or start a second scan.</w:t>
      </w:r>
    </w:p>
    <w:p>
      <w:pPr>
        <w:pStyle w:val="Normal"/>
        <w:spacing w:after="120" w:line="264" w:lineRule="auto"/>
      </w:pPr>
      <w:r>
        <w:rPr>
          <w:color w:val="000000"/>
          <w:sz w:val="22"/>
        </w:rPr>
        <w:t xml:space="preserve">The first curated engine is Zero Breach Toolkit v0.1.10, by archivegenocide.com / interplains. Its complete single-file release is bundled unchanged, alongside its licenses and notices. It runs as a separate supervised process behind Angerona's controls. It is never imported into the security core or GUI interpreter: the upstream scanner temporarily changes Python socket functions while scanning, which must not affect Angerona's other services.</w:t>
      </w:r>
    </w:p>
    <w:p>
      <w:pPr>
        <w:pStyle w:val="Heading3"/>
        <w:keepNext/>
        <w:spacing w:after="120" w:line="264" w:lineRule="auto"/>
      </w:pPr>
      <w:r>
        <w:rPr>
          <w:color w:val="000000"/>
        </w:rPr>
        <w:t xml:space="preserve">Installation, download and revert</w:t>
      </w:r>
    </w:p>
    <w:p>
      <w:pPr>
        <w:pStyle w:val="Normal"/>
        <w:spacing w:after="120" w:line="264" w:lineRule="auto"/>
      </w:pPr>
      <w:r>
        <w:rPr>
          <w:color w:val="000000"/>
          <w:sz w:val="22"/>
        </w:rPr>
        <w:t xml:space="preserve">Optional automatic preparation happens after the dashboard paints. Preparing the bundled standard-library engine needs no pip installation and does not modify Angerona's Python environment. A download/restore action retrieves the exact cataloged release; a newer upstream branch or release does not silently replace that reviewed version.</w:t>
      </w:r>
    </w:p>
    <w:p>
      <w:pPr>
        <w:pStyle w:val="Normal"/>
        <w:spacing w:after="120" w:line="264" w:lineRule="auto"/>
      </w:pPr>
      <w:r>
        <w:rPr>
          <w:color w:val="000000"/>
          <w:sz w:val="22"/>
        </w:rPr>
        <w:t xml:space="preserve">Both views expose the prepared version, integrity state, job status and storage information. Settings control automatic preparation, permitted downloads and job/report limits. Disabling preparation or a failed optional download does not make the dashboard depend on the toolkit.</w:t>
      </w:r>
    </w:p>
    <w:p>
      <w:pPr>
        <w:pStyle w:val="Normal"/>
        <w:spacing w:after="120" w:line="264" w:lineRule="auto"/>
      </w:pPr>
      <w:r>
        <w:rPr>
          <w:color w:val="000000"/>
          <w:sz w:val="22"/>
        </w:rPr>
        <w:t xml:space="preserve">Revert retires the exact managed installation after confirmation. Preferences and retained reports remain available. Unknown or changed files require review rather than becoming targets for a broad cleanup. Prepare/Restore can make a verified copy available again.</w:t>
      </w:r>
    </w:p>
    <w:p>
      <w:pPr>
        <w:pStyle w:val="Heading3"/>
        <w:keepNext/>
        <w:spacing w:after="120" w:line="264" w:lineRule="auto"/>
      </w:pPr>
      <w:r>
        <w:rPr>
          <w:color w:val="000000"/>
        </w:rPr>
        <w:t xml:space="preserve">Integrated checks</w:t>
      </w:r>
    </w:p>
    <w:p>
      <w:pPr>
        <w:pStyle w:val="Normal"/>
        <w:spacing w:after="120" w:line="264" w:lineRule="auto"/>
      </w:pPr>
      <w:r>
        <w:rPr>
          <w:color w:val="000000"/>
          <w:sz w:val="22"/>
        </w:rPr>
        <w:t xml:space="preserve">Use the native controls to select a default, full, browser or selected-target check; quick/preview options, existing Windows records, custom local indicators and supported local phone collections can refine that request. The adapter can inspect existing AndroidQF collections and local iPhone backup, filesystem or sysdiagnose inputs. Availability depends on the selected input and platform; unavailable or skipped checks remain visible as coverage gaps.</w:t>
      </w:r>
    </w:p>
    <w:p>
      <w:pPr>
        <w:pStyle w:val="Normal"/>
        <w:spacing w:after="120" w:line="264" w:lineRule="auto"/>
      </w:pPr>
      <w:r>
        <w:rPr>
          <w:color w:val="000000"/>
          <w:sz w:val="22"/>
        </w:rPr>
        <w:t xml:space="preserve">Integrated execution currently requires an ordinary-user source process. Installed or elevated execution remains HELD until an accepted ordinary-user broker is available. Opening the native page or verifying Administrator coverage does not bypass that boundary or request elevation for the third-party engine.</w:t>
      </w:r>
    </w:p>
    <w:p>
      <w:pPr>
        <w:pStyle w:val="Normal"/>
        <w:spacing w:after="120" w:line="264" w:lineRule="auto"/>
      </w:pPr>
      <w:r>
        <w:rPr>
          <w:color w:val="000000"/>
          <w:sz w:val="22"/>
        </w:rPr>
        <w:t xml:space="preserve">Ordinary integrated scans use the bundled indicators without refreshing feeds. The scanner does not require administrator privileges. Angerona does not infer that a privileged collector succeeded merely because a window or process opened.</w:t>
      </w:r>
    </w:p>
    <w:p>
      <w:pPr>
        <w:pStyle w:val="Normal"/>
        <w:spacing w:after="120" w:line="264" w:lineRule="auto"/>
      </w:pPr>
      <w:r>
        <w:rPr>
          <w:color w:val="000000"/>
          <w:sz w:val="22"/>
        </w:rPr>
        <w:t xml:space="preserve">Advanced toolkit options explains the following upstream capabilities and links the complete pinned release and its download. Their execution inside Angerona remains HELD until separate managed adapters and dependency or acquisition runtimes are reviewed; this is not a runnable native full-menu path:</w:t>
      </w:r>
    </w:p>
    <w:p>
      <w:pPr>
        <w:pStyle w:val="Normal"/>
        <w:spacing w:after="120" w:line="264" w:lineRule="auto"/>
      </w:pPr>
      <w:r>
        <w:rPr>
          <w:color w:val="000000"/>
          <w:sz w:val="22"/>
        </w:rPr>
        <w:t xml:space="preserve">• Encrypted iPhone backups use a private terminal password prompt. Passwords</w:t>
      </w:r>
    </w:p>
    <w:p>
      <w:pPr>
        <w:pStyle w:val="Normal"/>
        <w:spacing w:after="120" w:line="264" w:lineRule="auto"/>
      </w:pPr>
      <w:r>
        <w:rPr>
          <w:color w:val="000000"/>
          <w:sz w:val="22"/>
        </w:rPr>
        <w:t xml:space="preserve">must not be supplied through command-line arguments, environment variables, logs or saved settings.</w:t>
      </w:r>
    </w:p>
    <w:p>
      <w:pPr>
        <w:pStyle w:val="Normal"/>
        <w:spacing w:after="120" w:line="264" w:lineRule="auto"/>
      </w:pPr>
      <w:r>
        <w:rPr>
          <w:color w:val="000000"/>
          <w:sz w:val="22"/>
        </w:rPr>
        <w:t xml:space="preserve">• Optional Candiru patterns require the separately pinned YARA-X dependency;</w:t>
      </w:r>
    </w:p>
    <w:p>
      <w:pPr>
        <w:pStyle w:val="Normal"/>
        <w:spacing w:after="120" w:line="264" w:lineRule="auto"/>
      </w:pPr>
      <w:r>
        <w:rPr>
          <w:color w:val="000000"/>
          <w:sz w:val="22"/>
        </w:rPr>
        <w:t xml:space="preserve">encrypted-backup extras also have their own requirements. They do not belong in Angerona's shared environment.</w:t>
      </w:r>
    </w:p>
    <w:p>
      <w:pPr>
        <w:pStyle w:val="Normal"/>
        <w:spacing w:after="120" w:line="264" w:lineRule="auto"/>
      </w:pPr>
      <w:r>
        <w:rPr>
          <w:color w:val="000000"/>
          <w:sz w:val="22"/>
        </w:rPr>
        <w:t xml:space="preserve">• Indicator refresh is a network operation. The upstream updater's per-source</w:t>
      </w:r>
    </w:p>
    <w:p>
      <w:pPr>
        <w:pStyle w:val="Normal"/>
        <w:spacing w:after="120" w:line="264" w:lineRule="auto"/>
      </w:pPr>
      <w:r>
        <w:rPr>
          <w:color w:val="000000"/>
          <w:sz w:val="22"/>
        </w:rPr>
        <w:t xml:space="preserve">limit is not an aggregate cache quota; automatic execution must retain the managed adapter's download/storage policy.</w:t>
      </w:r>
    </w:p>
    <w:p>
      <w:pPr>
        <w:pStyle w:val="Normal"/>
        <w:spacing w:after="120" w:line="264" w:lineRule="auto"/>
      </w:pPr>
      <w:r>
        <w:rPr>
          <w:color w:val="000000"/>
          <w:sz w:val="22"/>
        </w:rPr>
        <w:t xml:space="preserve">• AndroidQF acquisition is separate from examining an existing collection. It</w:t>
      </w:r>
    </w:p>
    <w:p>
      <w:pPr>
        <w:pStyle w:val="Normal"/>
        <w:spacing w:after="120" w:line="264" w:lineRule="auto"/>
      </w:pPr>
      <w:r>
        <w:rPr>
          <w:color w:val="000000"/>
          <w:sz w:val="22"/>
        </w:rPr>
        <w:t xml:space="preserve">downloads a collector, needs device-owner consent, changes device state and can retain sensitive partial output.</w:t>
      </w:r>
    </w:p>
    <w:p>
      <w:pPr>
        <w:pStyle w:val="Normal"/>
        <w:spacing w:after="120" w:line="264" w:lineRule="auto"/>
      </w:pPr>
      <w:r>
        <w:rPr>
          <w:color w:val="000000"/>
          <w:sz w:val="22"/>
        </w:rPr>
        <w:t xml:space="preserve">• Evidence exports are private, unencrypted ZIP files. Only explicitly selected</w:t>
      </w:r>
    </w:p>
    <w:p>
      <w:pPr>
        <w:pStyle w:val="Normal"/>
        <w:spacing w:after="120" w:line="264" w:lineRule="auto"/>
      </w:pPr>
      <w:r>
        <w:rPr>
          <w:color w:val="000000"/>
          <w:sz w:val="22"/>
        </w:rPr>
        <w:t xml:space="preserve">originals belong in an export; a path mentioned in a finding is not permission to copy that file.</w:t>
      </w:r>
    </w:p>
    <w:p>
      <w:pPr>
        <w:pStyle w:val="Normal"/>
        <w:spacing w:after="120" w:line="264" w:lineRule="auto"/>
      </w:pPr>
      <w:r>
        <w:rPr>
          <w:color w:val="000000"/>
          <w:sz w:val="22"/>
        </w:rPr>
        <w:t xml:space="preserve">• The optional browser ad-blocking test opens an external website after a user</w:t>
      </w:r>
    </w:p>
    <w:p>
      <w:pPr>
        <w:pStyle w:val="Normal"/>
        <w:spacing w:after="120" w:line="264" w:lineRule="auto"/>
      </w:pPr>
      <w:r>
        <w:rPr>
          <w:color w:val="000000"/>
          <w:sz w:val="22"/>
        </w:rPr>
        <w:t xml:space="preserve">action. It is separate from the scanner's offline checks.</w:t>
      </w:r>
    </w:p>
    <w:p>
      <w:pPr>
        <w:pStyle w:val="Normal"/>
        <w:spacing w:after="120" w:line="264" w:lineRule="auto"/>
      </w:pPr>
      <w:r>
        <w:rPr>
          <w:color w:val="000000"/>
          <w:sz w:val="22"/>
        </w:rPr>
        <w:t xml:space="preserve">The upstream --deep option is unimplemented and is not a supported capability. See the pinned machine contract and privacy documentation for the original behavior and limitations.</w:t>
      </w:r>
    </w:p>
    <w:p>
      <w:pPr>
        <w:pStyle w:val="Heading3"/>
        <w:keepNext/>
        <w:spacing w:after="120" w:line="264" w:lineRule="auto"/>
      </w:pPr>
      <w:r>
        <w:rPr>
          <w:color w:val="000000"/>
        </w:rPr>
        <w:t xml:space="preserve">Reports, cancellation and storage</w:t>
      </w:r>
    </w:p>
    <w:p>
      <w:pPr>
        <w:pStyle w:val="Normal"/>
        <w:spacing w:after="120" w:line="264" w:lineRule="auto"/>
      </w:pPr>
      <w:r>
        <w:rPr>
          <w:color w:val="000000"/>
          <w:sz w:val="22"/>
        </w:rPr>
        <w:t xml:space="preserve">Every job receives a fresh private temporary directory. The upstream tool can delete old matching-prefix temporary folders and can create complete browser database snapshots or temporary plaintext phone databases. Its temporary path must therefore never be Angerona's general temp directory or the user's system temp directory. Interrupted sensitive snapshots need controlled retention and cleanup; deletion is not secure erasure.</w:t>
      </w:r>
    </w:p>
    <w:p>
      <w:pPr>
        <w:pStyle w:val="Normal"/>
        <w:spacing w:after="120" w:line="264" w:lineRule="auto"/>
      </w:pPr>
      <w:r>
        <w:rPr>
          <w:color w:val="000000"/>
          <w:sz w:val="22"/>
        </w:rPr>
        <w:t xml:space="preserve">Managed jobs apply their own deadlines, output/workspace budgets and cancellation. Dashboard STOP cancels owned scanner work; hiding a tool view does not create another controller or silently restart a job. Forced termination or an incomplete report remains an explicit coverage gap.</w:t>
      </w:r>
    </w:p>
    <w:p>
      <w:pPr>
        <w:pStyle w:val="Normal"/>
        <w:spacing w:after="120" w:line="264" w:lineRule="auto"/>
      </w:pPr>
      <w:r>
        <w:rPr>
          <w:color w:val="000000"/>
          <w:sz w:val="22"/>
        </w:rPr>
        <w:t xml:space="preserve">Monitored byte budgets are not an operating-system filesystem quota. An upstream browser snapshot can be as large as 1 GiB and can grow between monitor samples. Optional scans require a 3 GiB free-space reserve plus the configured working-data allowance before admission. Optional preparation requires 64 MiB free and does not run on the dashboard's startup-critical path. Settings expose working-data and retained-report limits and a scan deadline; cooperating Python copies/writes are bounded, while native writers are monitored and can exceed a sample between checks. A tool storage hold does not prevent Angerona itself from opening. Unknown or modified output is preserved for review; report cleanup is separate from Revert and cannot erase source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Managed data</w:t>
            </w:r>
          </w:p>
        </w:tc>
        <w:tc>
          <w:tcPr>
            <w:tcW w:w="7160" w:type="dxa"/>
            <w:shd w:fill="DCE7F0"/>
            <w:vAlign w:val="center"/>
          </w:tcPr>
          <w:p>
            <w:pPr>
              <w:pStyle w:val="Normal"/>
              <w:spacing w:after="120" w:line="264" w:lineRule="auto"/>
            </w:pPr>
            <w:r>
              <w:rPr>
                <w:b/>
                <w:color w:val="000000"/>
                <w:sz w:val="19"/>
              </w:rPr>
              <w:t xml:space="preserve">Admission and retention</w:t>
            </w:r>
          </w:p>
        </w:tc>
      </w:tr>
      <w:tr>
        <w:trPr>
          <w:cantSplit/>
        </w:trPr>
        <w:tc>
          <w:tcPr>
            <w:tcW w:w="2200" w:type="dxa"/>
            <w:shd w:fill="FFFFFF"/>
            <w:vAlign w:val="center"/>
          </w:tcPr>
          <w:p>
            <w:pPr>
              <w:pStyle w:val="Normal"/>
              <w:spacing w:after="120" w:line="264" w:lineRule="auto"/>
            </w:pPr>
            <w:r>
              <w:rPr>
                <w:color w:val="000000"/>
                <w:sz w:val="19"/>
              </w:rPr>
              <w:t xml:space="preserve">Prepared engine</w:t>
            </w:r>
          </w:p>
        </w:tc>
        <w:tc>
          <w:tcPr>
            <w:tcW w:w="7160" w:type="dxa"/>
            <w:shd w:fill="FFFFFF"/>
            <w:vAlign w:val="center"/>
          </w:tcPr>
          <w:p>
            <w:pPr>
              <w:pStyle w:val="Normal"/>
              <w:spacing w:after="120" w:line="264" w:lineRule="auto"/>
            </w:pPr>
            <w:r>
              <w:rPr>
                <w:color w:val="000000"/>
                <w:sz w:val="19"/>
              </w:rPr>
              <w:t xml:space="preserve">16 MiB aggregate allowance and at most two managed versions; unknown or edited originals remain preserved.</w:t>
            </w:r>
          </w:p>
        </w:tc>
      </w:tr>
      <w:tr>
        <w:trPr>
          <w:cantSplit/>
        </w:trPr>
        <w:tc>
          <w:tcPr>
            <w:tcW w:w="2200" w:type="dxa"/>
            <w:shd w:fill="F4F6F8"/>
            <w:vAlign w:val="center"/>
          </w:tcPr>
          <w:p>
            <w:pPr>
              <w:pStyle w:val="Normal"/>
              <w:spacing w:after="120" w:line="264" w:lineRule="auto"/>
            </w:pPr>
            <w:r>
              <w:rPr>
                <w:color w:val="000000"/>
                <w:sz w:val="19"/>
              </w:rPr>
              <w:t xml:space="preserve">Job working data</w:t>
            </w:r>
          </w:p>
        </w:tc>
        <w:tc>
          <w:tcPr>
            <w:tcW w:w="7160" w:type="dxa"/>
            <w:shd w:fill="F4F6F8"/>
            <w:vAlign w:val="center"/>
          </w:tcPr>
          <w:p>
            <w:pPr>
              <w:pStyle w:val="Normal"/>
              <w:spacing w:after="120" w:line="264" w:lineRule="auto"/>
            </w:pPr>
            <w:r>
              <w:rPr>
                <w:color w:val="000000"/>
                <w:sz w:val="19"/>
              </w:rPr>
              <w:t xml:space="preserve">Default 256 MiB, configurable from 64 to 1024 MiB; native growth is monitored rather than filesystem-quota enforced.</w:t>
            </w:r>
          </w:p>
        </w:tc>
      </w:tr>
      <w:tr>
        <w:trPr>
          <w:cantSplit/>
        </w:trPr>
        <w:tc>
          <w:tcPr>
            <w:tcW w:w="2200" w:type="dxa"/>
            <w:shd w:fill="FFFFFF"/>
            <w:vAlign w:val="center"/>
          </w:tcPr>
          <w:p>
            <w:pPr>
              <w:pStyle w:val="Normal"/>
              <w:spacing w:after="120" w:line="264" w:lineRule="auto"/>
            </w:pPr>
            <w:r>
              <w:rPr>
                <w:color w:val="000000"/>
                <w:sz w:val="19"/>
              </w:rPr>
              <w:t xml:space="preserve">Retained reports</w:t>
            </w:r>
          </w:p>
        </w:tc>
        <w:tc>
          <w:tcPr>
            <w:tcW w:w="7160" w:type="dxa"/>
            <w:shd w:fill="FFFFFF"/>
            <w:vAlign w:val="center"/>
          </w:tcPr>
          <w:p>
            <w:pPr>
              <w:pStyle w:val="Normal"/>
              <w:spacing w:after="120" w:line="264" w:lineRule="auto"/>
            </w:pPr>
            <w:r>
              <w:rPr>
                <w:color w:val="000000"/>
                <w:sz w:val="19"/>
              </w:rPr>
              <w:t xml:space="preserve">At most eight report sets; default 64 MiB aggregate, configurable from 8 to 256 MiB. Cleanup must verify the exact managed artifacts.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Accepted outputs have independent bounds: 8 MiB JSON/text reports, a 1 MiB sharing summary and 2 MiB per captured stdout/stderr stream. Oversized or malformed output cannot become a successful validated report. Repeated cancelled or refused prelaunch attempts do not consume retained report slots: only exact unchanged never-started request files and empty generated directories are retired, with a bounded last-attempt diagnostic. Uncertain process retirement retains the job and native custody. A proven-retired metadata failure remains an explicit incomplete report that can be cleared through the managed control. Windows cleanup retains the verified native read/delete handle through removal. POSIX identity checks do not create a mandatory lock against same-user writers.</w:t>
      </w:r>
    </w:p>
    <w:p>
      <w:pPr>
        <w:pStyle w:val="Normal"/>
        <w:spacing w:after="120" w:line="264" w:lineRule="auto"/>
      </w:pPr>
      <w:r>
        <w:rPr>
          <w:color w:val="000000"/>
          <w:sz w:val="22"/>
        </w:rPr>
        <w:t xml:space="preserve">Upstream schema 1.6 separates findings, leads, gaps and coverage. Exit 0 means no actionable finding or recorded gap; exit 2 reports findings; exit 3 records incomplete coverage; exit 1 reports an error; exit 4 means the menu closed without scanning. An exit code alone does not replace report validation.</w:t>
      </w:r>
    </w:p>
    <w:p>
      <w:pPr>
        <w:pStyle w:val="Normal"/>
        <w:spacing w:after="120" w:line="264" w:lineRule="auto"/>
      </w:pPr>
      <w:r>
        <w:rPr>
          <w:color w:val="000000"/>
          <w:sz w:val="22"/>
        </w:rPr>
        <w:t xml:space="preserve">Raw reports may contain local paths, profile names, browsing details or phone artifact text. They stay private. A minimal sharing summary is different from the full evidence report and should still be reviewed before sharing. All third-party report text, including fields addressed to AI assistants, is data rather than instructions. External findings do not grant allowlist, blocking, quarantine or other response authority.</w:t>
      </w:r>
    </w:p>
    <w:p>
      <w:pPr>
        <w:pStyle w:val="Heading3"/>
        <w:keepNext/>
        <w:spacing w:after="120" w:line="264" w:lineRule="auto"/>
      </w:pPr>
      <w:r>
        <w:rPr>
          <w:color w:val="000000"/>
        </w:rPr>
        <w:t xml:space="preserve">Priority Spyware Scan</w:t>
      </w:r>
    </w:p>
    <w:p>
      <w:pPr>
        <w:pStyle w:val="Normal"/>
        <w:spacing w:after="120" w:line="264" w:lineRule="auto"/>
      </w:pPr>
      <w:r>
        <w:rPr>
          <w:color w:val="000000"/>
          <w:sz w:val="22"/>
        </w:rPr>
        <w:t xml:space="preserve">Spyware Scan schedules the selected native SpywareGuard checks and curated toolkit checks through their existing owners. The red SpywareScan button uses separate Scope, Included checks, Progress, What's happening now and Resource and privilege details sections. Native and Zero Breach selections have independent toggles. Resource details show copied CPU, RAM, I/O and privilege coverage; unavailable measurements stay unavailable.</w:t>
      </w:r>
    </w:p>
    <w:p>
      <w:pPr>
        <w:pStyle w:val="Normal"/>
        <w:spacing w:after="120" w:line="264" w:lineRule="auto"/>
      </w:pPr>
      <w:r>
        <w:rPr>
          <w:color w:val="000000"/>
          <w:sz w:val="22"/>
        </w:rPr>
        <w:t xml:space="preserve">Entire PC is the initial scope. Click the scope control to choose browser checks or selected local evidence. Entire PC requests the toolkit's supported system-wide checks; it does not promise examination of every file or privileged collection. Scrolling the page does not change scan options. Status refreshes preserve the selected scope, inputs, open details and review position.</w:t>
      </w:r>
    </w:p>
    <w:p>
      <w:pPr>
        <w:pStyle w:val="Normal"/>
        <w:spacing w:after="120" w:line="264" w:lineRule="auto"/>
      </w:pPr>
      <w:r>
        <w:rPr>
          <w:color w:val="000000"/>
          <w:sz w:val="22"/>
        </w:rPr>
        <w:t xml:space="preserve">The progress ring reports completed workflow stages: preparation, selected native checks, selected toolkit checks and report assembly. Its percentage is stage completion, not a file count or assurance that every check succeeded. Held or unavailable checks remain visible in the coverage summary. When valid stage counters are absent, progress is indeterminate. Animation follows active scan state, stops when hidden or idle and respects reduced-motion preferences. What's happening now explains the current stage; expand its details for collection limits, report handling and the next step.</w:t>
      </w:r>
    </w:p>
    <w:p>
      <w:pPr>
        <w:pStyle w:val="Normal"/>
        <w:spacing w:after="120" w:line="264" w:lineRule="auto"/>
      </w:pPr>
      <w:r>
        <w:rPr>
          <w:color w:val="000000"/>
          <w:sz w:val="22"/>
        </w:rPr>
        <w:t xml:space="preserve">Settings retain the priority and resource choices. Above normal is the default; High is the supported operating-system ceiling. REALTIME priority is not used. The default requested routine-background pace is 10% while the priority scan is active. That is scheduling intent, not a guarantee that other programs or modules will consume exactly 10% CPU. Critical control, watchdog/heartbeat work and event intake keep their own cadence. Limits and cancellation remain subject to actual platform support and the scan's native process custody.</w:t>
      </w:r>
    </w:p>
    <w:p>
      <w:pPr>
        <w:pStyle w:val="Normal"/>
        <w:spacing w:after="120" w:line="264" w:lineRule="auto"/>
      </w:pPr>
      <w:r>
        <w:rPr>
          <w:color w:val="000000"/>
          <w:sz w:val="22"/>
        </w:rPr>
        <w:t xml:space="preserve">Privilege verification reports current coverage; it does not silently grant Administrator rights. A tool report or resource graph is not a detection-rate benchmark, proof of full collection or permission to terminate a process.</w:t>
      </w:r>
    </w:p>
    <w:p>
      <w:pPr>
        <w:pStyle w:val="Heading3"/>
        <w:keepNext/>
        <w:spacing w:after="120" w:line="264" w:lineRule="auto"/>
      </w:pPr>
      <w:r>
        <w:rPr>
          <w:color w:val="000000"/>
        </w:rPr>
        <w:t xml:space="preserve">Analysis and sandbox controls</w:t>
      </w:r>
    </w:p>
    <w:p>
      <w:pPr>
        <w:pStyle w:val="Normal"/>
        <w:spacing w:after="120" w:line="264" w:lineRule="auto"/>
      </w:pPr>
      <w:r>
        <w:rPr>
          <w:color w:val="000000"/>
          <w:sz w:val="22"/>
        </w:rPr>
        <w:t xml:space="preserve">Source Library retains the existing pinned GitHub import/review workflow. Imported repositories remain data-only archives; marking one reviewed does not install it or make it runnable. A curated execution adapter and its fixed artifact are a separate maintained integration.</w:t>
      </w:r>
    </w:p>
    <w:p>
      <w:pPr>
        <w:pStyle w:val="Normal"/>
        <w:spacing w:after="120" w:line="264" w:lineRule="auto"/>
      </w:pPr>
      <w:r>
        <w:rPr>
          <w:color w:val="000000"/>
          <w:sz w:val="22"/>
        </w:rPr>
        <w:t xml:space="preserve">Analysis/Sandbox opens the existing source-analysis facilities and their readiness controls. A host-evidence scan reads the host and is not a VM-isolated scan. The upstream Python socket guard is not an operating-system network or filesystem sandbox. Existing Analysis Lab acceptance holds remain meaningful; opening this page does not establish a working hypervisor or sandbox.</w:t>
      </w:r>
    </w:p>
    <w:p>
      <w:pPr>
        <w:pStyle w:val="Heading3"/>
        <w:keepNext/>
        <w:spacing w:after="120" w:line="264" w:lineRule="auto"/>
      </w:pPr>
      <w:r>
        <w:rPr>
          <w:color w:val="000000"/>
        </w:rPr>
        <w:t xml:space="preserve">Credits, licenses and integrity</w:t>
      </w:r>
    </w:p>
    <w:p>
      <w:pPr>
        <w:pStyle w:val="Normal"/>
        <w:spacing w:after="120" w:line="264" w:lineRule="auto"/>
      </w:pPr>
      <w:r>
        <w:rPr>
          <w:color w:val="000000"/>
          <w:sz w:val="22"/>
        </w:rPr>
        <w:t xml:space="preserve">The visible Credits control links to each curated project's repository, source commit, release and license notices. Imported source-library entries retain their own repository/version/license metadata; that metadata is separate from Angerona's curated execution catalog.</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400"/>
        <w:gridCol w:w="3480"/>
        <w:gridCol w:w="3480"/>
      </w:tblGrid>
      <w:tr>
        <w:trPr>
          <w:cantSplit/>
          <w:tblHeader/>
        </w:trPr>
        <w:tc>
          <w:tcPr>
            <w:tcW w:w="2400" w:type="dxa"/>
            <w:shd w:fill="DCE7F0"/>
            <w:vAlign w:val="center"/>
          </w:tcPr>
          <w:p>
            <w:pPr>
              <w:pStyle w:val="Normal"/>
              <w:spacing w:after="120" w:line="264" w:lineRule="auto"/>
            </w:pPr>
            <w:r>
              <w:rPr>
                <w:b/>
                <w:color w:val="000000"/>
                <w:sz w:val="19"/>
              </w:rPr>
              <w:t xml:space="preserve">Component</w:t>
            </w:r>
          </w:p>
        </w:tc>
        <w:tc>
          <w:tcPr>
            <w:tcW w:w="3480" w:type="dxa"/>
            <w:shd w:fill="DCE7F0"/>
            <w:vAlign w:val="center"/>
          </w:tcPr>
          <w:p>
            <w:pPr>
              <w:pStyle w:val="Normal"/>
              <w:spacing w:after="120" w:line="264" w:lineRule="auto"/>
            </w:pPr>
            <w:r>
              <w:rPr>
                <w:b/>
                <w:color w:val="000000"/>
                <w:sz w:val="19"/>
              </w:rPr>
              <w:t xml:space="preserve">Author / source</w:t>
            </w:r>
          </w:p>
        </w:tc>
        <w:tc>
          <w:tcPr>
            <w:tcW w:w="3480" w:type="dxa"/>
            <w:shd w:fill="DCE7F0"/>
            <w:vAlign w:val="center"/>
          </w:tcPr>
          <w:p>
            <w:pPr>
              <w:pStyle w:val="Normal"/>
              <w:spacing w:after="120" w:line="264" w:lineRule="auto"/>
            </w:pPr>
            <w:r>
              <w:rPr>
                <w:b/>
                <w:color w:val="000000"/>
                <w:sz w:val="19"/>
              </w:rPr>
              <w:t xml:space="preserve">Terms retained with the bundle</w:t>
            </w:r>
          </w:p>
        </w:tc>
      </w:tr>
      <w:tr>
        <w:trPr>
          <w:cantSplit/>
        </w:trPr>
        <w:tc>
          <w:tcPr>
            <w:tcW w:w="2400" w:type="dxa"/>
            <w:shd w:fill="FFFFFF"/>
            <w:vAlign w:val="center"/>
          </w:tcPr>
          <w:p>
            <w:pPr>
              <w:pStyle w:val="Normal"/>
              <w:spacing w:after="120" w:line="264" w:lineRule="auto"/>
            </w:pPr>
            <w:r>
              <w:rPr>
                <w:color w:val="000000"/>
                <w:sz w:val="19"/>
              </w:rPr>
              <w:t xml:space="preserve">Zero Breach Toolkit code</w:t>
            </w:r>
          </w:p>
        </w:tc>
        <w:tc>
          <w:tcPr>
            <w:tcW w:w="3480" w:type="dxa"/>
            <w:shd w:fill="FFFFFF"/>
            <w:vAlign w:val="center"/>
          </w:tcPr>
          <w:p>
            <w:pPr>
              <w:pStyle w:val="Normal"/>
              <w:spacing w:after="120" w:line="264" w:lineRule="auto"/>
            </w:pPr>
            <w:r>
              <w:rPr>
                <w:color w:val="000000"/>
                <w:sz w:val="19"/>
              </w:rPr>
              <w:t xml:space="preserve">archivegenocide.com / interplains</w:t>
            </w:r>
          </w:p>
        </w:tc>
        <w:tc>
          <w:tcPr>
            <w:tcW w:w="3480" w:type="dxa"/>
            <w:shd w:fill="FFFFFF"/>
            <w:vAlign w:val="center"/>
          </w:tcPr>
          <w:p>
            <w:pPr>
              <w:pStyle w:val="Normal"/>
              <w:spacing w:after="120" w:line="264" w:lineRule="auto"/>
            </w:pPr>
            <w:r>
              <w:rPr>
                <w:color w:val="000000"/>
                <w:sz w:val="19"/>
              </w:rPr>
              <w:t xml:space="preserve">Apache-2.0; original LICENSE, NOTICE and PRIVACY.md</w:t>
            </w:r>
          </w:p>
        </w:tc>
      </w:tr>
      <w:tr>
        <w:trPr>
          <w:cantSplit/>
        </w:trPr>
        <w:tc>
          <w:tcPr>
            <w:tcW w:w="2400" w:type="dxa"/>
            <w:shd w:fill="F4F6F8"/>
            <w:vAlign w:val="center"/>
          </w:tcPr>
          <w:p>
            <w:pPr>
              <w:pStyle w:val="Normal"/>
              <w:spacing w:after="120" w:line="264" w:lineRule="auto"/>
            </w:pPr>
            <w:r>
              <w:rPr>
                <w:color w:val="000000"/>
                <w:sz w:val="19"/>
              </w:rPr>
              <w:t xml:space="preserve">Curated indicator data</w:t>
            </w:r>
          </w:p>
        </w:tc>
        <w:tc>
          <w:tcPr>
            <w:tcW w:w="3480" w:type="dxa"/>
            <w:shd w:fill="F4F6F8"/>
            <w:vAlign w:val="center"/>
          </w:tcPr>
          <w:p>
            <w:pPr>
              <w:pStyle w:val="Normal"/>
              <w:spacing w:after="120" w:line="264" w:lineRule="auto"/>
            </w:pPr>
            <w:r>
              <w:rPr>
                <w:color w:val="000000"/>
                <w:sz w:val="19"/>
              </w:rPr>
              <w:t xml:space="preserve">Published research, curated by the toolkit authors</w:t>
            </w:r>
          </w:p>
        </w:tc>
        <w:tc>
          <w:tcPr>
            <w:tcW w:w="3480" w:type="dxa"/>
            <w:shd w:fill="F4F6F8"/>
            <w:vAlign w:val="center"/>
          </w:tcPr>
          <w:p>
            <w:pPr>
              <w:pStyle w:val="Normal"/>
              <w:spacing w:after="120" w:line="264" w:lineRule="auto"/>
            </w:pPr>
            <w:r>
              <w:rPr>
                <w:color w:val="000000"/>
                <w:sz w:val="19"/>
              </w:rPr>
              <w:t xml:space="preserve">CC0-1.0; iocs/LICENSE.md retains the research citations</w:t>
            </w:r>
          </w:p>
        </w:tc>
      </w:tr>
      <w:tr>
        <w:trPr>
          <w:cantSplit/>
        </w:trPr>
        <w:tc>
          <w:tcPr>
            <w:tcW w:w="2400" w:type="dxa"/>
            <w:shd w:fill="FFFFFF"/>
            <w:vAlign w:val="center"/>
          </w:tcPr>
          <w:p>
            <w:pPr>
              <w:pStyle w:val="Normal"/>
              <w:spacing w:after="120" w:line="264" w:lineRule="auto"/>
            </w:pPr>
            <w:r>
              <w:rPr>
                <w:color w:val="000000"/>
                <w:sz w:val="19"/>
              </w:rPr>
              <w:t xml:space="preserve">MAL_DevilsTongue_HijackDll</w:t>
            </w:r>
          </w:p>
        </w:tc>
        <w:tc>
          <w:tcPr>
            <w:tcW w:w="3480" w:type="dxa"/>
            <w:shd w:fill="FFFFFF"/>
            <w:vAlign w:val="center"/>
          </w:tcPr>
          <w:p>
            <w:pPr>
              <w:pStyle w:val="Normal"/>
              <w:spacing w:after="120" w:line="264" w:lineRule="auto"/>
            </w:pPr>
            <w:r>
              <w:rPr>
                <w:color w:val="000000"/>
                <w:sz w:val="19"/>
              </w:rPr>
              <w:t xml:space="preserve">Microsoft Threat Intelligence Center (MSTIC), via Signature-Base</w:t>
            </w:r>
          </w:p>
        </w:tc>
        <w:tc>
          <w:tcPr>
            <w:tcW w:w="3480" w:type="dxa"/>
            <w:shd w:fill="FFFFFF"/>
            <w:vAlign w:val="center"/>
          </w:tcPr>
          <w:p>
            <w:pPr>
              <w:pStyle w:val="Normal"/>
              <w:spacing w:after="120" w:line="264" w:lineRule="auto"/>
            </w:pPr>
            <w:r>
              <w:rPr>
                <w:color w:val="000000"/>
                <w:sz w:val="19"/>
              </w:rPr>
              <w:t xml:space="preserve">Detection Rule License 1.1; author attribution must remain in match messages</w:t>
            </w:r>
          </w:p>
        </w:tc>
      </w:tr>
      <w:tr>
        <w:trPr>
          <w:cantSplit/>
        </w:trPr>
        <w:tc>
          <w:tcPr>
            <w:tcW w:w="2400" w:type="dxa"/>
            <w:shd w:fill="F4F6F8"/>
            <w:vAlign w:val="center"/>
          </w:tcPr>
          <w:p>
            <w:pPr>
              <w:pStyle w:val="Normal"/>
              <w:spacing w:after="120" w:line="264" w:lineRule="auto"/>
            </w:pPr>
            <w:r>
              <w:rPr>
                <w:color w:val="000000"/>
                <w:sz w:val="19"/>
              </w:rPr>
              <w:t xml:space="preserve">win_devilstongue_auto</w:t>
            </w:r>
          </w:p>
        </w:tc>
        <w:tc>
          <w:tcPr>
            <w:tcW w:w="3480" w:type="dxa"/>
            <w:shd w:fill="F4F6F8"/>
            <w:vAlign w:val="center"/>
          </w:tcPr>
          <w:p>
            <w:pPr>
              <w:pStyle w:val="Normal"/>
              <w:spacing w:after="120" w:line="264" w:lineRule="auto"/>
            </w:pPr>
            <w:r>
              <w:rPr>
                <w:color w:val="000000"/>
                <w:sz w:val="19"/>
              </w:rPr>
              <w:t xml:space="preserve">Felix Bilstein, via Malpedia</w:t>
            </w:r>
          </w:p>
        </w:tc>
        <w:tc>
          <w:tcPr>
            <w:tcW w:w="3480" w:type="dxa"/>
            <w:shd w:fill="F4F6F8"/>
            <w:vAlign w:val="center"/>
          </w:tcPr>
          <w:p>
            <w:pPr>
              <w:pStyle w:val="Normal"/>
              <w:spacing w:after="120" w:line="264" w:lineRule="auto"/>
            </w:pPr>
            <w:r>
              <w:rPr>
                <w:color w:val="000000"/>
                <w:sz w:val="19"/>
              </w:rPr>
              <w:t xml:space="preserve">CC BY-SA 4.0; unchanged rule, author, original and license links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upstream NOTICE names The Citizen Lab, Confiant, Recorded Future / Insikt Group, Amnesty International Security Lab, Access Now, Microsoft, ESET, Avast / Gen, Google Threat Analysis Group, the MVT project, Echap, Kaspersky, Rapid7 / Velociraptor and SigmaHQ as research/help sources. These citations do not imply affiliation or endorsement of either project. Optional dependencies retain their separate licenses.</w:t>
      </w:r>
    </w:p>
    <w:p>
      <w:pPr>
        <w:pStyle w:val="Normal"/>
        <w:spacing w:after="120" w:line="264" w:lineRule="auto"/>
      </w:pPr>
      <w:r>
        <w:rPr>
          <w:color w:val="000000"/>
          <w:sz w:val="22"/>
        </w:rPr>
        <w:t xml:space="preserve">The catalog pins release commit 81bd556ba604685dbd1c0ecb48138c10f43cccf8 and the 968,987-byte single-file engine's SHA-256:</w:t>
      </w:r>
    </w:p>
    <w:p>
      <w:pPr>
        <w:pStyle w:val="Normal"/>
        <w:spacing w:after="120" w:line="264" w:lineRule="auto"/>
      </w:pPr>
      <w:r>
        <w:rPr>
          <w:color w:val="000000"/>
          <w:sz w:val="19"/>
        </w:rPr>
        <w:t xml:space="preserve">075b2a0ac20f285fa4385d6b6c5cda2cedd410364c4f4686db3c1b8b033265d3</w:t>
      </w:r>
    </w:p>
    <w:p>
      <w:pPr>
        <w:pStyle w:val="Normal"/>
        <w:spacing w:after="120" w:line="264" w:lineRule="auto"/>
      </w:pPr>
      <w:r>
        <w:rPr>
          <w:color w:val="000000"/>
          <w:sz w:val="22"/>
        </w:rPr>
        <w:t xml:space="preserve">Original published checksums, signatures and the public key are retained under verification/. Their byte identities were checked against the official release metadata. Independent trust in that signing key and cryptographic signature verification were not established by this integration. A pinned hash proves the selected bytes, not that a third-party program or the host is free of defects. A report of no known indicators found is not proof that a device is clean.</w:t>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5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Each Retry admits its critical working space inside the owned attempt loop. Retained diagnostic quotas and recommended free-space reserves are advisory on this route, so another attempt does not require deleting old nonempty logs. Optional logging can degrade without changing the returned application result.</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Retained diagnostic capacity and recommended reserves do not stop a normal launch with validated private critical working space.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Data</w:t>
            </w:r>
          </w:p>
        </w:tc>
        <w:tc>
          <w:tcPr>
            <w:tcW w:w="7160" w:type="dxa"/>
            <w:shd w:fill="DCE7F0"/>
            <w:vAlign w:val="center"/>
          </w:tcPr>
          <w:p>
            <w:pPr>
              <w:pStyle w:val="Normal"/>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New snapshot/repair work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Critical startup working space</w:t>
            </w:r>
          </w:p>
        </w:tc>
        <w:tc>
          <w:tcPr>
            <w:tcW w:w="7160" w:type="dxa"/>
            <w:shd w:fill="FFFFFF"/>
            <w:vAlign w:val="center"/>
          </w:tcPr>
          <w:p>
            <w:pPr>
              <w:pStyle w:val="Normal"/>
              <w:spacing w:after="120" w:line="264" w:lineRule="auto"/>
            </w:pPr>
            <w:r>
              <w:rPr>
                <w:color w:val="000000"/>
                <w:sz w:val="19"/>
              </w:rPr>
              <w:t xml:space="preserve">Four fixed startup-temp.critical-* purpose folders per canonical base: interface, control, preflight and recovery. At most eight across the data and repository temporary bases. Admission checks each folder against a 32 MiB / 128-entry flat budget; managed output uses the remaining byte budget. Live producer leases prevent reuse. No new GUID attempt folder is needed on this route.</w:t>
            </w:r>
          </w:p>
        </w:tc>
      </w:tr>
      <w:tr>
        <w:trPr>
          <w:cantSplit/>
        </w:trPr>
        <w:tc>
          <w:tcPr>
            <w:tcW w:w="2200" w:type="dxa"/>
            <w:shd w:fill="F4F6F8"/>
            <w:vAlign w:val="center"/>
          </w:tcPr>
          <w:p>
            <w:pPr>
              <w:pStyle w:val="Normal"/>
              <w:spacing w:after="120" w:line="264" w:lineRule="auto"/>
            </w:pPr>
            <w:r>
              <w:rPr>
                <w:color w:val="000000"/>
                <w:sz w:val="19"/>
              </w:rPr>
              <w:t xml:space="preserve">Retained startup diagnostics</w:t>
            </w:r>
          </w:p>
        </w:tc>
        <w:tc>
          <w:tcPr>
            <w:tcW w:w="7160" w:type="dxa"/>
            <w:shd w:fill="F4F6F8"/>
            <w:vAlign w:val="center"/>
          </w:tcPr>
          <w:p>
            <w:pPr>
              <w:pStyle w:val="Normal"/>
              <w:spacing w:after="120" w:line="264" w:lineRule="auto"/>
            </w:pPr>
            <w:r>
              <w:rPr>
                <w:color w:val="000000"/>
                <w:sz w:val="19"/>
              </w:rPr>
              <w:t xml:space="preserve">Legacy startup-temp.* history is preserved. Its 32-attempt / 256 MiB admission policy is advisory for normal critical startup. Unknown and nonempty retained diagnostics are not swept to make room.</w:t>
            </w:r>
          </w:p>
        </w:tc>
      </w:tr>
      <w:tr>
        <w:trPr>
          <w:cantSplit/>
        </w:trPr>
        <w:tc>
          <w:tcPr>
            <w:tcW w:w="2200" w:type="dxa"/>
            <w:shd w:fill="FFFFFF"/>
            <w:vAlign w:val="center"/>
          </w:tcPr>
          <w:p>
            <w:pPr>
              <w:pStyle w:val="Normal"/>
              <w:spacing w:after="120" w:line="264" w:lineRule="auto"/>
            </w:pPr>
            <w:r>
              <w:rPr>
                <w:color w:val="000000"/>
                <w:sz w:val="19"/>
              </w:rPr>
              <w:t xml:space="preserve">Process helper compiler</w:t>
            </w:r>
          </w:p>
        </w:tc>
        <w:tc>
          <w:tcPr>
            <w:tcW w:w="7160" w:type="dxa"/>
            <w:shd w:fill="FFFFFF"/>
            <w:vAlign w:val="center"/>
          </w:tcPr>
          <w:p>
            <w:pPr>
              <w:pStyle w:val="Normal"/>
              <w:spacing w:after="120" w:line="264" w:lineRule="auto"/>
            </w:pPr>
            <w:r>
              <w:rPr>
                <w:color w:val="000000"/>
                <w:sz w:val="19"/>
              </w:rPr>
              <w:t xml:space="preserve">Private scratch retains a 2 MiB / 120-entry content guard. Unknown compiler artifacts are preserved and can require review. Critical startup can waive the recommended drive reserve; actual compilation and private I/O still must work.</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Critical folders carry a private, zero-byte startup-critical.lease. Read-only lease handles remain with the parent and its explicit child producers, including the launched core, through actual exit. Reuse requires exclusive custody and removes only fixed recognized disposable outputs after per-file checks. Unknown flat files are preserved and count toward the budget; unexpected nesting, redirected paths or oversized working space cannot be silently reclaimed.</w:t>
      </w:r>
    </w:p>
    <w:p>
      <w:pPr>
        <w:pStyle w:val="Normal"/>
        <w:spacing w:after="120" w:line="264" w:lineRule="auto"/>
      </w:pPr>
      <w:r>
        <w:rPr>
          <w:color w:val="000000"/>
          <w:sz w:val="22"/>
        </w:rPr>
        <w:t xml:space="preserve">With a validated native critical lease and actual private read/write access, normal startup can proceed below the native 2 GiB and Python 128 MiB recommended reserves. An environment variable alone grants no bypass. Optional capture is bounded by each stream's 8 MiB cap and the folder's remaining budget; drained overflow is counted without replacing the application's exit result. Source control replies retain their 64 KiB view limit. Runtime repair, installation and source preservation keep their separate capacity requirements.</w:t>
      </w:r>
    </w:p>
    <w:p>
      <w:pPr>
        <w:pStyle w:val="Normal"/>
        <w:spacing w:after="120" w:line="264" w:lineRule="auto"/>
      </w:pPr>
      <w:r>
        <w:rPr>
          <w:color w:val="000000"/>
          <w:sz w:val="22"/>
        </w:rPr>
        <w:t xml:space="preserve">These are admission and managed-output limits, not a filesystem-enforced folder quota. The core inherits temporary-file paths; general runtime temporary-file writers are not all hard-capped and still require monitoring and retention.</w:t>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pageBreakBefore/>
        <w:keepNext/>
        <w:spacing w:after="120" w:line="264" w:lineRule="auto"/>
      </w:pPr>
      <w:r>
        <w:rPr>
          <w:color w:val="000000"/>
        </w:rPr>
        <w:t xml:space="preserve">Primary platform and toolkit references</w:t>
      </w:r>
    </w:p>
    <w:p>
      <w:pPr>
        <w:pStyle w:val="Normal"/>
        <w:spacing w:after="0" w:line="264" w:lineRule="auto"/>
      </w:pPr>
      <w:r>
        <w:rPr>
          <w:color w:val="000000"/>
          <w:sz w:val="19"/>
        </w:rPr>
        <w:t xml:space="preserve">https://learn.microsoft.com/en-us/windows-hardware/drivers/gettingstarted/user-mode-and-kernel-mode</w:t>
      </w:r>
    </w:p>
    <w:p>
      <w:pPr>
        <w:pStyle w:val="Normal"/>
        <w:spacing w:after="0" w:line="264" w:lineRule="auto"/>
      </w:pPr>
      <w:r>
        <w:rPr>
          <w:color w:val="000000"/>
          <w:sz w:val="19"/>
        </w:rPr>
        <w:t xml:space="preserve">https://www.microsoft.com/en-us/msrc/windows-security-servicing-criteria</w:t>
      </w:r>
    </w:p>
    <w:p>
      <w:pPr>
        <w:pStyle w:val="Normal"/>
        <w:spacing w:after="0" w:line="264" w:lineRule="auto"/>
      </w:pPr>
      <w:r>
        <w:rPr>
          <w:color w:val="000000"/>
          <w:sz w:val="19"/>
        </w:rPr>
        <w:t xml:space="preserve">https://docs.github.com/en/rest/git/blobs</w:t>
      </w:r>
    </w:p>
    <w:p>
      <w:pPr>
        <w:pStyle w:val="Normal"/>
        <w:spacing w:after="0" w:line="264" w:lineRule="auto"/>
      </w:pPr>
      <w:r>
        <w:rPr>
          <w:color w:val="000000"/>
          <w:sz w:val="19"/>
        </w:rPr>
        <w:t xml:space="preserve">https://docs.github.com/en/rest/git/commits</w:t>
      </w:r>
    </w:p>
    <w:p>
      <w:pPr>
        <w:pStyle w:val="Normal"/>
        <w:spacing w:after="0" w:line="264" w:lineRule="auto"/>
      </w:pPr>
      <w:r>
        <w:rPr>
          <w:color w:val="000000"/>
          <w:sz w:val="19"/>
        </w:rPr>
        <w:t xml:space="preserve">https://docs.github.com/en/rest/git/trees</w:t>
      </w:r>
    </w:p>
    <w:p>
      <w:pPr>
        <w:pStyle w:val="Normal"/>
        <w:spacing w:after="0" w:line="264" w:lineRule="auto"/>
      </w:pPr>
      <w:r>
        <w:rPr>
          <w:color w:val="000000"/>
          <w:sz w:val="19"/>
        </w:rPr>
        <w:t xml:space="preserve">https://learn.microsoft.com/en-us/powershell/module/netsecurity/get-netfirewallprofile?view=windowsserver2025-ps</w:t>
      </w:r>
    </w:p>
    <w:p>
      <w:pPr>
        <w:pStyle w:val="Normal"/>
        <w:spacing w:after="0" w:line="264" w:lineRule="auto"/>
      </w:pPr>
      <w:r>
        <w:rPr>
          <w:color w:val="000000"/>
          <w:sz w:val="19"/>
        </w:rPr>
        <w:t xml:space="preserve">https://learn.microsoft.com/en-us/windows/win32/api/netfw/nf-netfw-inetfwpolicy2-get_localpolicymodifystate</w:t>
      </w:r>
    </w:p>
    <w:p>
      <w:pPr>
        <w:pStyle w:val="Normal"/>
        <w:spacing w:after="0" w:line="264" w:lineRule="auto"/>
      </w:pPr>
      <w:r>
        <w:rPr>
          <w:color w:val="000000"/>
          <w:sz w:val="19"/>
        </w:rPr>
        <w:t xml:space="preserve">https://github.com/interplains/Zero-Breach-Toolkit/releases/tag/v0.1.10</w:t>
      </w:r>
    </w:p>
    <w:p>
      <w:pPr>
        <w:pStyle w:val="Normal"/>
        <w:spacing w:after="0" w:line="264" w:lineRule="auto"/>
      </w:pPr>
      <w:r>
        <w:rPr>
          <w:color w:val="000000"/>
          <w:sz w:val="19"/>
        </w:rPr>
        <w:t xml:space="preserve">https://github.com/interplains/Zero-Breach-Toolkit/blob/81bd556ba604685dbd1c0ecb48138c10f43cccf8/scan/CONTRACT.md</w:t>
      </w:r>
    </w:p>
    <w:p>
      <w:pPr>
        <w:pStyle w:val="Normal"/>
        <w:spacing w:after="0" w:line="264" w:lineRule="auto"/>
      </w:pPr>
      <w:r>
        <w:rPr>
          <w:color w:val="000000"/>
          <w:sz w:val="19"/>
        </w:rPr>
        <w:t xml:space="preserve">https://github.com/interplains/Zero-Breach-Toolkit/blob/81bd556ba604685dbd1c0ecb48138c10f43cccf8/PRIVACY.md</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v1.14.2  |  29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v1.14.2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 Id="rIdAngeronaSecurityFlow4" Type="http://schemas.openxmlformats.org/officeDocument/2006/relationships/image" Target="media/security-flow-tools.png"/><Relationship Id="rIdAngeronaSecurityFlow5" Type="http://schemas.openxmlformats.org/officeDocument/2006/relationships/image" Target="media/security-flow-breach.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2026-10-29T00:00:00Z</dcterms:modified>
  <cp:category/>
</cp:coreProperties>
</file>