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F172A"/>
          <w:sz w:val="48"/>
        </w:rPr>
        <w:t>Angerona — Vulnerabilities Assessment &amp; Remediation</w:t>
      </w:r>
    </w:p>
    <w:p>
      <w:r>
        <w:rPr>
          <w:color w:val="555555"/>
          <w:sz w:val="21"/>
        </w:rPr>
        <w:t>AngeronaSuite (canonical GUI app) · src/angerona/</w:t>
      </w:r>
    </w:p>
    <w:p>
      <w:r>
        <w:t>Document version 1.8.0 · 2026-07-15 · Cycle 2: 10 new findings (6 MEDIUM, 4 LOW), all remediated; final self-check 26/26.</w:t>
      </w:r>
    </w:p>
    <w:p>
      <w:r>
        <w:rPr>
          <w:sz w:val="8"/>
        </w:rPr>
      </w:r>
    </w:p>
    <w:p>
      <w:pPr>
        <w:spacing w:before="320" w:after="120"/>
        <w:pBdr>
          <w:bottom w:val="single" w:sz="6" w:space="4" w:color="1e3a5f"/>
        </w:pBdr>
      </w:pPr>
      <w:r>
        <w:rPr>
          <w:b/>
          <w:color w:val="1E3A5F"/>
          <w:sz w:val="30"/>
        </w:rPr>
        <w:t>1. Purpose &amp; Scope</w:t>
      </w:r>
    </w:p>
    <w:p>
      <w:pPr>
        <w:spacing w:after="120"/>
      </w:pPr>
      <w:r>
        <w:rPr>
          <w:i w:val="0"/>
          <w:sz w:val="21"/>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pPr>
        <w:spacing w:after="120"/>
      </w:pPr>
      <w:r>
        <w:rPr>
          <w:i w:val="0"/>
          <w:sz w:val="21"/>
        </w:rPr>
        <w:t>Scope is limited to the AngeronaSuite application (src/angerona/) — the canonical PySide6 desktop app. The separate legacy Rich-terminal prototype at the repository root (D:\local-security-ai\agent.py / ui.py) is out of scope; it is a distinct, older program per AngeronaSuite/llms.txt line 3.</w:t>
      </w:r>
    </w:p>
    <w:p>
      <w: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spacing w:before="320" w:after="120"/>
        <w:pBdr>
          <w:bottom w:val="single" w:sz="6" w:space="4" w:color="1e3a5f"/>
        </w:pBdr>
      </w:pPr>
      <w:r>
        <w:rPr>
          <w:b/>
          <w:color w:val="1E3A5F"/>
          <w:sz w:val="30"/>
        </w:rPr>
        <w:t>2. Methodology</w:t>
      </w:r>
    </w:p>
    <w:p>
      <w:pPr>
        <w:pStyle w:val="ListBullet"/>
      </w:pPr>
      <w:r>
        <w:rPr>
          <w:sz w:val="21"/>
        </w:rPr>
        <w:t>Static verification: grep/read of the modified source for each fix, confirming the code change is present and matches the described behavior.</w:t>
      </w:r>
    </w:p>
    <w:p>
      <w:pPr>
        <w:pStyle w:val="ListBullet"/>
      </w:pPr>
      <w:r>
        <w:rPr>
          <w:sz w:val="21"/>
        </w:rPr>
        <w:t>Syntax verification: py_compile with warnings promoted to errors, confirming the two SyntaxWarning sites no longer emit a warning.</w:t>
      </w:r>
    </w:p>
    <w:p>
      <w:pPr>
        <w:pStyle w:val="ListBullet"/>
      </w:pPr>
      <w:r>
        <w:rPr>
          <w:sz w:val="21"/>
        </w:rPr>
        <w:t>Dynamic verification: full run of tools/selfcheck.py (the project's own headless regression harness) — result 26/26 PASS, matching the pre-existing green baseline.</w:t>
      </w:r>
    </w:p>
    <w:p>
      <w:pPr>
        <w:pStyle w:val="ListBullet"/>
      </w:pPr>
      <w:r>
        <w:rPr>
          <w:sz w:val="21"/>
        </w:rPr>
        <w:t>No new automated tests were added for these fixes beyond the existing selfcheck assertions, which already exercise the affected code paths (remediation action selection, World View flow-node shape, and the module self-test grid).</w:t>
      </w:r>
    </w:p>
    <w:p>
      <w:pPr>
        <w:spacing w:before="320" w:after="120"/>
        <w:pBdr>
          <w:bottom w:val="single" w:sz="6" w:space="4" w:color="1e3a5f"/>
        </w:pBdr>
      </w:pPr>
      <w:r>
        <w:rPr>
          <w:b/>
          <w:color w:val="1E3A5F"/>
          <w:sz w:val="30"/>
        </w:rPr>
        <w:t>3. Findings Summary</w:t>
      </w:r>
    </w:p>
    <w:tbl>
      <w:tblPr>
        <w:tblW w:type="auto" w:w="0"/>
        <w:jc w:val="center"/>
        <w:tblLayout w:type="fixed"/>
        <w:tblLook w:firstColumn="1" w:firstRow="1" w:lastColumn="0" w:lastRow="0" w:noHBand="0" w:noVBand="1" w:val="04A0"/>
      </w:tblPr>
      <w:tblGrid>
        <w:gridCol w:w="907"/>
        <w:gridCol w:w="2608"/>
        <w:gridCol w:w="2381"/>
        <w:gridCol w:w="1247"/>
        <w:gridCol w:w="1361"/>
      </w:tblGrid>
      <w:tr>
        <w:trPr>
          <w:tblHeader w:val="1"/>
        </w:trPr>
        <w:tc>
          <w:tcPr>
            <w:tcW w:type="dxa" w:w="1987"/>
            <w:shd w:val="clear" w:color="auto" w:fill="1e3a5f"/>
          </w:tcPr>
          <w:p>
            <w:r/>
            <w:r>
              <w:rPr>
                <w:b/>
                <w:color w:val="FFFFFF"/>
                <w:sz w:val="20"/>
              </w:rPr>
              <w:t>ID</w:t>
            </w:r>
          </w:p>
        </w:tc>
        <w:tc>
          <w:tcPr>
            <w:tcW w:type="dxa" w:w="1987"/>
            <w:shd w:val="clear" w:color="auto" w:fill="1e3a5f"/>
          </w:tcPr>
          <w:p>
            <w:r/>
            <w:r>
              <w:rPr>
                <w:b/>
                <w:color w:val="FFFFFF"/>
                <w:sz w:val="20"/>
              </w:rPr>
              <w:t>Title</w:t>
            </w:r>
          </w:p>
        </w:tc>
        <w:tc>
          <w:tcPr>
            <w:tcW w:type="dxa" w:w="1987"/>
            <w:shd w:val="clear" w:color="auto" w:fill="1e3a5f"/>
          </w:tcPr>
          <w:p>
            <w:r/>
            <w:r>
              <w:rPr>
                <w:b/>
                <w:color w:val="FFFFFF"/>
                <w:sz w:val="20"/>
              </w:rPr>
              <w:t>Component</w:t>
            </w:r>
          </w:p>
        </w:tc>
        <w:tc>
          <w:tcPr>
            <w:tcW w:type="dxa" w:w="1987"/>
            <w:shd w:val="clear" w:color="auto" w:fill="1e3a5f"/>
          </w:tcPr>
          <w:p>
            <w:r/>
            <w:r>
              <w:rPr>
                <w:b/>
                <w:color w:val="FFFFFF"/>
                <w:sz w:val="20"/>
              </w:rPr>
              <w:t>Severity</w:t>
            </w:r>
          </w:p>
        </w:tc>
        <w:tc>
          <w:tcPr>
            <w:tcW w:type="dxa" w:w="1987"/>
            <w:shd w:val="clear" w:color="auto" w:fill="1e3a5f"/>
          </w:tcPr>
          <w:p>
            <w:r/>
            <w:r>
              <w:rPr>
                <w:b/>
                <w:color w:val="FFFFFF"/>
                <w:sz w:val="20"/>
              </w:rPr>
              <w:t>Status</w:t>
            </w:r>
          </w:p>
        </w:tc>
      </w:tr>
      <w:tr>
        <w:tc>
          <w:tcPr>
            <w:tcW w:type="dxa" w:w="907"/>
          </w:tcPr>
          <w:p>
            <w:r/>
            <w:r>
              <w:rPr>
                <w:b w:val="0"/>
                <w:sz w:val="19"/>
              </w:rPr>
              <w:t>V-01</w:t>
            </w:r>
          </w:p>
        </w:tc>
        <w:tc>
          <w:tcPr>
            <w:tcW w:type="dxa" w:w="2608"/>
          </w:tcPr>
          <w:p>
            <w:r/>
            <w:r>
              <w:rPr>
                <w:b w:val="0"/>
                <w:sz w:val="19"/>
              </w:rPr>
              <w:t>Remediation misrouting: T1562/AMSI-bypass shadowed by registry-hardening substring match</w:t>
            </w:r>
          </w:p>
        </w:tc>
        <w:tc>
          <w:tcPr>
            <w:tcW w:type="dxa" w:w="2381"/>
          </w:tcPr>
          <w:p>
            <w:r/>
            <w:r>
              <w:rPr>
                <w:b w:val="0"/>
                <w:sz w:val="19"/>
              </w:rPr>
              <w:t>modules/remediation_actions.py</w:t>
            </w:r>
          </w:p>
        </w:tc>
        <w:tc>
          <w:tcPr>
            <w:tcW w:type="dxa" w:w="1247"/>
          </w:tcPr>
          <w:p>
            <w:r/>
            <w:r>
              <w:rPr>
                <w:b w:val="0"/>
                <w:sz w:val="19"/>
              </w:rPr>
              <w:t>Medium</w:t>
            </w:r>
          </w:p>
        </w:tc>
        <w:tc>
          <w:tcPr>
            <w:tcW w:type="dxa" w:w="1361"/>
          </w:tcPr>
          <w:p>
            <w:r/>
            <w:r>
              <w:rPr>
                <w:b w:val="0"/>
                <w:color w:val="157A3D"/>
                <w:sz w:val="19"/>
              </w:rPr>
              <w:t>CLOSED</w:t>
            </w:r>
          </w:p>
        </w:tc>
      </w:tr>
      <w:tr>
        <w:tc>
          <w:tcPr>
            <w:tcW w:type="dxa" w:w="907"/>
          </w:tcPr>
          <w:p>
            <w:r/>
            <w:r>
              <w:rPr>
                <w:b w:val="0"/>
                <w:sz w:val="19"/>
              </w:rPr>
              <w:t>V-02</w:t>
            </w:r>
          </w:p>
        </w:tc>
        <w:tc>
          <w:tcPr>
            <w:tcW w:type="dxa" w:w="2608"/>
          </w:tcPr>
          <w:p>
            <w:r/>
            <w:r>
              <w:rPr>
                <w:b w:val="0"/>
                <w:sz w:val="19"/>
              </w:rPr>
              <w:t>Stale selfcheck assertions: 7-node flow checked instead of the shipped 6-node grid</w:t>
            </w:r>
          </w:p>
        </w:tc>
        <w:tc>
          <w:tcPr>
            <w:tcW w:type="dxa" w:w="2381"/>
          </w:tcPr>
          <w:p>
            <w:r/>
            <w:r>
              <w:rPr>
                <w:b w:val="0"/>
                <w:sz w:val="19"/>
              </w:rPr>
              <w:t>tools/selfcheck.py</w:t>
            </w:r>
          </w:p>
        </w:tc>
        <w:tc>
          <w:tcPr>
            <w:tcW w:type="dxa" w:w="1247"/>
          </w:tcPr>
          <w:p>
            <w:r/>
            <w:r>
              <w:rPr>
                <w:b w:val="0"/>
                <w:sz w:val="19"/>
              </w:rPr>
              <w:t>Low</w:t>
            </w:r>
          </w:p>
        </w:tc>
        <w:tc>
          <w:tcPr>
            <w:tcW w:type="dxa" w:w="1361"/>
          </w:tcPr>
          <w:p>
            <w:r/>
            <w:r>
              <w:rPr>
                <w:b w:val="0"/>
                <w:color w:val="157A3D"/>
                <w:sz w:val="19"/>
              </w:rPr>
              <w:t>CLOSED</w:t>
            </w:r>
          </w:p>
        </w:tc>
      </w:tr>
      <w:tr>
        <w:tc>
          <w:tcPr>
            <w:tcW w:type="dxa" w:w="907"/>
          </w:tcPr>
          <w:p>
            <w:r/>
            <w:r>
              <w:rPr>
                <w:b w:val="0"/>
                <w:sz w:val="19"/>
              </w:rPr>
              <w:t>V-03</w:t>
            </w:r>
          </w:p>
        </w:tc>
        <w:tc>
          <w:tcPr>
            <w:tcW w:type="dxa" w:w="2608"/>
          </w:tcPr>
          <w:p>
            <w:r/>
            <w:r>
              <w:rPr>
                <w:b w:val="0"/>
                <w:sz w:val="19"/>
              </w:rPr>
              <w:t>Cold-start self_test() inconsistency across 6 modules (false-negative failures)</w:t>
            </w:r>
          </w:p>
        </w:tc>
        <w:tc>
          <w:tcPr>
            <w:tcW w:type="dxa" w:w="2381"/>
          </w:tcPr>
          <w:p>
            <w:r/>
            <w:r>
              <w:rPr>
                <w:b w:val="0"/>
                <w:sz w:val="19"/>
              </w:rPr>
              <w:t>6 modules (AMSI/DRES/MINJ/SYSL/TUNE/WFPC)</w:t>
            </w:r>
          </w:p>
        </w:tc>
        <w:tc>
          <w:tcPr>
            <w:tcW w:type="dxa" w:w="1247"/>
          </w:tcPr>
          <w:p>
            <w:r/>
            <w:r>
              <w:rPr>
                <w:b w:val="0"/>
                <w:sz w:val="19"/>
              </w:rPr>
              <w:t>Low</w:t>
            </w:r>
          </w:p>
        </w:tc>
        <w:tc>
          <w:tcPr>
            <w:tcW w:type="dxa" w:w="1361"/>
          </w:tcPr>
          <w:p>
            <w:r/>
            <w:r>
              <w:rPr>
                <w:b w:val="0"/>
                <w:color w:val="157A3D"/>
                <w:sz w:val="19"/>
              </w:rPr>
              <w:t>CLOSED</w:t>
            </w:r>
          </w:p>
        </w:tc>
      </w:tr>
      <w:tr>
        <w:tc>
          <w:tcPr>
            <w:tcW w:type="dxa" w:w="907"/>
          </w:tcPr>
          <w:p>
            <w:r/>
            <w:r>
              <w:rPr>
                <w:b w:val="0"/>
                <w:sz w:val="19"/>
              </w:rPr>
              <w:t>V-04</w:t>
            </w:r>
          </w:p>
        </w:tc>
        <w:tc>
          <w:tcPr>
            <w:tcW w:type="dxa" w:w="2608"/>
          </w:tcPr>
          <w:p>
            <w:r/>
            <w:r>
              <w:rPr>
                <w:b w:val="0"/>
                <w:sz w:val="19"/>
              </w:rPr>
              <w:t>Two SyntaxWarnings from unescaped backslash sequences</w:t>
            </w:r>
          </w:p>
        </w:tc>
        <w:tc>
          <w:tcPr>
            <w:tcW w:type="dxa" w:w="2381"/>
          </w:tcPr>
          <w:p>
            <w:r/>
            <w:r>
              <w:rPr>
                <w:b w:val="0"/>
                <w:sz w:val="19"/>
              </w:rPr>
              <w:t>posture_hardening.py, ransomware_heuristics.py</w:t>
            </w:r>
          </w:p>
        </w:tc>
        <w:tc>
          <w:tcPr>
            <w:tcW w:type="dxa" w:w="1247"/>
          </w:tcPr>
          <w:p>
            <w:r/>
            <w:r>
              <w:rPr>
                <w:b w:val="0"/>
                <w:sz w:val="19"/>
              </w:rPr>
              <w:t>Low (hygiene)</w:t>
            </w:r>
          </w:p>
        </w:tc>
        <w:tc>
          <w:tcPr>
            <w:tcW w:type="dxa" w:w="1361"/>
          </w:tcPr>
          <w:p>
            <w:r/>
            <w:r>
              <w:rPr>
                <w:b w:val="0"/>
                <w:color w:val="157A3D"/>
                <w:sz w:val="19"/>
              </w:rPr>
              <w:t>CLOSED</w:t>
            </w:r>
          </w:p>
        </w:tc>
      </w:tr>
    </w:tbl>
    <w:p/>
    <w:p>
      <w:pPr>
        <w:spacing w:before="320" w:after="120"/>
        <w:pBdr>
          <w:bottom w:val="single" w:sz="6" w:space="4" w:color="1e3a5f"/>
        </w:pBdr>
      </w:pPr>
      <w:r>
        <w:rPr>
          <w:b/>
          <w:color w:val="1E3A5F"/>
          <w:sz w:val="30"/>
        </w:rPr>
        <w:t>4.1 Remediation misrouting — T1562/AMSI-bypass shadowed by registry hardening</w:t>
      </w:r>
    </w:p>
    <w:tbl>
      <w:tblPr>
        <w:tblW w:type="auto" w:w="0"/>
        <w:tblLayout w:type="fixed"/>
        <w:tblLook w:firstColumn="1" w:firstRow="1" w:lastColumn="0" w:lastRow="0" w:noHBand="0" w:noVBand="1" w:val="04A0"/>
      </w:tblPr>
      <w:tblGrid>
        <w:gridCol w:w="4968"/>
        <w:gridCol w:w="4968"/>
      </w:tblGrid>
      <w:tr>
        <w:trPr>
          <w:tblHeader w:val="1"/>
        </w:trPr>
        <w:tc>
          <w:tcPr>
            <w:tcW w:type="dxa" w:w="1928"/>
            <w:shd w:val="clear" w:color="auto" w:fill="1e3a5f"/>
          </w:tcPr>
          <w:p>
            <w:r/>
            <w:r>
              <w:rPr>
                <w:b/>
                <w:color w:val="FFFFFF"/>
                <w:sz w:val="19"/>
              </w:rPr>
              <w:t>Component</w:t>
            </w:r>
          </w:p>
        </w:tc>
        <w:tc>
          <w:tcPr>
            <w:tcW w:type="dxa" w:w="7143"/>
          </w:tcPr>
          <w:p>
            <w:r/>
            <w:r>
              <w:rPr>
                <w:b w:val="0"/>
                <w:sz w:val="19"/>
              </w:rPr>
              <w:t>modules/remediation_actions.py — RegistryHardeningAction._matches()</w:t>
            </w:r>
          </w:p>
        </w:tc>
      </w:tr>
      <w:tr>
        <w:tc>
          <w:tcPr>
            <w:tcW w:type="dxa" w:w="1928"/>
            <w:shd w:val="clear" w:color="auto" w:fill="1e3a5f"/>
          </w:tcPr>
          <w:p>
            <w:r/>
            <w:r>
              <w:rPr>
                <w:b/>
                <w:color w:val="FFFFFF"/>
                <w:sz w:val="19"/>
              </w:rPr>
              <w:t>Severity / Class</w:t>
            </w:r>
          </w:p>
        </w:tc>
        <w:tc>
          <w:tcPr>
            <w:tcW w:type="dxa" w:w="7143"/>
          </w:tcPr>
          <w:p>
            <w:r/>
            <w:r>
              <w:rPr>
                <w:b w:val="0"/>
                <w:sz w:val="19"/>
              </w:rPr>
              <w:t>Medium — incorrect automated response selection (defense-evasion category)</w:t>
            </w:r>
          </w:p>
        </w:tc>
      </w:tr>
      <w:tr>
        <w:tc>
          <w:tcPr>
            <w:tcW w:type="dxa" w:w="1928"/>
            <w:shd w:val="clear" w:color="auto" w:fill="1e3a5f"/>
          </w:tcPr>
          <w:p>
            <w:r/>
            <w:r>
              <w:rPr>
                <w:b/>
                <w:color w:val="FFFFFF"/>
                <w:sz w:val="19"/>
              </w:rPr>
              <w:t>Before (defect)</w:t>
            </w:r>
          </w:p>
        </w:tc>
        <w:tc>
          <w:tcPr>
            <w:tcW w:type="dxa" w:w="7143"/>
          </w:tcPr>
          <w:p>
            <w:r/>
            <w:r>
              <w:rPr>
                <w:b w:val="0"/>
                <w:sz w:val="19"/>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c>
          <w:tcPr>
            <w:tcW w:type="dxa" w:w="1928"/>
            <w:shd w:val="clear" w:color="auto" w:fill="1e3a5f"/>
          </w:tcPr>
          <w:p>
            <w:r/>
            <w:r>
              <w:rPr>
                <w:b/>
                <w:color w:val="FFFFFF"/>
                <w:sz w:val="19"/>
              </w:rPr>
              <w:t>After (fix)</w:t>
            </w:r>
          </w:p>
        </w:tc>
        <w:tc>
          <w:tcPr>
            <w:tcW w:type="dxa" w:w="7143"/>
          </w:tcPr>
          <w:p>
            <w:r/>
            <w:r>
              <w:rPr>
                <w:b w:val="0"/>
                <w:sz w:val="19"/>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
      <w:pPr>
        <w:spacing w:before="200" w:after="80"/>
      </w:pPr>
      <w:r>
        <w:rPr>
          <w:b/>
          <w:color w:val="0F172A"/>
          <w:sz w:val="24"/>
        </w:rPr>
        <w:t>Verification</w:t>
      </w:r>
    </w:p>
    <w:p>
      <w:pPr>
        <w:spacing w:after="120"/>
      </w:pPr>
      <w:r>
        <w:rPr>
          <w:i w:val="0"/>
          <w:sz w:val="21"/>
        </w:rPr>
        <w:t>tools/selfcheck.py “Vetted active remediation” phase asserts ra.select_action(cred).key == “registry_hardening” for a credential-access alert and ra.select_action(dfe).key == “defender_hardening” for a defense-evasion alert — both pass. Full suite: 26/26 PASS.</w:t>
      </w:r>
    </w:p>
    <w:p>
      <w:pPr>
        <w:spacing w:before="320" w:after="120"/>
        <w:pBdr>
          <w:bottom w:val="single" w:sz="6" w:space="4" w:color="1e3a5f"/>
        </w:pBdr>
      </w:pPr>
      <w:r>
        <w:rPr>
          <w:b/>
          <w:color w:val="1E3A5F"/>
          <w:sz w:val="30"/>
        </w:rPr>
        <w:t>4.2 Stale selfcheck assertions — 7-node flow checked instead of the current 6-node grid</w:t>
      </w:r>
    </w:p>
    <w:tbl>
      <w:tblPr>
        <w:tblW w:type="auto" w:w="0"/>
        <w:tblLayout w:type="fixed"/>
        <w:tblLook w:firstColumn="1" w:firstRow="1" w:lastColumn="0" w:lastRow="0" w:noHBand="0" w:noVBand="1" w:val="04A0"/>
      </w:tblPr>
      <w:tblGrid>
        <w:gridCol w:w="4968"/>
        <w:gridCol w:w="4968"/>
      </w:tblGrid>
      <w:tr>
        <w:trPr>
          <w:tblHeader w:val="1"/>
        </w:trPr>
        <w:tc>
          <w:tcPr>
            <w:tcW w:type="dxa" w:w="1928"/>
            <w:shd w:val="clear" w:color="auto" w:fill="1e3a5f"/>
          </w:tcPr>
          <w:p>
            <w:r/>
            <w:r>
              <w:rPr>
                <w:b/>
                <w:color w:val="FFFFFF"/>
                <w:sz w:val="19"/>
              </w:rPr>
              <w:t>Component</w:t>
            </w:r>
          </w:p>
        </w:tc>
        <w:tc>
          <w:tcPr>
            <w:tcW w:type="dxa" w:w="7143"/>
          </w:tcPr>
          <w:p>
            <w:r/>
            <w:r>
              <w:rPr>
                <w:b w:val="0"/>
                <w:sz w:val="19"/>
              </w:rPr>
              <w:t>tools/selfcheck.py</w:t>
            </w:r>
          </w:p>
        </w:tc>
      </w:tr>
      <w:tr>
        <w:tc>
          <w:tcPr>
            <w:tcW w:type="dxa" w:w="1928"/>
            <w:shd w:val="clear" w:color="auto" w:fill="1e3a5f"/>
          </w:tcPr>
          <w:p>
            <w:r/>
            <w:r>
              <w:rPr>
                <w:b/>
                <w:color w:val="FFFFFF"/>
                <w:sz w:val="19"/>
              </w:rPr>
              <w:t>Severity / Class</w:t>
            </w:r>
          </w:p>
        </w:tc>
        <w:tc>
          <w:tcPr>
            <w:tcW w:type="dxa" w:w="7143"/>
          </w:tcPr>
          <w:p>
            <w:r/>
            <w:r>
              <w:rPr>
                <w:b w:val="0"/>
                <w:sz w:val="19"/>
              </w:rPr>
              <w:t>Low — test-suite drift, not a runtime defect</w:t>
            </w:r>
          </w:p>
        </w:tc>
      </w:tr>
      <w:tr>
        <w:tc>
          <w:tcPr>
            <w:tcW w:type="dxa" w:w="1928"/>
            <w:shd w:val="clear" w:color="auto" w:fill="1e3a5f"/>
          </w:tcPr>
          <w:p>
            <w:r/>
            <w:r>
              <w:rPr>
                <w:b/>
                <w:color w:val="FFFFFF"/>
                <w:sz w:val="19"/>
              </w:rPr>
              <w:t>Before (defect)</w:t>
            </w:r>
          </w:p>
        </w:tc>
        <w:tc>
          <w:tcPr>
            <w:tcW w:type="dxa" w:w="7143"/>
          </w:tcPr>
          <w:p>
            <w:r/>
            <w:r>
              <w:rPr>
                <w:b w:val="0"/>
                <w:sz w:val="19"/>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c>
          <w:tcPr>
            <w:tcW w:type="dxa" w:w="1928"/>
            <w:shd w:val="clear" w:color="auto" w:fill="1e3a5f"/>
          </w:tcPr>
          <w:p>
            <w:r/>
            <w:r>
              <w:rPr>
                <w:b/>
                <w:color w:val="FFFFFF"/>
                <w:sz w:val="19"/>
              </w:rPr>
              <w:t>After (fix)</w:t>
            </w:r>
          </w:p>
        </w:tc>
        <w:tc>
          <w:tcPr>
            <w:tcW w:type="dxa" w:w="7143"/>
          </w:tcPr>
          <w:p>
            <w:r/>
            <w:r>
              <w:rPr>
                <w:b w:val="0"/>
                <w:sz w:val="19"/>
              </w:rPr>
              <w:t>Both assertions now check the shipped 6-node set: need = {“capture”, “detect”, “triage”, “respond”, “attack”, “harden”} against flow_metrics()'s “nodes” keys, with a shape check (metrics + state present) on the capture node as a representative sample.</w:t>
            </w:r>
          </w:p>
        </w:tc>
      </w:tr>
    </w:tbl>
    <w:p/>
    <w:p>
      <w:pPr>
        <w:spacing w:before="200" w:after="80"/>
      </w:pPr>
      <w:r>
        <w:rPr>
          <w:b/>
          <w:color w:val="0F172A"/>
          <w:sz w:val="24"/>
        </w:rPr>
        <w:t>Verification</w:t>
      </w:r>
    </w:p>
    <w:p>
      <w:pPr>
        <w:spacing w:after="120"/>
      </w:pPr>
      <w:r>
        <w:rPr>
          <w:i w:val="0"/>
          <w:sz w:val="21"/>
        </w:rPr>
        <w:t>tools/selfcheck.py line ~385 (“AI guardrail proxy + hardware-patching layer” phase) now reports “flow_metrics 6 nodes” in its PASS detail. Full suite: 26/26 PASS.</w:t>
      </w:r>
    </w:p>
    <w:p>
      <w:pPr>
        <w:spacing w:before="320" w:after="120"/>
        <w:pBdr>
          <w:bottom w:val="single" w:sz="6" w:space="4" w:color="1e3a5f"/>
        </w:pBdr>
      </w:pPr>
      <w:r>
        <w:rPr>
          <w:b/>
          <w:color w:val="1E3A5F"/>
          <w:sz w:val="30"/>
        </w:rPr>
        <w:t>4.3 Cold-start self_test() inconsistency across 6 modules</w:t>
      </w:r>
    </w:p>
    <w:tbl>
      <w:tblPr>
        <w:tblW w:type="auto" w:w="0"/>
        <w:tblLayout w:type="fixed"/>
        <w:tblLook w:firstColumn="1" w:firstRow="1" w:lastColumn="0" w:lastRow="0" w:noHBand="0" w:noVBand="1" w:val="04A0"/>
      </w:tblPr>
      <w:tblGrid>
        <w:gridCol w:w="4968"/>
        <w:gridCol w:w="4968"/>
      </w:tblGrid>
      <w:tr>
        <w:trPr>
          <w:tblHeader w:val="1"/>
        </w:trPr>
        <w:tc>
          <w:tcPr>
            <w:tcW w:type="dxa" w:w="1928"/>
            <w:shd w:val="clear" w:color="auto" w:fill="1e3a5f"/>
          </w:tcPr>
          <w:p>
            <w:r/>
            <w:r>
              <w:rPr>
                <w:b/>
                <w:color w:val="FFFFFF"/>
                <w:sz w:val="19"/>
              </w:rPr>
              <w:t>Component</w:t>
            </w:r>
          </w:p>
        </w:tc>
        <w:tc>
          <w:tcPr>
            <w:tcW w:type="dxa" w:w="7143"/>
          </w:tcPr>
          <w:p>
            <w:r/>
            <w:r>
              <w:rPr>
                <w:b w:val="0"/>
                <w:sz w:val="19"/>
              </w:rPr>
              <w:t>modules/amsi_bridge.py, dynamic_resource.py, mem_inject_scanner.py, sysmon_listener.py, behavioral_tuner.py, wfp_controller.py</w:t>
            </w:r>
          </w:p>
        </w:tc>
      </w:tr>
      <w:tr>
        <w:tc>
          <w:tcPr>
            <w:tcW w:type="dxa" w:w="1928"/>
            <w:shd w:val="clear" w:color="auto" w:fill="1e3a5f"/>
          </w:tcPr>
          <w:p>
            <w:r/>
            <w:r>
              <w:rPr>
                <w:b/>
                <w:color w:val="FFFFFF"/>
                <w:sz w:val="19"/>
              </w:rPr>
              <w:t>Severity / Class</w:t>
            </w:r>
          </w:p>
        </w:tc>
        <w:tc>
          <w:tcPr>
            <w:tcW w:type="dxa" w:w="7143"/>
          </w:tcPr>
          <w:p>
            <w:r/>
            <w:r>
              <w:rPr>
                <w:b w:val="0"/>
                <w:sz w:val="19"/>
              </w:rPr>
              <w:t>Low — false-negative self-test results, operator-facing noise only</w:t>
            </w:r>
          </w:p>
        </w:tc>
      </w:tr>
      <w:tr>
        <w:tc>
          <w:tcPr>
            <w:tcW w:type="dxa" w:w="1928"/>
            <w:shd w:val="clear" w:color="auto" w:fill="1e3a5f"/>
          </w:tcPr>
          <w:p>
            <w:r/>
            <w:r>
              <w:rPr>
                <w:b/>
                <w:color w:val="FFFFFF"/>
                <w:sz w:val="19"/>
              </w:rPr>
              <w:t>Before (defect)</w:t>
            </w:r>
          </w:p>
        </w:tc>
        <w:tc>
          <w:tcPr>
            <w:tcW w:type="dxa" w:w="7143"/>
          </w:tcPr>
          <w:p>
            <w:r/>
            <w:r>
              <w:rPr>
                <w:b w:val="0"/>
                <w:sz w:val="19"/>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c>
          <w:tcPr>
            <w:tcW w:type="dxa" w:w="1928"/>
            <w:shd w:val="clear" w:color="auto" w:fill="1e3a5f"/>
          </w:tcPr>
          <w:p>
            <w:r/>
            <w:r>
              <w:rPr>
                <w:b/>
                <w:color w:val="FFFFFF"/>
                <w:sz w:val="19"/>
              </w:rPr>
              <w:t>After (fix)</w:t>
            </w:r>
          </w:p>
        </w:tc>
        <w:tc>
          <w:tcPr>
            <w:tcW w:type="dxa" w:w="7143"/>
          </w:tcPr>
          <w:p>
            <w:r/>
            <w:r>
              <w:rPr>
                <w:b w:val="0"/>
                <w:sz w:val="19"/>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
      <w:pPr>
        <w:spacing w:before="200" w:after="80"/>
      </w:pPr>
      <w:r>
        <w:rPr>
          <w:b/>
          <w:color w:val="0F172A"/>
          <w:sz w:val="24"/>
        </w:rPr>
        <w:t>Verification</w:t>
      </w:r>
    </w:p>
    <w:p>
      <w:pPr>
        <w:spacing w:after="120"/>
      </w:pPr>
      <w:r>
        <w:rPr>
          <w:i w:val="0"/>
          <w:sz w:val="21"/>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spacing w:before="320" w:after="120"/>
        <w:pBdr>
          <w:bottom w:val="single" w:sz="6" w:space="4" w:color="1e3a5f"/>
        </w:pBdr>
      </w:pPr>
      <w:r>
        <w:rPr>
          <w:b/>
          <w:color w:val="1E3A5F"/>
          <w:sz w:val="30"/>
        </w:rPr>
        <w:t>4.4 Two SyntaxWarnings from unescaped backslash sequences</w:t>
      </w:r>
    </w:p>
    <w:tbl>
      <w:tblPr>
        <w:tblW w:type="auto" w:w="0"/>
        <w:tblLayout w:type="fixed"/>
        <w:tblLook w:firstColumn="1" w:firstRow="1" w:lastColumn="0" w:lastRow="0" w:noHBand="0" w:noVBand="1" w:val="04A0"/>
      </w:tblPr>
      <w:tblGrid>
        <w:gridCol w:w="4968"/>
        <w:gridCol w:w="4968"/>
      </w:tblGrid>
      <w:tr>
        <w:trPr>
          <w:tblHeader w:val="1"/>
        </w:trPr>
        <w:tc>
          <w:tcPr>
            <w:tcW w:type="dxa" w:w="1928"/>
            <w:shd w:val="clear" w:color="auto" w:fill="1e3a5f"/>
          </w:tcPr>
          <w:p>
            <w:r/>
            <w:r>
              <w:rPr>
                <w:b/>
                <w:color w:val="FFFFFF"/>
                <w:sz w:val="19"/>
              </w:rPr>
              <w:t>Component</w:t>
            </w:r>
          </w:p>
        </w:tc>
        <w:tc>
          <w:tcPr>
            <w:tcW w:type="dxa" w:w="7143"/>
          </w:tcPr>
          <w:p>
            <w:r/>
            <w:r>
              <w:rPr>
                <w:b w:val="0"/>
                <w:sz w:val="19"/>
              </w:rPr>
              <w:t>modules/posture_hardening.py:615, modules/ransomware_heuristics.py:25</w:t>
            </w:r>
          </w:p>
        </w:tc>
      </w:tr>
      <w:tr>
        <w:tc>
          <w:tcPr>
            <w:tcW w:type="dxa" w:w="1928"/>
            <w:shd w:val="clear" w:color="auto" w:fill="1e3a5f"/>
          </w:tcPr>
          <w:p>
            <w:r/>
            <w:r>
              <w:rPr>
                <w:b/>
                <w:color w:val="FFFFFF"/>
                <w:sz w:val="19"/>
              </w:rPr>
              <w:t>Severity / Class</w:t>
            </w:r>
          </w:p>
        </w:tc>
        <w:tc>
          <w:tcPr>
            <w:tcW w:type="dxa" w:w="7143"/>
          </w:tcPr>
          <w:p>
            <w:r/>
            <w:r>
              <w:rPr>
                <w:b w:val="0"/>
                <w:sz w:val="19"/>
              </w:rPr>
              <w:t>Low — code hygiene; SyntaxWarning today, a DeprecationWarning-to-error path in future CPython</w:t>
            </w:r>
          </w:p>
        </w:tc>
      </w:tr>
      <w:tr>
        <w:tc>
          <w:tcPr>
            <w:tcW w:type="dxa" w:w="1928"/>
            <w:shd w:val="clear" w:color="auto" w:fill="1e3a5f"/>
          </w:tcPr>
          <w:p>
            <w:r/>
            <w:r>
              <w:rPr>
                <w:b/>
                <w:color w:val="FFFFFF"/>
                <w:sz w:val="19"/>
              </w:rPr>
              <w:t>Before (defect)</w:t>
            </w:r>
          </w:p>
        </w:tc>
        <w:tc>
          <w:tcPr>
            <w:tcW w:type="dxa" w:w="7143"/>
          </w:tcPr>
          <w:p>
            <w:r/>
            <w:r>
              <w:rPr>
                <w:b w:val="0"/>
                <w:sz w:val="19"/>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c>
          <w:tcPr>
            <w:tcW w:type="dxa" w:w="1928"/>
            <w:shd w:val="clear" w:color="auto" w:fill="1e3a5f"/>
          </w:tcPr>
          <w:p>
            <w:r/>
            <w:r>
              <w:rPr>
                <w:b/>
                <w:color w:val="FFFFFF"/>
                <w:sz w:val="19"/>
              </w:rPr>
              <w:t>After (fix)</w:t>
            </w:r>
          </w:p>
        </w:tc>
        <w:tc>
          <w:tcPr>
            <w:tcW w:type="dxa" w:w="7143"/>
          </w:tcPr>
          <w:p>
            <w:r/>
            <w:r>
              <w:rPr>
                <w:b w:val="0"/>
                <w:sz w:val="19"/>
              </w:rPr>
              <w:t>Both literals were converted to raw strings (r“...”) at the two flagged lines, preserving the exact same string content while removing the invalid-escape interpretation.</w:t>
            </w:r>
          </w:p>
        </w:tc>
      </w:tr>
    </w:tbl>
    <w:p/>
    <w:p>
      <w:pPr>
        <w:spacing w:before="200" w:after="80"/>
      </w:pPr>
      <w:r>
        <w:rPr>
          <w:b/>
          <w:color w:val="0F172A"/>
          <w:sz w:val="24"/>
        </w:rPr>
        <w:t>Verification</w:t>
      </w:r>
    </w:p>
    <w:p>
      <w:pPr>
        <w:spacing w:after="120"/>
      </w:pPr>
      <w:r>
        <w:rPr>
          <w:i w:val="0"/>
          <w:sz w:val="21"/>
        </w:rPr>
        <w:t>py_compile.compile(..., doraise=True) run with warnings.simplefilter(“error”) against both files completes cleanly with no SyntaxWarning raised. Full suite: 26/26 PASS.</w:t>
      </w:r>
    </w:p>
    <w:p>
      <w:pPr>
        <w:spacing w:before="320" w:after="120"/>
        <w:pBdr>
          <w:bottom w:val="single" w:sz="6" w:space="4" w:color="1e3a5f"/>
        </w:pBdr>
      </w:pPr>
      <w:r>
        <w:rPr>
          <w:b/>
          <w:color w:val="1E3A5F"/>
          <w:sz w:val="30"/>
        </w:rPr>
        <w:t>5. Current Verification Status</w:t>
      </w:r>
    </w:p>
    <w:p>
      <w:pPr>
        <w:spacing w:after="120"/>
      </w:pPr>
      <w:r>
        <w:rPr>
          <w:i w:val="0"/>
          <w:sz w:val="21"/>
        </w:rPr>
        <w:t>tools/selfcheck.py — full run, 2026-07-11:</w:t>
      </w:r>
    </w:p>
    <w:p>
      <w:r>
        <w:rPr>
          <w:b/>
          <w:color w:val="157A3D"/>
          <w:sz w:val="24"/>
        </w:rPr>
        <w:t>RESULT: 26 passed, 0 failed</w:t>
      </w:r>
    </w:p>
    <w:p>
      <w:pPr>
        <w:spacing w:after="120"/>
      </w:pPr>
      <w:r>
        <w:rPr>
          <w:i w:val="0"/>
          <w:sz w:val="21"/>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spacing w:before="320" w:after="120"/>
        <w:pBdr>
          <w:bottom w:val="single" w:sz="6" w:space="4" w:color="1e3a5f"/>
        </w:pBdr>
      </w:pPr>
      <w:r>
        <w:rPr>
          <w:b/>
          <w:color w:val="1E3A5F"/>
          <w:sz w:val="30"/>
        </w:rPr>
        <w:t>6. Judgment Calls Made During This Pass</w:t>
      </w:r>
    </w:p>
    <w:p>
      <w:pPr>
        <w:spacing w:after="120"/>
      </w:pPr>
      <w:r>
        <w:rPr>
          <w:i w:val="0"/>
          <w:sz w:val="21"/>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sz w:val="21"/>
        </w:rPr>
        <w:t>Analysis folder location: created AngeronaSuite/analysis/ (this file's own folder) rather than at the D:\local-security-ai repo root, because AngeronaSuite is the canonical current application (its own llms.txt says so explicitly) — the root tree is a separate, older prototype. All five deliverables from this pass live here.</w:t>
      </w:r>
    </w:p>
    <w:p>
      <w:pPr>
        <w:pStyle w:val="ListBullet"/>
      </w:pPr>
      <w:r>
        <w:rPr>
          <w:sz w:val="21"/>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sz w:val="21"/>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sz w:val="21"/>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sz w:val="21"/>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r>
        <w:br w:type="page"/>
      </w:r>
    </w:p>
    <w:p>
      <w:pPr>
        <w:pStyle w:val="Heading1"/>
        <w:keepNext/>
      </w:pPr>
      <w:r>
        <w:rPr>
          <w:color w:val="0078D4"/>
        </w:rPr>
        <w:t>Stability and Remediation Sweep — 14 July 2026</w:t>
      </w:r>
    </w:p>
    <w:p>
      <w:r>
        <w:rPr>
          <w:i/>
        </w:rPr>
        <w:t>This addendum records the code, performance, crash-log, and remediation-report sweep completed against the Angerona v1.7.4 baseline. It supplements earlier assessment text; it is internal validation evidence, not an independent certification.</w:t>
      </w:r>
    </w:p>
    <w:p>
      <w:pPr>
        <w:pStyle w:val="Heading2"/>
      </w:pPr>
      <w:r>
        <w:t>Evidence reviewed</w:t>
      </w:r>
    </w:p>
    <w:p>
      <w:pPr>
        <w:pStyle w:val="ListBullet"/>
      </w:pPr>
      <w:r>
        <w:t>Native crash history, UI non-response snapshots, remediation-attempt logs, and current after-action reports.</w:t>
      </w:r>
    </w:p>
    <w:p>
      <w:pPr>
        <w:pStyle w:val="ListBullet"/>
      </w:pPr>
      <w:r>
        <w:t>Security Assessment v2.0, Vulnerabilities Assessment/Remediation v1.7.4, and loop remediation summaries.</w:t>
      </w:r>
    </w:p>
    <w:p>
      <w:pPr>
        <w:pStyle w:val="ListBullet"/>
      </w:pPr>
      <w:r>
        <w:t>Current source, GUI refresh paths, event/storage behavior, module discovery, and PowerShell remediation gates.</w:t>
      </w:r>
    </w:p>
    <w:p>
      <w:pPr>
        <w:pStyle w:val="Heading2"/>
      </w:pPr>
      <w:r>
        <w:t>Implemented corrections</w:t>
      </w:r>
    </w:p>
    <w:tbl>
      <w:tblPr>
        <w:tblStyle w:val="TableGrid"/>
        <w:tblW w:type="auto" w:w="0"/>
        <w:tblLayout w:type="fixed"/>
        <w:tblLook w:firstColumn="1" w:firstRow="1" w:lastColumn="0" w:lastRow="0" w:noHBand="0" w:noVBand="1" w:val="04A0"/>
      </w:tblPr>
      <w:tblGrid>
        <w:gridCol w:w="1944"/>
        <w:gridCol w:w="2880"/>
        <w:gridCol w:w="5112"/>
      </w:tblGrid>
      <w:tr>
        <w:trPr>
          <w:tblHeader w:val="1"/>
        </w:trPr>
        <w:tc>
          <w:tcPr>
            <w:tcW w:type="dxa" w:w="3312"/>
            <w:vAlign w:val="center"/>
            <w:shd w:fill="1F4E78"/>
          </w:tcPr>
          <w:p>
            <w:r/>
            <w:r>
              <w:rPr>
                <w:rFonts w:ascii="Aptos" w:hAnsi="Aptos"/>
                <w:b/>
                <w:color w:val="FFFFFF"/>
                <w:sz w:val="19"/>
              </w:rPr>
              <w:t>Area</w:t>
            </w:r>
          </w:p>
        </w:tc>
        <w:tc>
          <w:tcPr>
            <w:tcW w:type="dxa" w:w="3312"/>
            <w:vAlign w:val="center"/>
            <w:shd w:fill="1F4E78"/>
          </w:tcPr>
          <w:p>
            <w:r/>
            <w:r>
              <w:rPr>
                <w:rFonts w:ascii="Aptos" w:hAnsi="Aptos"/>
                <w:b/>
                <w:color w:val="FFFFFF"/>
                <w:sz w:val="19"/>
              </w:rPr>
              <w:t>Status</w:t>
            </w:r>
          </w:p>
        </w:tc>
        <w:tc>
          <w:tcPr>
            <w:tcW w:type="dxa" w:w="3312"/>
            <w:vAlign w:val="center"/>
            <w:shd w:fill="1F4E78"/>
          </w:tcPr>
          <w:p>
            <w:r/>
            <w:r>
              <w:rPr>
                <w:rFonts w:ascii="Aptos" w:hAnsi="Aptos"/>
                <w:b/>
                <w:color w:val="FFFFFF"/>
                <w:sz w:val="19"/>
              </w:rPr>
              <w:t>Correction</w:t>
            </w:r>
          </w:p>
        </w:tc>
      </w:tr>
      <w:tr>
        <w:tc>
          <w:tcPr>
            <w:tcW w:type="dxa" w:w="1944"/>
            <w:vAlign w:val="center"/>
          </w:tcPr>
          <w:p>
            <w:r/>
            <w:r>
              <w:rPr>
                <w:rFonts w:ascii="Aptos" w:hAnsi="Aptos"/>
                <w:b/>
                <w:sz w:val="19"/>
              </w:rPr>
              <w:t>Native stability</w:t>
            </w:r>
          </w:p>
        </w:tc>
        <w:tc>
          <w:tcPr>
            <w:tcW w:type="dxa" w:w="2880"/>
            <w:vAlign w:val="center"/>
          </w:tcPr>
          <w:p>
            <w:r/>
            <w:r>
              <w:rPr>
                <w:rFonts w:ascii="Aptos" w:hAnsi="Aptos"/>
                <w:b/>
                <w:color w:val="087F5B"/>
                <w:sz w:val="19"/>
              </w:rPr>
              <w:t>Fixed by safe default</w:t>
            </w:r>
          </w:p>
        </w:tc>
        <w:tc>
          <w:tcPr>
            <w:tcW w:type="dxa" w:w="5112"/>
            <w:vAlign w:val="center"/>
          </w:tcPr>
          <w:p>
            <w:r/>
            <w:r>
              <w:rPr>
                <w:rFonts w:ascii="Aptos" w:hAnsi="Aptos"/>
                <w:b w:val="0"/>
                <w:sz w:val="19"/>
              </w:rPr>
              <w:t>Twenty-one recorded native access violations converged on direct in-process AmsiScanBuffer health checks. AMSI Bridge now defaults to ETW/Sysmon observation; direct ctypes AMSI is explicit compatibility-test opt-in only.</w:t>
            </w:r>
          </w:p>
        </w:tc>
      </w:tr>
      <w:tr>
        <w:tc>
          <w:tcPr>
            <w:tcW w:type="dxa" w:w="1944"/>
            <w:vAlign w:val="center"/>
          </w:tcPr>
          <w:p>
            <w:r/>
            <w:r>
              <w:rPr>
                <w:rFonts w:ascii="Aptos" w:hAnsi="Aptos"/>
                <w:b/>
                <w:sz w:val="19"/>
              </w:rPr>
              <w:t>Long-run UI</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Flight Instructor work is bounded to one worker and an eight-item coalescing queue; flow-metric disk writes are off the Qt thread; alert-table gap rebuilds are burst-throttled.</w:t>
            </w:r>
          </w:p>
        </w:tc>
      </w:tr>
      <w:tr>
        <w:tc>
          <w:tcPr>
            <w:tcW w:type="dxa" w:w="1944"/>
            <w:vAlign w:val="center"/>
          </w:tcPr>
          <w:p>
            <w:r/>
            <w:r>
              <w:rPr>
                <w:rFonts w:ascii="Aptos" w:hAnsi="Aptos"/>
                <w:b/>
                <w:sz w:val="19"/>
              </w:rPr>
              <w:t>Diagnostics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UI watchdog snapshots are main-thread focused, rate-limited to 60 seconds, and rotated at 4 MB instead of growing without bound.</w:t>
            </w:r>
          </w:p>
        </w:tc>
      </w:tr>
      <w:tr>
        <w:tc>
          <w:tcPr>
            <w:tcW w:type="dxa" w:w="1944"/>
            <w:vAlign w:val="center"/>
          </w:tcPr>
          <w:p>
            <w:r/>
            <w:r>
              <w:rPr>
                <w:rFonts w:ascii="Aptos" w:hAnsi="Aptos"/>
                <w:b/>
                <w:sz w:val="19"/>
              </w:rPr>
              <w:t>Event delivery</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Removed permanent INFO suppression after the in-memory history reached 85% capacity. The bounded deque rolls off old history while new events continue to subscribers and storage.</w:t>
            </w:r>
          </w:p>
        </w:tc>
      </w:tr>
      <w:tr>
        <w:tc>
          <w:tcPr>
            <w:tcW w:type="dxa" w:w="1944"/>
            <w:vAlign w:val="center"/>
          </w:tcPr>
          <w:p>
            <w:r/>
            <w:r>
              <w:rPr>
                <w:rFonts w:ascii="Aptos" w:hAnsi="Aptos"/>
                <w:b/>
                <w:sz w:val="19"/>
              </w:rPr>
              <w:t>History dialogs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Interactive 24-hour event views use severity-filtered SQL capped at 500 newest rows. After-Action Reports retain complete, uncapped run-window queries.</w:t>
            </w:r>
          </w:p>
        </w:tc>
      </w:tr>
      <w:tr>
        <w:tc>
          <w:tcPr>
            <w:tcW w:type="dxa" w:w="1944"/>
            <w:vAlign w:val="center"/>
          </w:tcPr>
          <w:p>
            <w:r/>
            <w:r>
              <w:rPr>
                <w:rFonts w:ascii="Aptos" w:hAnsi="Aptos"/>
                <w:b/>
                <w:sz w:val="19"/>
              </w:rPr>
              <w:t>GUI exceptions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Sandbox Editor uses valid QTextCursor movement enums; Settings uses the implemented autostart enable/disable functions; unchanged module-status tables are no longer rebuilt every 1.5 seconds.</w:t>
            </w:r>
          </w:p>
        </w:tc>
      </w:tr>
      <w:tr>
        <w:tc>
          <w:tcPr>
            <w:tcW w:type="dxa" w:w="1944"/>
            <w:vAlign w:val="center"/>
          </w:tcPr>
          <w:p>
            <w:r/>
            <w:r>
              <w:rPr>
                <w:rFonts w:ascii="Aptos" w:hAnsi="Aptos"/>
                <w:b/>
                <w:sz w:val="19"/>
              </w:rPr>
              <w:t>A-04</w:t>
            </w:r>
          </w:p>
        </w:tc>
        <w:tc>
          <w:tcPr>
            <w:tcW w:type="dxa" w:w="2880"/>
            <w:vAlign w:val="center"/>
          </w:tcPr>
          <w:p>
            <w:r/>
            <w:r>
              <w:rPr>
                <w:rFonts w:ascii="Aptos" w:hAnsi="Aptos"/>
                <w:b/>
                <w:color w:val="087F5B"/>
                <w:sz w:val="19"/>
              </w:rPr>
              <w:t>Closed in default configuration</w:t>
            </w:r>
          </w:p>
        </w:tc>
        <w:tc>
          <w:tcPr>
            <w:tcW w:type="dxa" w:w="5112"/>
            <w:vAlign w:val="center"/>
          </w:tcPr>
          <w:p>
            <w:r/>
            <w:r>
              <w:rPr>
                <w:rFonts w:ascii="Aptos" w:hAnsi="Aptos"/>
                <w:b w:val="0"/>
                <w:sz w:val="19"/>
              </w:rPr>
              <w:t>External Python drop-ins no longer execute automatically. Trusted development environments must explicitly set ANGERONA_EXTERNAL_MODULES=1.</w:t>
            </w:r>
          </w:p>
        </w:tc>
      </w:tr>
      <w:tr>
        <w:tc>
          <w:tcPr>
            <w:tcW w:type="dxa" w:w="1944"/>
            <w:vAlign w:val="center"/>
          </w:tcPr>
          <w:p>
            <w:r/>
            <w:r>
              <w:rPr>
                <w:rFonts w:ascii="Aptos" w:hAnsi="Aptos"/>
                <w:b/>
                <w:sz w:val="19"/>
              </w:rPr>
              <w:t>A-07</w:t>
            </w:r>
          </w:p>
        </w:tc>
        <w:tc>
          <w:tcPr>
            <w:tcW w:type="dxa" w:w="2880"/>
            <w:vAlign w:val="center"/>
          </w:tcPr>
          <w:p>
            <w:r/>
            <w:r>
              <w:rPr>
                <w:rFonts w:ascii="Aptos" w:hAnsi="Aptos"/>
                <w:b/>
                <w:color w:val="087F5B"/>
                <w:sz w:val="19"/>
              </w:rPr>
              <w:t>Closed</w:t>
            </w:r>
          </w:p>
        </w:tc>
        <w:tc>
          <w:tcPr>
            <w:tcW w:type="dxa" w:w="5112"/>
            <w:vAlign w:val="center"/>
          </w:tcPr>
          <w:p>
            <w:r/>
            <w:r>
              <w:rPr>
                <w:rFonts w:ascii="Aptos" w:hAnsi="Aptos"/>
                <w:b w:val="0"/>
                <w:sz w:val="19"/>
              </w:rPr>
              <w:t>Shadow Shield path identifiers now use SHA-256 instead of SHA-1.</w:t>
            </w:r>
          </w:p>
        </w:tc>
      </w:tr>
      <w:tr>
        <w:tc>
          <w:tcPr>
            <w:tcW w:type="dxa" w:w="1944"/>
            <w:vAlign w:val="center"/>
          </w:tcPr>
          <w:p>
            <w:r/>
            <w:r>
              <w:rPr>
                <w:rFonts w:ascii="Aptos" w:hAnsi="Aptos"/>
                <w:b/>
                <w:sz w:val="19"/>
              </w:rPr>
              <w:t>A-06</w:t>
            </w:r>
          </w:p>
        </w:tc>
        <w:tc>
          <w:tcPr>
            <w:tcW w:type="dxa" w:w="2880"/>
            <w:vAlign w:val="center"/>
          </w:tcPr>
          <w:p>
            <w:r/>
            <w:r>
              <w:rPr>
                <w:rFonts w:ascii="Aptos" w:hAnsi="Aptos"/>
                <w:b/>
                <w:color w:val="B26A00"/>
                <w:sz w:val="19"/>
              </w:rPr>
              <w:t>Partially addressed</w:t>
            </w:r>
          </w:p>
        </w:tc>
        <w:tc>
          <w:tcPr>
            <w:tcW w:type="dxa" w:w="5112"/>
            <w:vAlign w:val="center"/>
          </w:tcPr>
          <w:p>
            <w:r/>
            <w:r>
              <w:rPr>
                <w:rFonts w:ascii="Aptos" w:hAnsi="Aptos"/>
                <w:b w:val="0"/>
                <w:sz w:val="19"/>
              </w:rPr>
              <w:t>AI fix and revert scripts now reject additional defense-weakening, persistence, remote-execution, scheduled-task/service, Run-key, and firewall-disable patterns. A single centralized PowerShell executor/audit boundary remains recommended.</w:t>
            </w:r>
          </w:p>
        </w:tc>
      </w:tr>
    </w:tbl>
    <w:p>
      <w:pPr>
        <w:pStyle w:val="Heading2"/>
      </w:pPr>
      <w:r>
        <w:t>Validation</w:t>
      </w:r>
    </w:p>
    <w:p>
      <w: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2"/>
      </w:pPr>
      <w:r>
        <w:t>Residual assurance work</w:t>
      </w:r>
    </w:p>
    <w:p>
      <w:pPr>
        <w:pStyle w:val="ListBullet"/>
      </w:pPr>
      <w:r>
        <w:t>Run a true multi-hour desktop soak with representative alert and red-team bursts; the headless suite is not a substitute for elapsed-time GUI validation.</w:t>
      </w:r>
    </w:p>
    <w:p>
      <w:pPr>
        <w:pStyle w:val="ListBullet"/>
      </w:pPr>
      <w:r>
        <w:t>Keep ANGERONA_AMSI_INPROCESS disabled unless testing a known-compatible runtime; native ctypes failures cannot be recovered by Python exception handling.</w:t>
      </w:r>
    </w:p>
    <w:p>
      <w:pPr>
        <w:pStyle w:val="ListBullet"/>
      </w:pPr>
      <w:r>
        <w:t>Centralize every PowerShell invocation behind one policy, approval, integrity, and append-only audit boundary to fully close A-06.</w:t>
      </w:r>
    </w:p>
    <w:p>
      <w:pPr>
        <w:pStyle w:val="ListBullet"/>
      </w:pPr>
      <w:r>
        <w:t>Treat external modules as privileged code and leave external discovery disabled in normal deployments.</w:t>
      </w:r>
    </w:p>
    <w:p>
      <w:r>
        <w:rPr>
          <w:b/>
        </w:rPr>
        <w:t xml:space="preserve">Superseding validation note: </w:t>
      </w:r>
      <w:r>
        <w:t>where an earlier 14 July addendum cites a 61-check module report, this sweep's final release-gate result is 26/26 end-to-end phases; individual stopped/idle modules remain reported as expected skips inside the module-level diagnostic output.</w:t>
      </w:r>
    </w:p>
    <w:p>
      <w:pPr>
        <w:pStyle w:val="Heading1"/>
      </w:pPr>
      <w:r>
        <w:t>Improvement Loop Release - 14 July 2026 (v1.7.5)</w:t>
      </w:r>
    </w:p>
    <w:p>
      <w:r>
        <w:t>Feature-versus-defect framing</w:t>
      </w:r>
    </w:p>
    <w:p>
      <w:pPr>
        <w:pStyle w:val="ListBullet"/>
      </w:pPr>
      <w: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t>Defensive features, not defect closures: ELAT adds bounded, corroborated entity-scoped evidence fusion; TECT adds a reusable bounded deadline/echo contract and corrects DRILL's false-health and consecutive-miss behavior.</w:t>
      </w:r>
    </w:p>
    <w:p>
      <w:pPr>
        <w:pStyle w:val="ListBullet"/>
      </w:pPr>
      <w:r>
        <w:t>Performance correction: the Round 3 empty-snapshot cache edge (R3-QA-01/P9) is fixed. Eight concurrent empty process or connection scans now perform one OS enumeration, an 87.5% reduction, without changing the 1.5-second TTL or max_age=0 refresh behavior.</w:t>
      </w:r>
    </w:p>
    <w:p>
      <w:pPr>
        <w:pStyle w:val="Heading2"/>
      </w:pPr>
      <w:r>
        <w:t>Validation and remaining work</w:t>
      </w:r>
    </w:p>
    <w:p>
      <w:pPr>
        <w:pStyle w:val="ListBullet"/>
      </w:pPr>
      <w:r>
        <w:t>Release gates passed: 177/177 Python files compiled; 62/62 module files imported; 61 modules discovered with zero errors or duplicate codes; the full self-check passed 26/26 phases with zero failures.</w:t>
      </w:r>
    </w:p>
    <w:p>
      <w:pPr>
        <w:pStyle w:val="ListBullet"/>
      </w:pPr>
      <w: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r>
        <w:br w:type="page"/>
      </w:r>
    </w:p>
    <w:p>
      <w:pPr>
        <w:pStyle w:val="Heading1"/>
      </w:pPr>
      <w:r>
        <w:t>Cycle 2 Vulnerability and Remediation Record — v1.8.0</w:t>
      </w:r>
    </w:p>
    <w:p>
      <w:r>
        <w:t>This addendum records the Cycle 2 three-loop finding set. It supplements the v1.7.5 record; older finding IDs and deferred deployment boundaries remain historical context.</w:t>
      </w:r>
    </w:p>
    <w:p>
      <w:pPr>
        <w:pStyle w:val="Heading2"/>
      </w:pPr>
      <w:r>
        <w:t>Round 1 closures</w:t>
      </w:r>
    </w:p>
    <w:p>
      <w:pPr>
        <w:pStyle w:val="ListBullet"/>
      </w:pPr>
      <w: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r>
        <w:t>ARIA disabled state now refuses READ, WRITE staging, confirmation, and proactive callbacks and clears pending actions. SQLite retention remains hard-bounded while pruning lower severity before HIGH/CRITICAL evidence.</w:t>
      </w:r>
    </w:p>
    <w:p>
      <w:pPr>
        <w:pStyle w:val="Heading2"/>
      </w:pPr>
      <w:r>
        <w:t>Round 2 closures</w:t>
      </w:r>
    </w:p>
    <w:p>
      <w:pPr>
        <w:pStyle w:val="ListBullet"/>
      </w:pPr>
      <w:r>
        <w:t>Red Team and Shark Stop &amp; Clean now use interruptible cancellation, a bounded 250 ms join, final scoped cleanup, and overlap refusal. Cancelled Shark runs do not emit the normal completion/AAR callback.</w:t>
      </w:r>
    </w:p>
    <w:p>
      <w:pPr>
        <w:pStyle w:val="ListBullet"/>
      </w:pPr>
      <w: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2"/>
      </w:pPr>
      <w:r>
        <w:t>Round 3 and performance closure</w:t>
      </w:r>
    </w:p>
    <w:p>
      <w:pPr>
        <w:pStyle w:val="ListBullet"/>
      </w:pPr>
      <w:r>
        <w:t>Full 128-bit collision-safe ARIA tokens prevent one live preview from replacing another; the pending map and tool registry mutate atomically, while callbacks remain outside the lock.</w:t>
      </w:r>
    </w:p>
    <w:p>
      <w:pPr>
        <w:pStyle w:val="ListBullet"/>
      </w:pPr>
      <w:r>
        <w:t>The valid 21:39:50 storage-lock stall is closed by committed revision tracking plus immediate-only interactive reads. The GUI keeps the last complete state and retries instead of waiting behind SQLite maintenance.</w:t>
      </w:r>
    </w:p>
    <w:p>
      <w:pPr>
        <w:pStyle w:val="Heading2"/>
      </w:pPr>
      <w:r>
        <w:t>Implemented versus experimental</w:t>
      </w:r>
    </w:p>
    <w:p>
      <w: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2"/>
      </w:pPr>
      <w:r>
        <w:t>Final verification</w:t>
      </w:r>
    </w:p>
    <w:p>
      <w:pPr>
        <w:pStyle w:val="ListBullet"/>
      </w:pPr>
      <w:r>
        <w:t>Complete-tree compile: 205/205 Python files; production-package compile: 195/195.</w:t>
      </w:r>
    </w:p>
    <w:p>
      <w:pPr>
        <w:pStyle w:val="ListBullet"/>
      </w:pPr>
      <w:r>
        <w:t>Module integrity: 62/62 module files imported; 61/61 modules constructed and discovered; no duplicate names or non-empty codes.</w:t>
      </w:r>
    </w:p>
    <w:p>
      <w:pPr>
        <w:pStyle w:val="ListBullet"/>
      </w:pPr>
      <w:r>
        <w:t>Behavioral gates: 24/24 focused regressions; 12/12 ARIA and research self-tests; Response Safety Kernel self-test passed.</w:t>
      </w:r>
    </w:p>
    <w:p>
      <w:pPr>
        <w:pStyle w:val="ListBullet"/>
      </w:pPr>
      <w:r>
        <w:t>Full application self-check: 26/26 phases. Raw module diagnostics: 47 pass, 15 expected stopped/idle/optional-Ollama skips, 0 genuine failures.</w:t>
      </w:r>
    </w:p>
    <w:p>
      <w:pPr>
        <w:pStyle w:val="Heading2"/>
      </w:pPr>
      <w:r>
        <w:t>Deferred, not closed by Cycle 2</w:t>
      </w:r>
    </w:p>
    <w:p>
      <w:pPr>
        <w:pStyle w:val="ListBullet"/>
      </w:pPr>
      <w:r>
        <w:t>Remote Bridge authenticated-encryption protocol migration; Administrator/SYSTEM-owned packaged trust root; privileged or non-exportable event-ledger signing-key custody; centralized PowerShell execution policy.</w:t>
      </w:r>
    </w:p>
    <w:p>
      <w:pPr>
        <w:pStyle w:val="ListBullet"/>
      </w:pPr>
      <w:r>
        <w:t>Certificate/hash-bound trust, signed cold evidence/retirement records, persisted PID/start-time ownership, and a true multi-hour desktop soak.</w:t>
      </w:r>
    </w:p>
    <w:p>
      <w:pPr>
        <w:pStyle w:val="ListBullet"/>
      </w:pPr>
      <w:r>
        <w:t>Any Response Safety Kernel production authority, Sensor Cells, Collective Baseline Exchange, Lifecycle Epoch Ledger, or Shadow Differential Review. These remain proposed and approval-gated.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Vulnerabilities Assessment and Remediation v1.8.0</dc:title>
  <dc:subject>Cycle 2 finding and closure record</dc:subject>
  <dc:creator>python-docx</dc:creator>
  <cp:keywords/>
  <dc:description>Current v1.8.0 documentation; older versioned snapshots preserved.</dc:description>
  <cp:lastModifiedBy/>
  <cp:revision>1</cp:revision>
  <dcterms:created xsi:type="dcterms:W3CDTF">2013-12-23T23:15:00Z</dcterms:created>
  <dcterms:modified xsi:type="dcterms:W3CDTF">2026-07-14T15:47:35Z</dcterms:modified>
  <cp:category/>
  <cp:version>1.7.5</cp:version>
</cp:coreProperties>
</file>