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spacing w:after="200"/>
        <w:jc w:val="center"/>
      </w:pPr>
      <w:r>
        <w:rPr>
          <w:rFonts w:ascii="Calibri" w:hAnsi="Calibri" w:eastAsia="Calibri"/>
          <w:b/>
          <w:color w:val="0B2545"/>
          <w:sz w:val="64"/>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release: v1.13.0 with Cycle 34 post-release defensive convergence across governed detection authority, Fleet custody and lifecycle, loopback canvas isolation, AegisPath lookup bounds, and coherent publisher-key validation.</w:t>
            </w:r>
          </w:p>
        </w:tc>
      </w:tr>
    </w:tbl>
    <w:p>
      <w:pPr>
        <w:spacing w:after="40"/>
      </w:pPr>
    </w:p>
    <w:p/>
    <w:p/>
    <w:p>
      <w:pPr>
        <w:jc w:val="center"/>
      </w:pPr>
      <w:r>
        <w:rPr>
          <w:rFonts w:ascii="Calibri" w:hAnsi="Calibri" w:eastAsia="Calibri"/>
          <w:b/>
          <w:color w:val="0B2545"/>
          <w:sz w:val="22"/>
        </w:rPr>
        <w:t>30 August 2026</w:t>
      </w:r>
    </w:p>
    <w:p>
      <w:pPr>
        <w:jc w:val="center"/>
      </w:pPr>
      <w:r>
        <w:rPr>
          <w:rFonts w:ascii="Calibri" w:hAnsi="Calibri" w:eastAsia="Calibri"/>
          <w:color w:val="667085"/>
          <w:sz w:val="19"/>
        </w:rPr>
        <w:t>Windows Protect | macOS Observe | Linux Observe + optional eBPF</w:t>
      </w:r>
    </w:p>
    <w:p>
      <w:pPr>
        <w:sectPr w:rsidR="00FC693F" w:rsidRPr="0006063C" w:rsidSect="00034616">
          <w:type w:val="nextPage"/>
          <w:headerReference w:type="default" r:id="rId12"/>
          <w:footerReference w:type="default" r:id="rId11"/>
          <w:pgSz w:w="12240" w:h="15840"/>
          <w:pgMar w:top="1440" w:right="1440" w:bottom="1440" w:left="1440" w:header="708" w:footer="708" w:gutter="0"/>
          <w:cols w:space="720"/>
          <w:docGrid w:linePitch="360"/>
        </w:sectPr>
      </w:pP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1.13.0</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Cycle 34 three-round convergence and targeted validation complete; commit-bound release validation and guarded GitHub publication pending</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unchanged 84-capability inventory, and analysis/loop/cycle34 evidence as of 30 August 2026</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r>
        <w:rPr>
          <w:rFonts w:ascii="Calibri" w:hAnsi="Calibri" w:eastAsia="Calibri"/>
          <w:i w:val="0"/>
          <w:color w:val="243447"/>
        </w:rPr>
        <w:t>Angerona unifies Windows endpoint and network visibility, local evidence retention, case work, MITRE ATT&amp;CK mapping, governed containment, recovery, local AI assistance, and non-destructive purple-team validation. The v1.13.0 inventory discovers 84 defensive capabilities. Every capability receives a validated operational contract and health snapshot; nine declare native contracts and 75 use explicit compatibility adapters. Product version, implementation label, contract maturity, and efficacy remain separate claims.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80"/>
      </w:pPr>
    </w:p>
    <w:p>
      <w:pPr>
        <w:pStyle w:val="Heading2"/>
        <w:spacing w:before="120" w:after="80"/>
      </w:pPr>
      <w:r>
        <w:t>1.2 Recommended starting posture</w:t>
      </w:r>
    </w:p>
    <w:p>
      <w:pPr>
        <w:numPr>
          <w:ilvl w:val="0"/>
          <w:numId w:val="12"/>
        </w:numPr>
        <w:spacing w:before="0" w:after="20" w:line="252" w:lineRule="auto"/>
      </w:pPr>
      <w:r>
        <w:rPr>
          <w:rFonts w:ascii="Calibri" w:hAnsi="Calibri" w:eastAsia="Calibri"/>
          <w:color w:val="243447"/>
        </w:rPr>
        <w:t>Install into a reviewed, protected runtime and keep mutable data in the protected canonical data root.</w:t>
      </w:r>
    </w:p>
    <w:p>
      <w:pPr>
        <w:numPr>
          <w:ilvl w:val="0"/>
          <w:numId w:val="12"/>
        </w:numPr>
        <w:spacing w:before="0" w:after="20" w:line="252" w:lineRule="auto"/>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spacing w:before="0" w:after="20" w:line="252" w:lineRule="auto"/>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spacing w:before="0" w:after="20" w:line="252" w:lineRule="auto"/>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spacing w:before="0" w:after="20" w:line="252" w:lineRule="auto"/>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rPr>
          <w:cantSplit/>
        </w:trPr>
        <w:tc>
          <w:tcPr>
            <w:tcW w:type="dxa" w:w="9360"/>
            <w:vAlign w:val="center"/>
            <w:tcMar>
              <w:top w:w="40" w:type="dxa"/>
              <w:bottom w:w="4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pPr>
      <w:r>
        <w:t>Host Adaptation tables sort by typed severity and numeric risk. Double-click opens the complete bounded JSON record without changing state.</w:t>
      </w:r>
    </w:p>
    <w:p>
      <w:pPr>
        <w:pStyle w:val="ListBullet"/>
      </w:pPr>
      <w:r>
        <w:t>Live Alerts and event detail show available governed paths and evidence fields. A displayed path is context, not automatic permission to open, execute, delete, quarantine, or remediate it.</w:t>
      </w:r>
    </w:p>
    <w:p>
      <w:pPr>
        <w:pStyle w:val="ListBullet"/>
      </w:pPr>
      <w:r>
        <w:t>Context Info meaning/path tables are sortable and double-clickable, so menu labels, implementation locations, and security boundaries can be inspected without hunting through multiple buttons.</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pPr>
      <w:r>
        <w:t>Enroll Recovery Baseline stores one exclusive, host-bound, authenticated, digest-verified complete Windows Firewall policy; it cannot silently replace the anchor.</w:t>
      </w:r>
    </w:p>
    <w:p>
      <w:pPr>
        <w:pStyle w:val="ListBullet"/>
      </w:pPr>
      <w:r>
        <w:t>Restore snapshots pre-state, journals the action, verifies exact firewall state, and compensates or declares recovery-required.</w:t>
      </w:r>
    </w:p>
    <w:p>
      <w:pPr>
        <w:pStyle w:val="ListBullet"/>
      </w:pPr>
      <w:r>
        <w:t>Safe automatic checkup audits once and simulates every profile without writes; it never remediates unattended.</w:t>
      </w:r>
    </w:p>
    <w:p>
      <w:pPr>
        <w:pStyle w:val="ListBullet"/>
      </w:pPr>
      <w:r>
        <w:t>The baseline restores only firewall policy; hardware, services, ports, and network context remain observational.</w:t>
      </w:r>
    </w:p>
    <w:p>
      <w:pPr>
        <w:pStyle w:val="Heading2"/>
      </w:pPr>
      <w:r>
        <w:t>10.2 Resilience</w:t>
      </w:r>
    </w:p>
    <w:p>
      <w:pPr>
        <w:numPr>
          <w:ilvl w:val="0"/>
          <w:numId w:val="10"/>
        </w:numPr>
      </w:pPr>
      <w:r>
        <w:rPr>
          <w:rFonts w:ascii="Calibri" w:hAnsi="Calibri" w:eastAsia="Calibri"/>
          <w:color w:val="243447"/>
        </w:rPr>
        <w:t>Watchdog and supervisor use bounded restart/backoff and safe mode, never uncontrolled loops.</w:t>
      </w:r>
    </w:p>
    <w:p>
      <w:pPr>
        <w:numPr>
          <w:ilvl w:val="0"/>
          <w:numId w:val="10"/>
        </w:numPr>
      </w:pPr>
      <w:r>
        <w:rPr>
          <w:rFonts w:ascii="Calibri" w:hAnsi="Calibri" w:eastAsia="Calibri"/>
          <w:color w:val="243447"/>
        </w:rPr>
        <w:t>Event and storage lanes are bounded, batch safely, and fall back durably when queues saturate.</w:t>
      </w:r>
    </w:p>
    <w:p>
      <w:pPr>
        <w:numPr>
          <w:ilvl w:val="0"/>
          <w:numId w:val="10"/>
        </w:numPr>
      </w:pPr>
      <w:r>
        <w:rPr>
          <w:rFonts w:ascii="Calibri" w:hAnsi="Calibri" w:eastAsia="Calibri"/>
          <w:color w:val="243447"/>
        </w:rPr>
        <w:t>Source Sandbox is inert and path-confined; it rejects installers and never hot-reloads production code.</w:t>
      </w:r>
    </w:p>
    <w:p>
      <w:pPr>
        <w:numPr>
          <w:ilvl w:val="0"/>
          <w:numId w:val="10"/>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fresh evidence closes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Final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Cycle 34 pre-documentation serial: 2,877 passed; 14 intentional host/platform skips; one Cycle 27 Windows child-start deadline miss. The exact combat/ETW lease case then passed 2/2 after bounded timeout hardening. Commit-bound terminal release gate pending.</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or duplicate codes; Cycle 34 targeted matrix 91 passed with two expected Windows host-capability skips (symlink creation and POSIX fork); adjacent Cycle 31-33 matrix 128/128</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93 passed; 16 expected platform, disabled, or optional-prerequisite skips; 0 failed across module and standalone core gates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pPr>
      <w:r>
        <w:t>Configuration and Settings changes are atomic or compensated; alert identity is stable; analysis work is bounded to two active and six queued jobs.</w:t>
      </w:r>
    </w:p>
    <w:p>
      <w:pPr>
        <w:pStyle w:val="ListBullet"/>
      </w:pPr>
      <w:r>
        <w:t>Durable integration outboxes, atomic Intel Sync replacement, typed persistence completeness, and explicit cancellation preserve failure truth across restart.</w:t>
      </w:r>
    </w:p>
    <w:p>
      <w:pPr>
        <w:pStyle w:val="ListBullet"/>
      </w:pPr>
      <w:r>
        <w:t>Allow/Undo is scoped and expiring, SOAR archive is recoverable, and remediation binds exact process birth, driver prior state, and firewall identity.</w:t>
      </w:r>
    </w:p>
    <w:p>
      <w:pPr>
        <w:pStyle w:val="ListBullet"/>
      </w:pPr>
      <w:r>
        <w:t>The six pytest skips are declared host/platform capability gates; structured classification cannot waive an unknown failure.</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pPr>
      <w:r>
        <w:t>The authoritative serial suite passed 1,811 tests with six expected host/platform capability skips and zero failures.</w:t>
      </w:r>
    </w:p>
    <w:p>
      <w:pPr>
        <w:pStyle w:val="ListBullet"/>
      </w:pPr>
      <w:r>
        <w:t>All 346 product Python files compiled. Ruff passed; 82 module files imported; 64 register hooks validated; 80 capabilities discovered with zero errors or duplicates; the inventory contains 61 unique capability codes.</w:t>
      </w:r>
    </w:p>
    <w:p>
      <w:pPr>
        <w:pStyle w:val="ListBullet"/>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AegisPath immutable selection indexes</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Path lookup ~1,358x; node lookup ~8,908x in bounded fixtures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Exact evidence-bound graph and selection semantics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Fleet authenticated custody fast path</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250 retained rows ~744.6 ms to 18.8 ms; 5,000-row cached intake ~289 ms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Full startup audit, 5,000-row/8 KiB caps, cache invalidation, and rollback checks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Detection Runtime decode coalescing</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1,920 to 30 decodes; ~4.0x evaluated-event throughput</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Per-rule budgets, malformed-event failures, shadow isolation, and rate gates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Coherent registry validation</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64 to 2 governance reads; publisher trust reads reduced from N to 2</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Immutable key snapshot plus exit identity/hash and stable artifact generations</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Durable exporter batch commits remain proposed until crash, ordering, partial-acknowledgement, and replay equivalence are proven.</w:t>
      </w:r>
    </w:p>
    <w:p>
      <w:pPr>
        <w:numPr>
          <w:ilvl w:val="0"/>
          <w:numId w:val="10"/>
        </w:numPr>
      </w:pPr>
      <w:r>
        <w:rPr>
          <w:rFonts w:ascii="Calibri" w:hAnsi="Calibri" w:eastAsia="Calibri"/>
          <w:color w:val="243447"/>
        </w:rPr>
        <w:t>Immutable compiled Sigma evaluation plans remain proposed until atomic admission, rule-generation, cache invalidation, and refusal tests are complete.</w:t>
      </w:r>
    </w:p>
    <w:p>
      <w:pPr>
        <w:numPr>
          <w:ilvl w:val="0"/>
          <w:numId w:val="10"/>
        </w:numPr>
      </w:pPr>
      <w:r>
        <w:rPr>
          <w:rFonts w:ascii="Calibri" w:hAnsi="Calibri" w:eastAsia="Calibri"/>
          <w:color w:val="243447"/>
        </w:rPr>
        <w:t>A global per-CVE detail-worker cap remains proposed so bursts across many distinct CVEs cannot exceed the already bounded per-item UI work.</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1"/>
        <w:keepNext/>
        <w:pageBreakBefore w:val="0"/>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Final red-team verdict: Cycle 34 fixed five Round 1 findings, the Round 2 detection/lifecycle and Fleet retained-evidence findings, and every Round 3 replay, ownership, cache, quota, migration, quarantine, and trust-coherence bypass. Final focused re-attacks found no open Critical, High, or Medium release blocker. Full-root rollback still needs an external witness, and Fleet remains a bounded local lab.</w:t>
            </w:r>
          </w:p>
        </w:tc>
      </w:tr>
    </w:tbl>
    <w:p>
      <w:pPr>
        <w:spacing w:after="40"/>
      </w:pPr>
    </w:p>
    <w:p>
      <w:pPr>
        <w:pStyle w:val="Heading2"/>
      </w:pPr>
      <w:r>
        <w:t>15.1 Non-blocking defense-in-depth item</w:t>
      </w:r>
    </w:p>
    <w:p>
      <w:r>
        <w:rPr>
          <w:rFonts w:ascii="Calibri" w:hAnsi="Calibri" w:eastAsia="Calibri"/>
          <w:i w:val="0"/>
          <w:color w:val="243447"/>
        </w:rPr>
        <w:t>R6-03 remains open as a Medium defense-in-depth improvement, not a release blocker: path-wide program firewall work would be stronger if Combat retained an OS process handle and a bounded executable-file identity lease for the full action interval. Current controls revalidate PID birth and executable identity, and the final audit found no reproducing unsafe mutation in this surface.</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r>
        <w:tc>
          <w:tcPr>
            <w:tcW w:type="dxa" w:w="1550"/>
          </w:tcPr>
          <w:p>
            <w:pPr>
              <w:spacing w:after="40"/>
            </w:pPr>
            <w:r>
              <w:rPr>
                <w:sz w:val="18"/>
              </w:rPr>
              <w:t>1.13.0 / Cycle 34 maintenance</w:t>
            </w:r>
          </w:p>
        </w:tc>
        <w:tc>
          <w:tcPr>
            <w:tcW w:type="dxa" w:w="7810"/>
          </w:tcPr>
          <w:p>
            <w:pPr>
              <w:spacing w:after="40"/>
            </w:pPr>
            <w:r>
              <w:rPr>
                <w:sz w:val="18"/>
              </w:rPr>
              <w:t>Governed detection owner/time/quarantine convergence; coherent publisher trust; authenticated bounded Fleet custody and restart-safe transactional quotas; isolated loopback canvas; AegisPath and Detection Runtime performance hardening.</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pPr>
      <w:r>
        <w:t>Guided Auto Adapt consolidates audit, profile choice, baseline, plan, and simulation. Safe automatic checkup simulates every profile without writes; apply remains separately approved and proposal-only.</w:t>
      </w:r>
    </w:p>
    <w:p>
      <w:pPr>
        <w:pStyle w:val="ListBullet"/>
      </w:pPr>
      <w:r>
        <w:t>Capability, module, adaptation, context, live activity, alert, and path surfaces provide searchable, sortable, clickable read-only detail.</w:t>
      </w:r>
    </w:p>
    <w:p>
      <w:pPr>
        <w:pStyle w:val="ListBullet"/>
      </w:pPr>
      <w:r>
        <w:t>All 80 capabilities receive operational contracts and health snapshots: five native contracts and 75 explicit compatibility adapters.</w:t>
      </w:r>
    </w:p>
    <w:p>
      <w:pPr>
        <w:pStyle w:val="ListBullet"/>
      </w:pPr>
      <w:r>
        <w:t>Durable outboxes, atomic Intel Sync, typed persistence completeness, exact tuner approvals, protected IPC secrets, and identity-bound remediation improve restart and failure safety.</w:t>
      </w:r>
    </w:p>
    <w:p>
      <w:pPr>
        <w:pStyle w:val="ListBullet"/>
      </w:pPr>
      <w:r>
        <w:t>Standards truth is pinned to ATT&amp;CK 19.2, Navigator 5.3.2/layer 4.5, typed OCSF 1.8, and atomic Sigma admission/refusal.</w:t>
      </w:r>
    </w:p>
    <w:p>
      <w:pPr>
        <w:pStyle w:val="ListBullet"/>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pPr>
      <w:r>
        <w:t>Adversarial closure: 31 initial findings (11 High, 18 Medium, 2 Low) were fixed; independent re-attacks found 15 additional bypasses, all fixed. The final bounded gates found no reopened issue.</w:t>
      </w:r>
    </w:p>
    <w:p>
      <w:pPr>
        <w:pStyle w:val="ListBullet"/>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2"/>
        <w:keepNext/>
        <w:pageBreakBefore/>
      </w:pPr>
      <w:r>
        <w:t>17.9 v1.13.0 Cycle 34 defensive convergence maintenance (2026-08-30)</w:t>
      </w:r>
    </w:p>
    <w:p>
      <w:pPr/>
      <w:r>
        <w:t>Cycle 34 is a three-round post-v1.13 defensive convergence pass. It keeps version 1.13.0 and the 84-capability inventory unchanged; no proposal-only research item was relabeled as shipped behavior.</w:t>
      </w:r>
    </w:p>
    <w:p>
      <w:pPr>
        <w:pStyle w:val="ListBullet"/>
      </w:pPr>
      <w:r>
        <w:t>Round 1 closed repository-wide canvas exposure, legacy detection governance bypass, detached runtime ownership, multi-package eviction, and an unbound Fleet monitor. AegisPath gained immutable path/node indexes.</w:t>
      </w:r>
    </w:p>
    <w:p>
      <w:pPr>
        <w:pStyle w:val="ListBullet"/>
      </w:pPr>
      <w:r>
        <w:t>Round 2 bound detection state, registry, runtime, receipts, expiry, and recovery into one fail-closed authority; hardened descriptor-only canvas serving and cancellable Local SOC startup; authenticated every retained Fleet health row; and replaced 3N+1 repeated signature verification with a guarded exact-row custody projection.</w:t>
      </w:r>
    </w:p>
    <w:p>
      <w:pPr>
        <w:pStyle w:val="ListBullet"/>
      </w:pPr>
      <w:r>
        <w:t>Round 3 added a nondecreasing promotion time floor, creator-PID-bound runtime-owner lease tied to exact registry/state/quality/policy/clock/path authority with fork-safe descriptor reset, governance anchor, journaled quarantine convergence, safe legacy migration, zero-mutation invalid/replay intake, restart-safe Fleet quotas, transactional quota reservation, and coherent publisher-key snapshots across multi-package validation.</w:t>
      </w:r>
    </w:p>
    <w:p>
      <w:pPr/>
      <w:r>
        <w:t>Performance evidence is bounded and reproducible: Detection Runtime reduced representative JSON decodes from 1,920 to 30 (~4x throughput); registry governance reads fell from 64 to 2; Fleet's 250-row cached path fell from about 744.6 ms to 18.8 ms; and AegisPath path/node lookup work improved by roughly 1,358x/8,908x in its declared fixtures.</w:t>
      </w:r>
    </w:p>
    <w:p>
      <w:pPr/>
      <w:r>
        <w:t>Final targeted evidence: Cycle 34 91 passed with two expected Windows host-capability skips (symlink creation and POSIX fork); adjacent Cycle 31-33 coverage 128/128; 368/368 package files compiled; 93 self-tests passed with 16 expected skips and zero failures; application selfcheck 26/26; final migration malformed-history matrix 16/16 and owner crash/reopen/quarantine probes clean.</w:t>
      </w:r>
    </w:p>
    <w:p>
      <w:pPr/>
      <w:r>
        <w:t>Residual boundary: local HMAC/SQLite/file anchors cannot prove freshness against rollback of the entire trusted root. Truncated or unprovable legacy detection history requires explicit operator recovery. Fleet is still a local lab with no remote transport, dispatch, HA, distributed quota, or production mTLS service; its 5,000-row retention bound may conservatively delay post-prune restart intake until refill.</w:t>
      </w:r>
    </w:p>
    <w:p>
      <w:pPr/>
      <w:r>
        <w:t>Proposal-only next work includes Runtime Custody Lease Broker (best future MVP), Domain Writer Fencing Tokens, View-Bound Action Receipts, Invariant Failure Capsules, Disposable Authority Recovery Rehearsal, Authoritative Mutation Inventory Gate, Cross-Domain Commit Envelope, and Forward-Integrity Ledger Epochs. None is implemented by this maintenance cycle.</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dirty="true"/>
          </w:r>
          <w:r>
            <w:rPr>
              <w:rFonts w:ascii="Calibri" w:hAnsi="Calibri" w:eastAsia="Calibri"/>
              <w:color w:val="667085"/>
              <w:sz w:val="18"/>
            </w:rPr>
            <w:instrText xml:space="preserve"> PAGE </w:instrText>
          </w:r>
          <w:r>
            <w:rPr>
              <w:rFonts w:ascii="Calibri" w:hAnsi="Calibri" w:eastAsia="Calibri"/>
              <w:color w:val="667085"/>
              <w:sz w:val="18"/>
            </w:rPr>
            <w:fldChar w:fldCharType="separate"/>
          </w:r>
          <w:r>
            <w:rPr>
              <w:rFonts w:ascii="Calibri" w:hAnsi="Calibri" w:eastAsia="Calibri"/>
              <w:color w:val="667085"/>
              <w:sz w:val="18"/>
            </w:rPr>
            <w:t>1</w:t>
          </w:r>
          <w:r>
            <w:rPr>
              <w:rFonts w:ascii="Calibri" w:hAnsi="Calibri" w:eastAsia="Calibri"/>
              <w:color w:val="667085"/>
              <w:sz w:val="18"/>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v1.13.0  |  30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v1.13.0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v1.13.0 operator reference with Cycle 34 defensive convergence maintenance</dc:subject>
  <dc:creator>Angerona Project</dc:creator>
  <cp:keywords>Angerona, EDR, NDR, SOAR, DFIR, Adversary Combat, ARIA, Ollama</cp:keywords>
  <dc:description>Canonical manual minimally updated 30 August 2026; defensive-only maintenance with explicit authority and deployment boundaries.</dc:description>
  <cp:lastModifiedBy/>
  <cp:revision>1</cp:revision>
  <dcterms:created xsi:type="dcterms:W3CDTF">2026-08-25T00:00:00Z</dcterms:created>
  <dcterms:modified xsi:type="dcterms:W3CDTF">2026-08-30T00:00:00Z</dcterms:modified>
  <cp:category/>
</cp:coreProperties>
</file>