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Vulnerabilities Assessment &amp; Remediation</w:t>
      </w:r>
    </w:p>
    <w:p>
      <w:r>
        <w:rPr>
          <w:color w:val="555555"/>
          <w:sz w:val="21"/>
        </w:rPr>
        <w:t>AngeronaSuite (canonical GUI app) · src/angerona/</w:t>
      </w:r>
    </w:p>
    <w:p>
      <w:r>
        <w:rPr>
          <w:color w:val="555555"/>
          <w:sz w:val="21"/>
        </w:rPr>
        <w:t>Document version 1.7.4  ·  2026-07-13  ·  Status: All 4 v1.6.1 findings CLOSED (26/26 selfcheck); v1.7.0–v1.7.2 add features only (see note)</w:t>
      </w:r>
    </w:p>
    <w:p>
      <w:r>
        <w:rPr>
          <w:sz w:val="8"/>
        </w:rPr>
      </w:r>
    </w:p>
    <w:p>
      <w:pPr>
        <w:spacing w:before="320" w:after="120"/>
        <w:pBdr>
          <w:bottom w:val="single" w:sz="6" w:space="4" w:color="1e3a5f"/>
        </w:pBdr>
      </w:pPr>
      <w:r>
        <w:rPr>
          <w:b/>
          <w:color w:val="1E3A5F"/>
          <w:sz w:val="30"/>
        </w:rPr>
        <w:t>1. Purpose &amp; Scope</w:t>
      </w:r>
    </w:p>
    <w:p>
      <w:pPr>
        <w:spacing w:after="120"/>
      </w:pPr>
      <w:r>
        <w:rPr>
          <w:i w:val="0"/>
          <w:sz w:val="21"/>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pPr>
        <w:spacing w:after="120"/>
      </w:pPr>
      <w:r>
        <w:rPr>
          <w:i w:val="0"/>
          <w:sz w:val="21"/>
        </w:rPr>
        <w:t>Scope is limited to the AngeronaSuite application (src/angerona/) — the canonical PySide6 desktop app. The separate legacy Rich-terminal prototype at the repository root (D:\local-security-ai\agent.py / ui.py) is out of scope; it is a distinct, older program per AngeronaSuite/llms.txt line 3.</w:t>
      </w:r>
    </w:p>
    <w:p>
      <w: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spacing w:before="320" w:after="120"/>
        <w:pBdr>
          <w:bottom w:val="single" w:sz="6" w:space="4" w:color="1e3a5f"/>
        </w:pBdr>
      </w:pPr>
      <w:r>
        <w:rPr>
          <w:b/>
          <w:color w:val="1E3A5F"/>
          <w:sz w:val="30"/>
        </w:rPr>
        <w:t>2. Methodology</w:t>
      </w:r>
    </w:p>
    <w:p>
      <w:pPr>
        <w:pStyle w:val="ListBullet"/>
      </w:pPr>
      <w:r>
        <w:rPr>
          <w:sz w:val="21"/>
        </w:rPr>
        <w:t>Static verification: grep/read of the modified source for each fix, confirming the code change is present and matches the described behavior.</w:t>
      </w:r>
    </w:p>
    <w:p>
      <w:pPr>
        <w:pStyle w:val="ListBullet"/>
      </w:pPr>
      <w:r>
        <w:rPr>
          <w:sz w:val="21"/>
        </w:rPr>
        <w:t>Syntax verification: py_compile with warnings promoted to errors, confirming the two SyntaxWarning sites no longer emit a warning.</w:t>
      </w:r>
    </w:p>
    <w:p>
      <w:pPr>
        <w:pStyle w:val="ListBullet"/>
      </w:pPr>
      <w:r>
        <w:rPr>
          <w:sz w:val="21"/>
        </w:rPr>
        <w:t>Dynamic verification: full run of tools/selfcheck.py (the project's own headless regression harness) — result 26/26 PASS, matching the pre-existing green baseline.</w:t>
      </w:r>
    </w:p>
    <w:p>
      <w:pPr>
        <w:pStyle w:val="ListBullet"/>
      </w:pPr>
      <w:r>
        <w:rPr>
          <w:sz w:val="21"/>
        </w:rPr>
        <w:t>No new automated tests were added for these fixes beyond the existing selfcheck assertions, which already exercise the affected code paths (remediation action selection, World View flow-node shape, and the module self-test grid).</w:t>
      </w:r>
    </w:p>
    <w:p>
      <w:pPr>
        <w:spacing w:before="320" w:after="120"/>
        <w:pBdr>
          <w:bottom w:val="single" w:sz="6" w:space="4" w:color="1e3a5f"/>
        </w:pBdr>
      </w:pPr>
      <w:r>
        <w:rPr>
          <w:b/>
          <w:color w:val="1E3A5F"/>
          <w:sz w:val="30"/>
        </w:rPr>
        <w:t>3. Findings Summary</w:t>
      </w:r>
    </w:p>
    <w:tbl>
      <w:tblPr>
        <w:tblW w:type="auto" w:w="0"/>
        <w:jc w:val="center"/>
        <w:tblLayout w:type="fixed"/>
        <w:tblLook w:firstColumn="1" w:firstRow="1" w:lastColumn="0" w:lastRow="0" w:noHBand="0" w:noVBand="1" w:val="04A0"/>
      </w:tblPr>
      <w:tblGrid>
        <w:gridCol w:w="907"/>
        <w:gridCol w:w="2608"/>
        <w:gridCol w:w="2381"/>
        <w:gridCol w:w="1247"/>
        <w:gridCol w:w="1361"/>
      </w:tblGrid>
      <w:tr>
        <w:tc>
          <w:tcPr>
            <w:tcW w:type="dxa" w:w="1987"/>
            <w:shd w:val="clear" w:color="auto" w:fill="1e3a5f"/>
          </w:tcPr>
          <w:p>
            <w:r/>
            <w:r>
              <w:rPr>
                <w:b/>
                <w:color w:val="FFFFFF"/>
                <w:sz w:val="20"/>
              </w:rPr>
              <w:t>ID</w:t>
            </w:r>
          </w:p>
        </w:tc>
        <w:tc>
          <w:tcPr>
            <w:tcW w:type="dxa" w:w="1987"/>
            <w:shd w:val="clear" w:color="auto" w:fill="1e3a5f"/>
          </w:tcPr>
          <w:p>
            <w:r/>
            <w:r>
              <w:rPr>
                <w:b/>
                <w:color w:val="FFFFFF"/>
                <w:sz w:val="20"/>
              </w:rPr>
              <w:t>Title</w:t>
            </w:r>
          </w:p>
        </w:tc>
        <w:tc>
          <w:tcPr>
            <w:tcW w:type="dxa" w:w="1987"/>
            <w:shd w:val="clear" w:color="auto" w:fill="1e3a5f"/>
          </w:tcPr>
          <w:p>
            <w:r/>
            <w:r>
              <w:rPr>
                <w:b/>
                <w:color w:val="FFFFFF"/>
                <w:sz w:val="20"/>
              </w:rPr>
              <w:t>Component</w:t>
            </w:r>
          </w:p>
        </w:tc>
        <w:tc>
          <w:tcPr>
            <w:tcW w:type="dxa" w:w="1987"/>
            <w:shd w:val="clear" w:color="auto" w:fill="1e3a5f"/>
          </w:tcPr>
          <w:p>
            <w:r/>
            <w:r>
              <w:rPr>
                <w:b/>
                <w:color w:val="FFFFFF"/>
                <w:sz w:val="20"/>
              </w:rPr>
              <w:t>Severity</w:t>
            </w:r>
          </w:p>
        </w:tc>
        <w:tc>
          <w:tcPr>
            <w:tcW w:type="dxa" w:w="1987"/>
            <w:shd w:val="clear" w:color="auto" w:fill="1e3a5f"/>
          </w:tcPr>
          <w:p>
            <w:r/>
            <w:r>
              <w:rPr>
                <w:b/>
                <w:color w:val="FFFFFF"/>
                <w:sz w:val="20"/>
              </w:rPr>
              <w:t>Status</w:t>
            </w:r>
          </w:p>
        </w:tc>
      </w:tr>
      <w:tr>
        <w:tc>
          <w:tcPr>
            <w:tcW w:type="dxa" w:w="907"/>
          </w:tcPr>
          <w:p>
            <w:r/>
            <w:r>
              <w:rPr>
                <w:b w:val="0"/>
                <w:sz w:val="19"/>
              </w:rPr>
              <w:t>V-01</w:t>
            </w:r>
          </w:p>
        </w:tc>
        <w:tc>
          <w:tcPr>
            <w:tcW w:type="dxa" w:w="2608"/>
          </w:tcPr>
          <w:p>
            <w:r/>
            <w:r>
              <w:rPr>
                <w:b w:val="0"/>
                <w:sz w:val="19"/>
              </w:rPr>
              <w:t>Remediation misrouting: T1562/AMSI-bypass shadowed by registry-hardening substring match</w:t>
            </w:r>
          </w:p>
        </w:tc>
        <w:tc>
          <w:tcPr>
            <w:tcW w:type="dxa" w:w="2381"/>
          </w:tcPr>
          <w:p>
            <w:r/>
            <w:r>
              <w:rPr>
                <w:b w:val="0"/>
                <w:sz w:val="19"/>
              </w:rPr>
              <w:t>modules/remediation_actions.py</w:t>
            </w:r>
          </w:p>
        </w:tc>
        <w:tc>
          <w:tcPr>
            <w:tcW w:type="dxa" w:w="1247"/>
          </w:tcPr>
          <w:p>
            <w:r/>
            <w:r>
              <w:rPr>
                <w:b w:val="0"/>
                <w:sz w:val="19"/>
              </w:rPr>
              <w:t>Medium</w:t>
            </w:r>
          </w:p>
        </w:tc>
        <w:tc>
          <w:tcPr>
            <w:tcW w:type="dxa" w:w="1361"/>
          </w:tcPr>
          <w:p>
            <w:r/>
            <w:r>
              <w:rPr>
                <w:b w:val="0"/>
                <w:color w:val="157A3D"/>
                <w:sz w:val="19"/>
              </w:rPr>
              <w:t>CLOSED</w:t>
            </w:r>
          </w:p>
        </w:tc>
      </w:tr>
      <w:tr>
        <w:tc>
          <w:tcPr>
            <w:tcW w:type="dxa" w:w="907"/>
          </w:tcPr>
          <w:p>
            <w:r/>
            <w:r>
              <w:rPr>
                <w:b w:val="0"/>
                <w:sz w:val="19"/>
              </w:rPr>
              <w:t>V-02</w:t>
            </w:r>
          </w:p>
        </w:tc>
        <w:tc>
          <w:tcPr>
            <w:tcW w:type="dxa" w:w="2608"/>
          </w:tcPr>
          <w:p>
            <w:r/>
            <w:r>
              <w:rPr>
                <w:b w:val="0"/>
                <w:sz w:val="19"/>
              </w:rPr>
              <w:t>Stale selfcheck assertions: 7-node flow checked instead of the shipped 6-node grid</w:t>
            </w:r>
          </w:p>
        </w:tc>
        <w:tc>
          <w:tcPr>
            <w:tcW w:type="dxa" w:w="2381"/>
          </w:tcPr>
          <w:p>
            <w:r/>
            <w:r>
              <w:rPr>
                <w:b w:val="0"/>
                <w:sz w:val="19"/>
              </w:rPr>
              <w:t>tools/selfcheck.py</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V-03</w:t>
            </w:r>
          </w:p>
        </w:tc>
        <w:tc>
          <w:tcPr>
            <w:tcW w:type="dxa" w:w="2608"/>
          </w:tcPr>
          <w:p>
            <w:r/>
            <w:r>
              <w:rPr>
                <w:b w:val="0"/>
                <w:sz w:val="19"/>
              </w:rPr>
              <w:t>Cold-start self_test() inconsistency across 6 modules (false-negative failures)</w:t>
            </w:r>
          </w:p>
        </w:tc>
        <w:tc>
          <w:tcPr>
            <w:tcW w:type="dxa" w:w="2381"/>
          </w:tcPr>
          <w:p>
            <w:r/>
            <w:r>
              <w:rPr>
                <w:b w:val="0"/>
                <w:sz w:val="19"/>
              </w:rPr>
              <w:t>6 modules (AMSI/DRES/MINJ/SYSL/TUNE/WFPC)</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V-04</w:t>
            </w:r>
          </w:p>
        </w:tc>
        <w:tc>
          <w:tcPr>
            <w:tcW w:type="dxa" w:w="2608"/>
          </w:tcPr>
          <w:p>
            <w:r/>
            <w:r>
              <w:rPr>
                <w:b w:val="0"/>
                <w:sz w:val="19"/>
              </w:rPr>
              <w:t>Two SyntaxWarnings from unescaped backslash sequences</w:t>
            </w:r>
          </w:p>
        </w:tc>
        <w:tc>
          <w:tcPr>
            <w:tcW w:type="dxa" w:w="2381"/>
          </w:tcPr>
          <w:p>
            <w:r/>
            <w:r>
              <w:rPr>
                <w:b w:val="0"/>
                <w:sz w:val="19"/>
              </w:rPr>
              <w:t>posture_hardening.py, ransomware_heuristics.py</w:t>
            </w:r>
          </w:p>
        </w:tc>
        <w:tc>
          <w:tcPr>
            <w:tcW w:type="dxa" w:w="1247"/>
          </w:tcPr>
          <w:p>
            <w:r/>
            <w:r>
              <w:rPr>
                <w:b w:val="0"/>
                <w:sz w:val="19"/>
              </w:rPr>
              <w:t>Low (hygiene)</w:t>
            </w:r>
          </w:p>
        </w:tc>
        <w:tc>
          <w:tcPr>
            <w:tcW w:type="dxa" w:w="1361"/>
          </w:tcPr>
          <w:p>
            <w:r/>
            <w:r>
              <w:rPr>
                <w:b w:val="0"/>
                <w:color w:val="157A3D"/>
                <w:sz w:val="19"/>
              </w:rPr>
              <w:t>CLOSED</w:t>
            </w:r>
          </w:p>
        </w:tc>
      </w:tr>
    </w:tbl>
    <w:p/>
    <w:p>
      <w:pPr>
        <w:spacing w:before="320" w:after="120"/>
        <w:pBdr>
          <w:bottom w:val="single" w:sz="6" w:space="4" w:color="1e3a5f"/>
        </w:pBdr>
      </w:pPr>
      <w:r>
        <w:rPr>
          <w:b/>
          <w:color w:val="1E3A5F"/>
          <w:sz w:val="30"/>
        </w:rPr>
        <w:t>4.1 Remediation misrouting — T1562/AMSI-bypass shadowed by registry hardening</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modules/remediation_actions.py — RegistryHardeningAction._matches()</w:t>
            </w:r>
          </w:p>
        </w:tc>
      </w:tr>
      <w:tr>
        <w:tc>
          <w:tcPr>
            <w:tcW w:type="dxa" w:w="1928"/>
            <w:shd w:val="clear" w:color="auto" w:fill="1e3a5f"/>
          </w:tcPr>
          <w:p>
            <w:r/>
            <w:r>
              <w:rPr>
                <w:b/>
                <w:color w:val="FFFFFF"/>
                <w:sz w:val="19"/>
              </w:rPr>
              <w:t>Severity / Class</w:t>
            </w:r>
          </w:p>
        </w:tc>
        <w:tc>
          <w:tcPr>
            <w:tcW w:type="dxa" w:w="7143"/>
          </w:tcPr>
          <w:p>
            <w:r/>
            <w:r>
              <w:rPr>
                <w:b w:val="0"/>
                <w:sz w:val="19"/>
              </w:rPr>
              <w:t>Medium — incorrect automated response selection (defense-evasion category)</w:t>
            </w:r>
          </w:p>
        </w:tc>
      </w:tr>
      <w:tr>
        <w:tc>
          <w:tcPr>
            <w:tcW w:type="dxa" w:w="1928"/>
            <w:shd w:val="clear" w:color="auto" w:fill="1e3a5f"/>
          </w:tcPr>
          <w:p>
            <w:r/>
            <w:r>
              <w:rPr>
                <w:b/>
                <w:color w:val="FFFFFF"/>
                <w:sz w:val="19"/>
              </w:rPr>
              <w:t>Before (defect)</w:t>
            </w:r>
          </w:p>
        </w:tc>
        <w:tc>
          <w:tcPr>
            <w:tcW w:type="dxa" w:w="7143"/>
          </w:tcPr>
          <w:p>
            <w:r/>
            <w:r>
              <w:rPr>
                <w:b w:val="0"/>
                <w:sz w:val="19"/>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c>
          <w:tcPr>
            <w:tcW w:type="dxa" w:w="1928"/>
            <w:shd w:val="clear" w:color="auto" w:fill="1e3a5f"/>
          </w:tcPr>
          <w:p>
            <w:r/>
            <w:r>
              <w:rPr>
                <w:b/>
                <w:color w:val="FFFFFF"/>
                <w:sz w:val="19"/>
              </w:rPr>
              <w:t>After (fix)</w:t>
            </w:r>
          </w:p>
        </w:tc>
        <w:tc>
          <w:tcPr>
            <w:tcW w:type="dxa" w:w="7143"/>
          </w:tcPr>
          <w:p>
            <w:r/>
            <w:r>
              <w:rPr>
                <w:b w:val="0"/>
                <w:sz w:val="19"/>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
      <w:pPr>
        <w:spacing w:before="200" w:after="80"/>
      </w:pPr>
      <w:r>
        <w:rPr>
          <w:b/>
          <w:color w:val="0F172A"/>
          <w:sz w:val="24"/>
        </w:rPr>
        <w:t>Verification</w:t>
      </w:r>
    </w:p>
    <w:p>
      <w:pPr>
        <w:spacing w:after="120"/>
      </w:pPr>
      <w:r>
        <w:rPr>
          <w:i w:val="0"/>
          <w:sz w:val="21"/>
        </w:rPr>
        <w:t>tools/selfcheck.py “Vetted active remediation” phase asserts ra.select_action(cred).key == “registry_hardening” for a credential-access alert and ra.select_action(dfe).key == “defender_hardening” for a defense-evasion alert — both pass. Full suite: 26/26 PASS.</w:t>
      </w:r>
    </w:p>
    <w:p>
      <w:pPr>
        <w:spacing w:before="320" w:after="120"/>
        <w:pBdr>
          <w:bottom w:val="single" w:sz="6" w:space="4" w:color="1e3a5f"/>
        </w:pBdr>
      </w:pPr>
      <w:r>
        <w:rPr>
          <w:b/>
          <w:color w:val="1E3A5F"/>
          <w:sz w:val="30"/>
        </w:rPr>
        <w:t>4.2 Stale selfcheck assertions — 7-node flow checked instead of the current 6-node grid</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tools/selfcheck.py</w:t>
            </w:r>
          </w:p>
        </w:tc>
      </w:tr>
      <w:tr>
        <w:tc>
          <w:tcPr>
            <w:tcW w:type="dxa" w:w="1928"/>
            <w:shd w:val="clear" w:color="auto" w:fill="1e3a5f"/>
          </w:tcPr>
          <w:p>
            <w:r/>
            <w:r>
              <w:rPr>
                <w:b/>
                <w:color w:val="FFFFFF"/>
                <w:sz w:val="19"/>
              </w:rPr>
              <w:t>Severity / Class</w:t>
            </w:r>
          </w:p>
        </w:tc>
        <w:tc>
          <w:tcPr>
            <w:tcW w:type="dxa" w:w="7143"/>
          </w:tcPr>
          <w:p>
            <w:r/>
            <w:r>
              <w:rPr>
                <w:b w:val="0"/>
                <w:sz w:val="19"/>
              </w:rPr>
              <w:t>Low — test-suite drift, not a runtime defect</w:t>
            </w:r>
          </w:p>
        </w:tc>
      </w:tr>
      <w:tr>
        <w:tc>
          <w:tcPr>
            <w:tcW w:type="dxa" w:w="1928"/>
            <w:shd w:val="clear" w:color="auto" w:fill="1e3a5f"/>
          </w:tcPr>
          <w:p>
            <w:r/>
            <w:r>
              <w:rPr>
                <w:b/>
                <w:color w:val="FFFFFF"/>
                <w:sz w:val="19"/>
              </w:rPr>
              <w:t>Before (defect)</w:t>
            </w:r>
          </w:p>
        </w:tc>
        <w:tc>
          <w:tcPr>
            <w:tcW w:type="dxa" w:w="7143"/>
          </w:tcPr>
          <w:p>
            <w:r/>
            <w:r>
              <w:rPr>
                <w:b w:val="0"/>
                <w:sz w:val="19"/>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c>
          <w:tcPr>
            <w:tcW w:type="dxa" w:w="1928"/>
            <w:shd w:val="clear" w:color="auto" w:fill="1e3a5f"/>
          </w:tcPr>
          <w:p>
            <w:r/>
            <w:r>
              <w:rPr>
                <w:b/>
                <w:color w:val="FFFFFF"/>
                <w:sz w:val="19"/>
              </w:rPr>
              <w:t>After (fix)</w:t>
            </w:r>
          </w:p>
        </w:tc>
        <w:tc>
          <w:tcPr>
            <w:tcW w:type="dxa" w:w="7143"/>
          </w:tcPr>
          <w:p>
            <w:r/>
            <w:r>
              <w:rPr>
                <w:b w:val="0"/>
                <w:sz w:val="19"/>
              </w:rPr>
              <w:t>Both assertions now check the shipped 6-node set: need = {“capture”, “detect”, “triage”, “respond”, “attack”, “harden”} against flow_metrics()'s “nodes” keys, with a shape check (metrics + state present) on the capture node as a representative sample.</w:t>
            </w:r>
          </w:p>
        </w:tc>
      </w:tr>
    </w:tbl>
    <w:p/>
    <w:p>
      <w:pPr>
        <w:spacing w:before="200" w:after="80"/>
      </w:pPr>
      <w:r>
        <w:rPr>
          <w:b/>
          <w:color w:val="0F172A"/>
          <w:sz w:val="24"/>
        </w:rPr>
        <w:t>Verification</w:t>
      </w:r>
    </w:p>
    <w:p>
      <w:pPr>
        <w:spacing w:after="120"/>
      </w:pPr>
      <w:r>
        <w:rPr>
          <w:i w:val="0"/>
          <w:sz w:val="21"/>
        </w:rPr>
        <w:t>tools/selfcheck.py line ~385 (“AI guardrail proxy + hardware-patching layer” phase) now reports “flow_metrics 6 nodes” in its PASS detail. Full suite: 26/26 PASS.</w:t>
      </w:r>
    </w:p>
    <w:p>
      <w:pPr>
        <w:spacing w:before="320" w:after="120"/>
        <w:pBdr>
          <w:bottom w:val="single" w:sz="6" w:space="4" w:color="1e3a5f"/>
        </w:pBdr>
      </w:pPr>
      <w:r>
        <w:rPr>
          <w:b/>
          <w:color w:val="1E3A5F"/>
          <w:sz w:val="30"/>
        </w:rPr>
        <w:t>4.3 Cold-start self_test() inconsistency across 6 modules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modules/amsi_bridge.py, dynamic_resource.py, mem_inject_scanner.py, sysmon_listener.py, behavioral_tuner.py, wfp_controller.py</w:t>
            </w:r>
          </w:p>
        </w:tc>
      </w:tr>
      <w:tr>
        <w:tc>
          <w:tcPr>
            <w:tcW w:type="dxa" w:w="1928"/>
            <w:shd w:val="clear" w:color="auto" w:fill="1e3a5f"/>
          </w:tcPr>
          <w:p>
            <w:r/>
            <w:r>
              <w:rPr>
                <w:b/>
                <w:color w:val="FFFFFF"/>
                <w:sz w:val="19"/>
              </w:rPr>
              <w:t>Severity / Class</w:t>
            </w:r>
          </w:p>
        </w:tc>
        <w:tc>
          <w:tcPr>
            <w:tcW w:type="dxa" w:w="7143"/>
          </w:tcPr>
          <w:p>
            <w:r/>
            <w:r>
              <w:rPr>
                <w:b w:val="0"/>
                <w:sz w:val="19"/>
              </w:rPr>
              <w:t>Low — false-negative self-test results, operator-facing noise only</w:t>
            </w:r>
          </w:p>
        </w:tc>
      </w:tr>
      <w:tr>
        <w:tc>
          <w:tcPr>
            <w:tcW w:type="dxa" w:w="1928"/>
            <w:shd w:val="clear" w:color="auto" w:fill="1e3a5f"/>
          </w:tcPr>
          <w:p>
            <w:r/>
            <w:r>
              <w:rPr>
                <w:b/>
                <w:color w:val="FFFFFF"/>
                <w:sz w:val="19"/>
              </w:rPr>
              <w:t>Before (defect)</w:t>
            </w:r>
          </w:p>
        </w:tc>
        <w:tc>
          <w:tcPr>
            <w:tcW w:type="dxa" w:w="7143"/>
          </w:tcPr>
          <w:p>
            <w:r/>
            <w:r>
              <w:rPr>
                <w:b w:val="0"/>
                <w:sz w:val="19"/>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c>
          <w:tcPr>
            <w:tcW w:type="dxa" w:w="1928"/>
            <w:shd w:val="clear" w:color="auto" w:fill="1e3a5f"/>
          </w:tcPr>
          <w:p>
            <w:r/>
            <w:r>
              <w:rPr>
                <w:b/>
                <w:color w:val="FFFFFF"/>
                <w:sz w:val="19"/>
              </w:rPr>
              <w:t>After (fix)</w:t>
            </w:r>
          </w:p>
        </w:tc>
        <w:tc>
          <w:tcPr>
            <w:tcW w:type="dxa" w:w="7143"/>
          </w:tcPr>
          <w:p>
            <w:r/>
            <w:r>
              <w:rPr>
                <w:b w:val="0"/>
                <w:sz w:val="19"/>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
      <w:pPr>
        <w:spacing w:before="200" w:after="80"/>
      </w:pPr>
      <w:r>
        <w:rPr>
          <w:b/>
          <w:color w:val="0F172A"/>
          <w:sz w:val="24"/>
        </w:rPr>
        <w:t>Verification</w:t>
      </w:r>
    </w:p>
    <w:p>
      <w:pPr>
        <w:spacing w:after="120"/>
      </w:pPr>
      <w:r>
        <w:rPr>
          <w:i w:val="0"/>
          <w:sz w:val="21"/>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spacing w:before="320" w:after="120"/>
        <w:pBdr>
          <w:bottom w:val="single" w:sz="6" w:space="4" w:color="1e3a5f"/>
        </w:pBdr>
      </w:pPr>
      <w:r>
        <w:rPr>
          <w:b/>
          <w:color w:val="1E3A5F"/>
          <w:sz w:val="30"/>
        </w:rPr>
        <w:t>4.4 Two SyntaxWarnings from unescaped backslash sequences</w:t>
      </w:r>
    </w:p>
    <w:tbl>
      <w:tblPr>
        <w:tblW w:type="auto" w:w="0"/>
        <w:tblLayout w:type="fixed"/>
        <w:tblLook w:firstColumn="1" w:firstRow="1" w:lastColumn="0" w:lastRow="0" w:noHBand="0" w:noVBand="1" w:val="04A0"/>
      </w:tblPr>
      <w:tblGrid>
        <w:gridCol w:w="4968"/>
        <w:gridCol w:w="4968"/>
      </w:tblGrid>
      <w:tr>
        <w:tc>
          <w:tcPr>
            <w:tcW w:type="dxa" w:w="1928"/>
            <w:shd w:val="clear" w:color="auto" w:fill="1e3a5f"/>
          </w:tcPr>
          <w:p>
            <w:r/>
            <w:r>
              <w:rPr>
                <w:b/>
                <w:color w:val="FFFFFF"/>
                <w:sz w:val="19"/>
              </w:rPr>
              <w:t>Component</w:t>
            </w:r>
          </w:p>
        </w:tc>
        <w:tc>
          <w:tcPr>
            <w:tcW w:type="dxa" w:w="7143"/>
          </w:tcPr>
          <w:p>
            <w:r/>
            <w:r>
              <w:rPr>
                <w:b w:val="0"/>
                <w:sz w:val="19"/>
              </w:rPr>
              <w:t>modules/posture_hardening.py:615, modules/ransomware_heuristics.py:25</w:t>
            </w:r>
          </w:p>
        </w:tc>
      </w:tr>
      <w:tr>
        <w:tc>
          <w:tcPr>
            <w:tcW w:type="dxa" w:w="1928"/>
            <w:shd w:val="clear" w:color="auto" w:fill="1e3a5f"/>
          </w:tcPr>
          <w:p>
            <w:r/>
            <w:r>
              <w:rPr>
                <w:b/>
                <w:color w:val="FFFFFF"/>
                <w:sz w:val="19"/>
              </w:rPr>
              <w:t>Severity / Class</w:t>
            </w:r>
          </w:p>
        </w:tc>
        <w:tc>
          <w:tcPr>
            <w:tcW w:type="dxa" w:w="7143"/>
          </w:tcPr>
          <w:p>
            <w:r/>
            <w:r>
              <w:rPr>
                <w:b w:val="0"/>
                <w:sz w:val="19"/>
              </w:rPr>
              <w:t>Low — code hygiene; SyntaxWarning today, a DeprecationWarning-to-error path in future CPython</w:t>
            </w:r>
          </w:p>
        </w:tc>
      </w:tr>
      <w:tr>
        <w:tc>
          <w:tcPr>
            <w:tcW w:type="dxa" w:w="1928"/>
            <w:shd w:val="clear" w:color="auto" w:fill="1e3a5f"/>
          </w:tcPr>
          <w:p>
            <w:r/>
            <w:r>
              <w:rPr>
                <w:b/>
                <w:color w:val="FFFFFF"/>
                <w:sz w:val="19"/>
              </w:rPr>
              <w:t>Before (defect)</w:t>
            </w:r>
          </w:p>
        </w:tc>
        <w:tc>
          <w:tcPr>
            <w:tcW w:type="dxa" w:w="7143"/>
          </w:tcPr>
          <w:p>
            <w:r/>
            <w:r>
              <w:rPr>
                <w:b w:val="0"/>
                <w:sz w:val="19"/>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c>
          <w:tcPr>
            <w:tcW w:type="dxa" w:w="1928"/>
            <w:shd w:val="clear" w:color="auto" w:fill="1e3a5f"/>
          </w:tcPr>
          <w:p>
            <w:r/>
            <w:r>
              <w:rPr>
                <w:b/>
                <w:color w:val="FFFFFF"/>
                <w:sz w:val="19"/>
              </w:rPr>
              <w:t>After (fix)</w:t>
            </w:r>
          </w:p>
        </w:tc>
        <w:tc>
          <w:tcPr>
            <w:tcW w:type="dxa" w:w="7143"/>
          </w:tcPr>
          <w:p>
            <w:r/>
            <w:r>
              <w:rPr>
                <w:b w:val="0"/>
                <w:sz w:val="19"/>
              </w:rPr>
              <w:t>Both literals were converted to raw strings (r“...”) at the two flagged lines, preserving the exact same string content while removing the invalid-escape interpretation.</w:t>
            </w:r>
          </w:p>
        </w:tc>
      </w:tr>
    </w:tbl>
    <w:p/>
    <w:p>
      <w:pPr>
        <w:spacing w:before="200" w:after="80"/>
      </w:pPr>
      <w:r>
        <w:rPr>
          <w:b/>
          <w:color w:val="0F172A"/>
          <w:sz w:val="24"/>
        </w:rPr>
        <w:t>Verification</w:t>
      </w:r>
    </w:p>
    <w:p>
      <w:pPr>
        <w:spacing w:after="120"/>
      </w:pPr>
      <w:r>
        <w:rPr>
          <w:i w:val="0"/>
          <w:sz w:val="21"/>
        </w:rPr>
        <w:t>py_compile.compile(..., doraise=True) run with warnings.simplefilter(“error”) against both files completes cleanly with no SyntaxWarning raised. Full suite: 26/26 PASS.</w:t>
      </w:r>
    </w:p>
    <w:p>
      <w:pPr>
        <w:spacing w:before="320" w:after="120"/>
        <w:pBdr>
          <w:bottom w:val="single" w:sz="6" w:space="4" w:color="1e3a5f"/>
        </w:pBdr>
      </w:pPr>
      <w:r>
        <w:rPr>
          <w:b/>
          <w:color w:val="1E3A5F"/>
          <w:sz w:val="30"/>
        </w:rPr>
        <w:t>5. Current Verification Status</w:t>
      </w:r>
    </w:p>
    <w:p>
      <w:pPr>
        <w:spacing w:after="120"/>
      </w:pPr>
      <w:r>
        <w:rPr>
          <w:i w:val="0"/>
          <w:sz w:val="21"/>
        </w:rPr>
        <w:t>tools/selfcheck.py — full run, 2026-07-11:</w:t>
      </w:r>
    </w:p>
    <w:p>
      <w:r>
        <w:rPr>
          <w:b/>
          <w:color w:val="157A3D"/>
          <w:sz w:val="24"/>
        </w:rPr>
        <w:t>RESULT: 26 passed, 0 failed</w:t>
      </w:r>
    </w:p>
    <w:p>
      <w:pPr>
        <w:spacing w:after="120"/>
      </w:pPr>
      <w:r>
        <w:rPr>
          <w:i w:val="0"/>
          <w:sz w:val="21"/>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spacing w:before="320" w:after="120"/>
        <w:pBdr>
          <w:bottom w:val="single" w:sz="6" w:space="4" w:color="1e3a5f"/>
        </w:pBdr>
      </w:pPr>
      <w:r>
        <w:rPr>
          <w:b/>
          <w:color w:val="1E3A5F"/>
          <w:sz w:val="30"/>
        </w:rPr>
        <w:t>6. Judgment Calls Made During This Pass</w:t>
      </w:r>
    </w:p>
    <w:p>
      <w:pPr>
        <w:spacing w:after="120"/>
      </w:pPr>
      <w:r>
        <w:rPr>
          <w:i w:val="0"/>
          <w:sz w:val="21"/>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sz w:val="21"/>
        </w:rPr>
        <w:t>Analysis folder location: created AngeronaSuite/analysis/ (this file's own folder) rather than at the D:\local-security-ai repo root, because AngeronaSuite is the canonical current application (its own llms.txt says so explicitly) — the root tree is a separate, older prototype. All five deliverables from this pass live here.</w:t>
      </w:r>
    </w:p>
    <w:p>
      <w:pPr>
        <w:pStyle w:val="ListBullet"/>
      </w:pPr>
      <w:r>
        <w:rPr>
          <w:sz w:val="21"/>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sz w:val="21"/>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sz w:val="21"/>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sz w:val="21"/>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