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p>
    <w:p>
      <w:pPr>
        <w:spacing w:after="360"/>
      </w:pPr>
    </w:p>
    <w:p>
      <w:pPr>
        <w:spacing w:after="360"/>
      </w:pPr>
    </w:p>
    <w:p>
      <w:pPr>
        <w:spacing w:after="360"/>
      </w:pPr>
    </w:p>
    <w:p>
      <w:pPr>
        <w:pStyle w:val="CoverKicker"/>
        <w:jc w:val="center"/>
      </w:pPr>
      <w:r>
        <w:t>OPERATOR REFERENCE</w:t>
      </w:r>
    </w:p>
    <w:p>
      <w:pPr>
        <w:spacing w:after="200"/>
        <w:jc w:val="center"/>
      </w:pPr>
      <w:r>
        <w:rPr>
          <w:rFonts w:ascii="Calibri" w:hAnsi="Calibri" w:eastAsia="Calibri"/>
          <w:b/>
          <w:color w:val="0B2545"/>
          <w:sz w:val="64"/>
        </w:rPr>
        <w:t>ANGERONA</w:t>
      </w:r>
    </w:p>
    <w:p>
      <w:pPr>
        <w:spacing w:after="160"/>
        <w:jc w:val="center"/>
      </w:pPr>
      <w:r>
        <w:rPr>
          <w:rFonts w:ascii="Calibri" w:hAnsi="Calibri" w:eastAsia="Calibri"/>
          <w:b/>
          <w:color w:val="2E74B5"/>
          <w:sz w:val="40"/>
        </w:rPr>
        <w:t>Master Manual</w:t>
      </w:r>
    </w:p>
    <w:p>
      <w:pPr>
        <w:spacing w:after="520"/>
        <w:jc w:val="center"/>
      </w:pPr>
      <w:r>
        <w:rPr>
          <w:rFonts w:ascii="Calibri" w:hAnsi="Calibri" w:eastAsia="Calibri"/>
          <w:i/>
          <w:color w:val="1F4D78"/>
          <w:sz w:val="24"/>
        </w:rPr>
        <w:t>Local-first detection, investigation, response, recovery, and validation</w:t>
      </w: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r>
              <w:t>Current release: v1.11.0 - independent-trust hardening for authenticated telemetry continuity, hostile network paths, operator-gated response, governed AI memory, recovery assurance, and signed release boundaries.</w:t>
            </w:r>
          </w:p>
        </w:tc>
      </w:tr>
    </w:tbl>
    <w:p>
      <w:pPr>
        <w:spacing w:after="40"/>
      </w:pPr>
    </w:p>
    <w:p/>
    <w:p/>
    <w:p>
      <w:pPr>
        <w:jc w:val="center"/>
      </w:pPr>
      <w:r>
        <w:rPr>
          <w:rFonts w:ascii="Calibri" w:hAnsi="Calibri" w:eastAsia="Calibri"/>
          <w:b/>
          <w:color w:val="0B2545"/>
          <w:sz w:val="22"/>
        </w:rPr>
        <w:t>27 August 2026</w:t>
      </w:r>
    </w:p>
    <w:p>
      <w:pPr>
        <w:jc w:val="center"/>
      </w:pPr>
      <w:r>
        <w:rPr>
          <w:rFonts w:ascii="Calibri" w:hAnsi="Calibri" w:eastAsia="Calibri"/>
          <w:color w:val="667085"/>
          <w:sz w:val="19"/>
        </w:rPr>
        <w:t>Windows Protect | macOS Observe | Linux Observe + optional eBPF</w:t>
      </w:r>
    </w:p>
    <w:p>
      <w:r>
        <w:br w:type="page"/>
      </w:r>
    </w:p>
    <w:p>
      <w:pPr>
        <w:pStyle w:val="Heading1"/>
      </w:pPr>
      <w:r>
        <w:t>Document control</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700"/>
        <w:gridCol w:w="6660"/>
      </w:tblGrid>
      <w:tr>
        <w:trPr>
          <w:tblHeader w:val="true"/>
        </w:trPr>
        <w:tc>
          <w:tcPr>
            <w:tcW w:type="dxa" w:w="27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Field</w:t>
            </w:r>
          </w:p>
        </w:tc>
        <w:tc>
          <w:tcPr>
            <w:tcW w:type="dxa" w:w="66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value</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Version</w:t>
            </w:r>
          </w:p>
        </w:tc>
        <w:tc>
          <w:tcPr>
            <w:tcW w:type="dxa" w:w="6660"/>
            <w:vAlign w:val="center"/>
            <w:tcMar>
              <w:top w:w="80" w:type="dxa"/>
              <w:bottom w:w="80" w:type="dxa"/>
              <w:start w:w="120" w:type="dxa"/>
              <w:end w:w="120" w:type="dxa"/>
            </w:tcMar>
          </w:tcPr>
          <w:p>
            <w:r>
              <w:t>1.11.0</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Release state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Cycle 24 defensive hardening and final serial validation complete; signed deployment artifacts remain externally governed outputs</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Primary audience</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Operators, defenders, home-lab users, security engineers, reviewers, and contributors</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Scope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Architecture, installation, operator surfaces, Adversary Combat, ARIA/model packs, validation, recovery, limits, and history</w:t>
            </w:r>
          </w:p>
        </w:tc>
      </w:tr>
      <w:tr>
        <w:tc>
          <w:tcPr>
            <w:tcW w:type="dxa" w:w="2700"/>
            <w:vAlign w:val="center"/>
            <w:tcMar>
              <w:top w:w="80" w:type="dxa"/>
              <w:bottom w:w="80" w:type="dxa"/>
              <w:start w:w="120" w:type="dxa"/>
              <w:end w:w="120" w:type="dxa"/>
            </w:tcMar>
          </w:tcPr>
          <w:p>
            <w:pPr>
              <w:spacing w:after="0" w:line="264" w:lineRule="auto"/>
            </w:pPr>
            <w:r>
              <w:rPr>
                <w:rFonts w:ascii="Calibri" w:hAnsi="Calibri" w:eastAsia="Calibri"/>
                <w:color w:val="243447"/>
                <w:sz w:val="18"/>
              </w:rPr>
              <w:t>Source of truth</w:t>
            </w:r>
          </w:p>
        </w:tc>
        <w:tc>
          <w:tcPr>
            <w:tcW w:type="dxa" w:w="6660"/>
            <w:vAlign w:val="center"/>
            <w:tcMar>
              <w:top w:w="80" w:type="dxa"/>
              <w:bottom w:w="80" w:type="dxa"/>
              <w:start w:w="120" w:type="dxa"/>
              <w:end w:w="120" w:type="dxa"/>
            </w:tcMar>
          </w:tcPr>
          <w:p>
            <w:pPr>
              <w:spacing w:after="0" w:line="264" w:lineRule="auto"/>
            </w:pPr>
            <w:r>
              <w:rPr>
                <w:rFonts w:ascii="Calibri" w:hAnsi="Calibri" w:eastAsia="Calibri"/>
                <w:color w:val="243447"/>
                <w:sz w:val="18"/>
              </w:rPr>
              <w:t>Current repository code and analysis/loop/cycle24 evidence as of 27 August 2026</w:t>
            </w:r>
          </w:p>
        </w:tc>
      </w:tr>
      <w:tr>
        <w:tc>
          <w:tcPr>
            <w:tcW w:type="dxa" w:w="27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License</w:t>
            </w:r>
          </w:p>
        </w:tc>
        <w:tc>
          <w:tcPr>
            <w:tcW w:type="dxa" w:w="66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MIT</w:t>
            </w:r>
          </w:p>
        </w:tc>
      </w:tr>
    </w:tbl>
    <w:p>
      <w:pPr>
        <w:spacing w:after="40"/>
      </w:pPr>
    </w:p>
    <w:tbl>
      <w:tblPr>
        <w:tblW w:type="dxa" w:w="9360"/>
        <w:jc w:val="left"/>
        <w:tblLayout w:type="fixed"/>
        <w:tblLook w:firstColumn="1" w:firstRow="1" w:lastColumn="0" w:lastRow="0" w:noHBand="0" w:noVBand="1" w:val="04A0"/>
        <w:tblInd w:w="120" w:type="dxa"/>
        <w:tblBorders>
          <w:top w:val="single" w:sz="6" w:color="C58B2A"/>
          <w:left w:val="single" w:sz="6" w:color="C58B2A"/>
          <w:bottom w:val="single" w:sz="6" w:color="C58B2A"/>
          <w:right w:val="single" w:sz="6" w:color="C58B2A"/>
          <w:insideH w:val="single" w:sz="6" w:color="C58B2A"/>
          <w:insideV w:val="single" w:sz="6" w:color="C58B2A"/>
        </w:tblBorders>
      </w:tblPr>
      <w:tblGrid>
        <w:gridCol w:w="9360"/>
      </w:tblGrid>
      <w:tr>
        <w:tc>
          <w:tcPr>
            <w:tcW w:type="dxa" w:w="9360"/>
            <w:vAlign w:val="center"/>
            <w:tcMar>
              <w:top w:w="80" w:type="dxa"/>
              <w:bottom w:w="80" w:type="dxa"/>
              <w:start w:w="120" w:type="dxa"/>
              <w:end w:w="120" w:type="dxa"/>
            </w:tcMar>
            <w:shd w:fill="FFF6DF"/>
          </w:tcPr>
          <w:p>
            <w:pPr>
              <w:spacing w:after="0"/>
            </w:pPr>
            <w:r>
              <w:rPr>
                <w:rFonts w:ascii="Calibri" w:hAnsi="Calibri" w:eastAsia="Calibri"/>
                <w:b/>
                <w:color w:val="C58B2A"/>
              </w:rPr>
              <w:t xml:space="preserve">Positioning: </w:t>
            </w:r>
            <w:r>
              <w:rPr>
                <w:rFonts w:ascii="Calibri" w:hAnsi="Calibri" w:eastAsia="Calibri"/>
                <w:color w:val="243447"/>
              </w:rPr>
              <w:t>Angerona is an advanced local defensive lab and engineering portfolio platform. It is not independently certified, commercially supported, or a drop-in enterprise EDR/XDR replacement.</w:t>
            </w:r>
          </w:p>
        </w:tc>
      </w:tr>
    </w:tbl>
    <w:p>
      <w:pPr>
        <w:spacing w:after="40"/>
      </w:pPr>
    </w:p>
    <w:p>
      <w:r>
        <w:rPr>
          <w:rFonts w:ascii="Calibri" w:hAnsi="Calibri" w:eastAsia="Calibri"/>
          <w:i w:val="0"/>
          <w:color w:val="243447"/>
        </w:rPr>
        <w:t>This manual replaces the superseded versioned Master Manual and capability Word files. The short current capability sheet is ANGERONA_CAPABILITIES.md. Detailed security and vulnerability records remain separate companion evidence.</w:t>
      </w:r>
    </w:p>
    <w:p>
      <w:pPr>
        <w:pStyle w:val="Heading1"/>
        <w:pageBreakBefore/>
      </w:pPr>
      <w:r>
        <w:t>Contents</w:t>
      </w:r>
    </w:p>
    <w:p>
      <w:pPr>
        <w:numPr>
          <w:ilvl w:val="0"/>
          <w:numId w:val="10"/>
        </w:numPr>
        <w:spacing w:before="0" w:after="20" w:line="240" w:lineRule="auto"/>
      </w:pPr>
      <w:r>
        <w:rPr>
          <w:rFonts w:ascii="Calibri" w:hAnsi="Calibri" w:eastAsia="Calibri"/>
          <w:color w:val="243447"/>
          <w:sz w:val="19"/>
        </w:rPr>
        <w:t>1. Quick start and operating posture</w:t>
      </w:r>
    </w:p>
    <w:p>
      <w:pPr>
        <w:numPr>
          <w:ilvl w:val="0"/>
          <w:numId w:val="10"/>
        </w:numPr>
        <w:spacing w:before="0" w:after="20" w:line="240" w:lineRule="auto"/>
      </w:pPr>
      <w:r>
        <w:rPr>
          <w:rFonts w:ascii="Calibri" w:hAnsi="Calibri" w:eastAsia="Calibri"/>
          <w:color w:val="243447"/>
          <w:sz w:val="19"/>
        </w:rPr>
        <w:t>2. Product boundary and platform support</w:t>
      </w:r>
    </w:p>
    <w:p>
      <w:pPr>
        <w:numPr>
          <w:ilvl w:val="0"/>
          <w:numId w:val="10"/>
        </w:numPr>
        <w:spacing w:before="0" w:after="20" w:line="240" w:lineRule="auto"/>
      </w:pPr>
      <w:r>
        <w:rPr>
          <w:rFonts w:ascii="Calibri" w:hAnsi="Calibri" w:eastAsia="Calibri"/>
          <w:color w:val="243447"/>
          <w:sz w:val="19"/>
        </w:rPr>
        <w:t>3. Architecture and trust flow</w:t>
      </w:r>
    </w:p>
    <w:p>
      <w:pPr>
        <w:numPr>
          <w:ilvl w:val="0"/>
          <w:numId w:val="10"/>
        </w:numPr>
        <w:spacing w:before="0" w:after="20" w:line="240" w:lineRule="auto"/>
      </w:pPr>
      <w:r>
        <w:rPr>
          <w:rFonts w:ascii="Calibri" w:hAnsi="Calibri" w:eastAsia="Calibri"/>
          <w:color w:val="243447"/>
          <w:sz w:val="19"/>
        </w:rPr>
        <w:t>4. Installation, launch, data, and secrets</w:t>
      </w:r>
    </w:p>
    <w:p>
      <w:pPr>
        <w:numPr>
          <w:ilvl w:val="0"/>
          <w:numId w:val="10"/>
        </w:numPr>
        <w:spacing w:before="0" w:after="20" w:line="240" w:lineRule="auto"/>
      </w:pPr>
      <w:r>
        <w:rPr>
          <w:rFonts w:ascii="Calibri" w:hAnsi="Calibri" w:eastAsia="Calibri"/>
          <w:color w:val="243447"/>
          <w:sz w:val="19"/>
        </w:rPr>
        <w:t>5. Operator interface and menu map</w:t>
      </w:r>
    </w:p>
    <w:p>
      <w:pPr>
        <w:numPr>
          <w:ilvl w:val="0"/>
          <w:numId w:val="10"/>
        </w:numPr>
        <w:spacing w:before="0" w:after="20" w:line="240" w:lineRule="auto"/>
      </w:pPr>
      <w:r>
        <w:rPr>
          <w:rFonts w:ascii="Calibri" w:hAnsi="Calibri" w:eastAsia="Calibri"/>
          <w:color w:val="243447"/>
          <w:sz w:val="19"/>
        </w:rPr>
        <w:t>6. Detection, evidence, and interoperability</w:t>
      </w:r>
    </w:p>
    <w:p>
      <w:pPr>
        <w:numPr>
          <w:ilvl w:val="0"/>
          <w:numId w:val="10"/>
        </w:numPr>
        <w:spacing w:before="0" w:after="20" w:line="240" w:lineRule="auto"/>
      </w:pPr>
      <w:r>
        <w:rPr>
          <w:rFonts w:ascii="Calibri" w:hAnsi="Calibri" w:eastAsia="Calibri"/>
          <w:color w:val="243447"/>
          <w:sz w:val="19"/>
        </w:rPr>
        <w:t>7. Adversary Combat - autonomous response</w:t>
      </w:r>
    </w:p>
    <w:p>
      <w:pPr>
        <w:numPr>
          <w:ilvl w:val="0"/>
          <w:numId w:val="10"/>
        </w:numPr>
        <w:spacing w:before="0" w:after="20" w:line="240" w:lineRule="auto"/>
      </w:pPr>
      <w:r>
        <w:rPr>
          <w:rFonts w:ascii="Calibri" w:hAnsi="Calibri" w:eastAsia="Calibri"/>
          <w:color w:val="243447"/>
          <w:sz w:val="19"/>
        </w:rPr>
        <w:t>8. SOAR, manual action, and response receipts</w:t>
      </w:r>
    </w:p>
    <w:p>
      <w:pPr>
        <w:numPr>
          <w:ilvl w:val="0"/>
          <w:numId w:val="10"/>
        </w:numPr>
        <w:spacing w:before="0" w:after="20" w:line="240" w:lineRule="auto"/>
      </w:pPr>
      <w:r>
        <w:rPr>
          <w:rFonts w:ascii="Calibri" w:hAnsi="Calibri" w:eastAsia="Calibri"/>
          <w:color w:val="243447"/>
          <w:sz w:val="19"/>
        </w:rPr>
        <w:t>9. ARIA, Ollama, and governed model packs</w:t>
      </w:r>
    </w:p>
    <w:p>
      <w:pPr>
        <w:numPr>
          <w:ilvl w:val="0"/>
          <w:numId w:val="10"/>
        </w:numPr>
        <w:spacing w:before="0" w:after="20" w:line="240" w:lineRule="auto"/>
      </w:pPr>
      <w:r>
        <w:rPr>
          <w:rFonts w:ascii="Calibri" w:hAnsi="Calibri" w:eastAsia="Calibri"/>
          <w:color w:val="243447"/>
          <w:sz w:val="19"/>
        </w:rPr>
        <w:t>10. Host Adaptation, resilience, and resource governance</w:t>
      </w:r>
    </w:p>
    <w:p>
      <w:pPr>
        <w:numPr>
          <w:ilvl w:val="0"/>
          <w:numId w:val="10"/>
        </w:numPr>
        <w:spacing w:before="0" w:after="20" w:line="240" w:lineRule="auto"/>
      </w:pPr>
      <w:r>
        <w:rPr>
          <w:rFonts w:ascii="Calibri" w:hAnsi="Calibri" w:eastAsia="Calibri"/>
          <w:color w:val="243447"/>
          <w:sz w:val="19"/>
        </w:rPr>
        <w:t>11. Red Team, Shark Attack, and After-Action Reports</w:t>
      </w:r>
    </w:p>
    <w:p>
      <w:pPr>
        <w:numPr>
          <w:ilvl w:val="0"/>
          <w:numId w:val="10"/>
        </w:numPr>
        <w:spacing w:before="0" w:after="20" w:line="240" w:lineRule="auto"/>
      </w:pPr>
      <w:r>
        <w:rPr>
          <w:rFonts w:ascii="Calibri" w:hAnsi="Calibri" w:eastAsia="Calibri"/>
          <w:color w:val="243447"/>
          <w:sz w:val="19"/>
        </w:rPr>
        <w:t>12. Recovery, Undo, and emergency handling</w:t>
      </w:r>
    </w:p>
    <w:p>
      <w:pPr>
        <w:numPr>
          <w:ilvl w:val="0"/>
          <w:numId w:val="10"/>
        </w:numPr>
        <w:spacing w:before="0" w:after="20" w:line="240" w:lineRule="auto"/>
      </w:pPr>
      <w:r>
        <w:rPr>
          <w:rFonts w:ascii="Calibri" w:hAnsi="Calibri" w:eastAsia="Calibri"/>
          <w:color w:val="243447"/>
          <w:sz w:val="19"/>
        </w:rPr>
        <w:t>13. Validation and release evidence</w:t>
      </w:r>
    </w:p>
    <w:p>
      <w:pPr>
        <w:numPr>
          <w:ilvl w:val="0"/>
          <w:numId w:val="10"/>
        </w:numPr>
        <w:spacing w:before="0" w:after="20" w:line="240" w:lineRule="auto"/>
      </w:pPr>
      <w:r>
        <w:rPr>
          <w:rFonts w:ascii="Calibri" w:hAnsi="Calibri" w:eastAsia="Calibri"/>
          <w:color w:val="243447"/>
          <w:sz w:val="19"/>
        </w:rPr>
        <w:t>14. Performance evidence</w:t>
      </w:r>
    </w:p>
    <w:p>
      <w:pPr>
        <w:numPr>
          <w:ilvl w:val="0"/>
          <w:numId w:val="10"/>
        </w:numPr>
        <w:spacing w:before="0" w:after="20" w:line="240" w:lineRule="auto"/>
      </w:pPr>
      <w:r>
        <w:rPr>
          <w:rFonts w:ascii="Calibri" w:hAnsi="Calibri" w:eastAsia="Calibri"/>
          <w:color w:val="243447"/>
          <w:sz w:val="19"/>
        </w:rPr>
        <w:t>15. Security posture, limits, and external gates</w:t>
      </w:r>
    </w:p>
    <w:p>
      <w:pPr>
        <w:numPr>
          <w:ilvl w:val="0"/>
          <w:numId w:val="10"/>
        </w:numPr>
        <w:spacing w:before="0" w:after="20" w:line="240" w:lineRule="auto"/>
      </w:pPr>
      <w:r>
        <w:rPr>
          <w:rFonts w:ascii="Calibri" w:hAnsi="Calibri" w:eastAsia="Calibri"/>
          <w:color w:val="243447"/>
          <w:sz w:val="19"/>
        </w:rPr>
        <w:t>16. Project positioning and resume value</w:t>
      </w:r>
    </w:p>
    <w:p>
      <w:pPr>
        <w:numPr>
          <w:ilvl w:val="0"/>
          <w:numId w:val="10"/>
        </w:numPr>
        <w:spacing w:before="0" w:after="20" w:line="240" w:lineRule="auto"/>
      </w:pPr>
      <w:r>
        <w:rPr>
          <w:rFonts w:ascii="Calibri" w:hAnsi="Calibri" w:eastAsia="Calibri"/>
          <w:color w:val="243447"/>
          <w:sz w:val="19"/>
        </w:rPr>
        <w:t>17. Version history and changelog</w:t>
      </w:r>
    </w:p>
    <w:p>
      <w:pPr>
        <w:numPr>
          <w:ilvl w:val="0"/>
          <w:numId w:val="10"/>
        </w:numPr>
        <w:spacing w:before="0" w:after="20" w:line="240" w:lineRule="auto"/>
      </w:pPr>
      <w:r>
        <w:rPr>
          <w:rFonts w:ascii="Calibri" w:hAnsi="Calibri" w:eastAsia="Calibri"/>
          <w:color w:val="243447"/>
          <w:sz w:val="19"/>
        </w:rPr>
        <w:t>Appendices: commands, data locations, evidence sources, glossary</w:t>
      </w:r>
    </w:p>
    <w:p>
      <w:pPr>
        <w:pStyle w:val="Heading1"/>
        <w:pageBreakBefore/>
      </w:pPr>
      <w:r>
        <w:t>1. Quick start and operating posture</w:t>
      </w:r>
    </w:p>
    <w:p>
      <w:pPr>
        <w:pStyle w:val="Heading2"/>
      </w:pPr>
      <w:r>
        <w:t>1.1 What Angerona does</w:t>
      </w:r>
    </w:p>
    <w:p>
      <w:r>
        <w:rPr>
          <w:rFonts w:ascii="Calibri" w:hAnsi="Calibri" w:eastAsia="Calibri"/>
          <w:i w:val="0"/>
          <w:color w:val="243447"/>
        </w:rPr>
        <w:t>Angerona unifies Windows endpoint and network visibility, local evidence retention, case work, MITRE ATT&amp;CK mapping, governed containment, recovery, local AI assistance, and non-destructive purple-team validation. Its current discovery contract covers 80 Windows, 14 Linux, and 13 macOS defensive modules sharing a typed EventBus and explicit platform contracts.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2600"/>
        <w:gridCol w:w="48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Need</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surface</w:t>
            </w:r>
          </w:p>
        </w:tc>
        <w:tc>
          <w:tcPr>
            <w:tcW w:type="dxa" w:w="48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Expected outcome</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a new alert</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 Resolve Center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evidence, acknowledge, investigate, or submit a bounded action</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Contain active behavior</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SOAR Queue / Adversary Combat</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signed request, durable intent, verified action, truthful receipt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Investigate a case</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Flow Dashboard / Local SOC</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Bounded hunt, evidence custody, notes, lifecycle, sanitized export</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Ask for local guidance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Evidence-backed answer from local runbooks and approved typed tools</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7"/>
              </w:rPr>
              <w:t>Prove a control</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 Shark Attack / Combat validator</w:t>
            </w:r>
          </w:p>
        </w:tc>
        <w:tc>
          <w:tcPr>
            <w:tcW w:type="dxa" w:w="4860"/>
            <w:vAlign w:val="center"/>
            <w:tcMar>
              <w:top w:w="80" w:type="dxa"/>
              <w:bottom w:w="80" w:type="dxa"/>
              <w:start w:w="120" w:type="dxa"/>
              <w:end w:w="120" w:type="dxa"/>
            </w:tcMar>
          </w:tcPr>
          <w:p>
            <w:pPr>
              <w:spacing w:after="0" w:line="264" w:lineRule="auto"/>
            </w:pPr>
            <w:r>
              <w:rPr>
                <w:rFonts w:ascii="Calibri" w:hAnsi="Calibri" w:eastAsia="Calibri"/>
                <w:color w:val="243447"/>
                <w:sz w:val="17"/>
              </w:rPr>
              <w:t>Benign campaign, AAR, fresh-rerun closure, complete cleanup</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Recover a response</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Combat Action History</w:t>
            </w:r>
          </w:p>
        </w:tc>
        <w:tc>
          <w:tcPr>
            <w:tcW w:type="dxa" w:w="4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Undo selected/all, verify rollback, inspect recovery-required state</w:t>
            </w:r>
          </w:p>
        </w:tc>
      </w:tr>
    </w:tbl>
    <w:p>
      <w:pPr>
        <w:spacing w:after="40"/>
      </w:pPr>
    </w:p>
    <w:p>
      <w:pPr>
        <w:pStyle w:val="Heading2"/>
      </w:pPr>
      <w:r>
        <w:t>1.2 Recommended starting posture</w:t>
      </w:r>
    </w:p>
    <w:p>
      <w:pPr>
        <w:numPr>
          <w:ilvl w:val="0"/>
          <w:numId w:val="12"/>
        </w:numPr>
      </w:pPr>
      <w:r>
        <w:rPr>
          <w:rFonts w:ascii="Calibri" w:hAnsi="Calibri" w:eastAsia="Calibri"/>
          <w:color w:val="243447"/>
        </w:rPr>
        <w:t>Install into a reviewed, protected runtime and keep mutable data in the protected canonical data root.</w:t>
      </w:r>
    </w:p>
    <w:p>
      <w:pPr>
        <w:numPr>
          <w:ilvl w:val="0"/>
          <w:numId w:val="12"/>
        </w:numPr>
      </w:pPr>
      <w:r>
        <w:rPr>
          <w:rFonts w:ascii="Calibri" w:hAnsi="Calibri" w:eastAsia="Calibri"/>
          <w:color w:val="243447"/>
        </w:rPr>
        <w:t>Run Windows Protect with elevation when full telemetry and response are required. Use macOS and Linux according to their Observe contracts.</w:t>
      </w:r>
    </w:p>
    <w:p>
      <w:pPr>
        <w:numPr>
          <w:ilvl w:val="0"/>
          <w:numId w:val="12"/>
        </w:numPr>
      </w:pPr>
      <w:r>
        <w:rPr>
          <w:rFonts w:ascii="Calibri" w:hAnsi="Calibri" w:eastAsia="Calibri"/>
          <w:color w:val="243447"/>
        </w:rPr>
        <w:t>Leave cloud, messaging, peer, SIEM, voice, camera, and other egress-capable integrations off until each is explicitly needed and configured.</w:t>
      </w:r>
    </w:p>
    <w:p>
      <w:pPr>
        <w:numPr>
          <w:ilvl w:val="0"/>
          <w:numId w:val="12"/>
        </w:numPr>
      </w:pPr>
      <w:r>
        <w:rPr>
          <w:rFonts w:ascii="Calibri" w:hAnsi="Calibri" w:eastAsia="Calibri"/>
          <w:color w:val="243447"/>
        </w:rPr>
        <w:t>Start Combat in a policy appropriate to the host. Review the protected-target list, exact response catalog, Undo history, and recovery state before Maximum mode.</w:t>
      </w:r>
    </w:p>
    <w:p>
      <w:pPr>
        <w:numPr>
          <w:ilvl w:val="0"/>
          <w:numId w:val="12"/>
        </w:numPr>
      </w:pPr>
      <w:r>
        <w:rPr>
          <w:rFonts w:ascii="Calibri" w:hAnsi="Calibri" w:eastAsia="Calibri"/>
          <w:color w:val="243447"/>
        </w:rPr>
        <w:t>Run direct selfcheck, ARIA self-tests, and the non-destructive Combat validation before relying on a new installation or major configuration change.</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Important: </w:t>
            </w:r>
            <w:r>
              <w:rPr>
                <w:rFonts w:ascii="Calibri" w:hAnsi="Calibri" w:eastAsia="Calibri"/>
                <w:color w:val="243447"/>
              </w:rPr>
              <w:t>Elevation is authority, not evidence. A host mutation still requires a typed policy, a signed exact-target response contract, current target identity, and a verified postcondition.</w:t>
            </w:r>
          </w:p>
        </w:tc>
      </w:tr>
    </w:tbl>
    <w:p>
      <w:pPr>
        <w:spacing w:after="40"/>
      </w:pPr>
    </w:p>
    <w:p>
      <w:pPr>
        <w:pStyle w:val="Heading1"/>
        <w:pageBreakBefore/>
      </w:pPr>
      <w:r>
        <w:t>2. Product boundary and platform support</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00"/>
        <w:gridCol w:w="1800"/>
        <w:gridCol w:w="6060"/>
      </w:tblGrid>
      <w:tr>
        <w:trPr>
          <w:tblHeader w:val="true"/>
        </w:trPr>
        <w:tc>
          <w:tcPr>
            <w:tcW w:type="dxa" w:w="1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Platform</w:t>
            </w:r>
          </w:p>
        </w:tc>
        <w:tc>
          <w:tcPr>
            <w:tcW w:type="dxa" w:w="1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Level</w:t>
            </w:r>
          </w:p>
        </w:tc>
        <w:tc>
          <w:tcPr>
            <w:tcW w:type="dxa" w:w="6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Current boundary</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Full supported user-mode telemetry and governed response. Runs elevated for the complete path. No unsigned kernel driver ships.</w:t>
            </w:r>
          </w:p>
        </w:tc>
      </w:tr>
      <w:tr>
        <w:tc>
          <w:tcPr>
            <w:tcW w:type="dxa" w:w="1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1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preview</w:t>
            </w:r>
          </w:p>
        </w:tc>
        <w:tc>
          <w:tcPr>
            <w:tcW w:type="dxa" w:w="6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Privacy-minimized process and established-flow observation with shared core and Keychain custody. No Endpoint Security or Network Extension enforcement claim.</w:t>
            </w:r>
          </w:p>
        </w:tc>
      </w:tr>
      <w:tr>
        <w:tc>
          <w:tcPr>
            <w:tcW w:type="dxa" w:w="1500"/>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1800"/>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 + optional eBPF</w:t>
            </w:r>
          </w:p>
        </w:tc>
        <w:tc>
          <w:tcPr>
            <w:tcW w:type="dxa" w:w="6060"/>
            <w:vAlign w:val="center"/>
            <w:tcMar>
              <w:top w:w="80" w:type="dxa"/>
              <w:bottom w:w="80" w:type="dxa"/>
              <w:start w:w="120" w:type="dxa"/>
              <w:end w:w="120" w:type="dxa"/>
            </w:tcMar>
          </w:tcPr>
          <w:p>
            <w:pPr>
              <w:spacing w:after="0" w:line="264" w:lineRule="auto"/>
            </w:pPr>
            <w:r>
              <w:rPr>
                <w:rFonts w:ascii="Calibri" w:hAnsi="Calibri" w:eastAsia="Calibri"/>
                <w:color w:val="243447"/>
                <w:sz w:val="18"/>
              </w:rPr>
              <w:t>Rootless process, flow, and posture observation. BCC/eBPF is an explicit privileged supplement, not a universal signed CO-RE release.</w:t>
            </w:r>
          </w:p>
        </w:tc>
      </w:tr>
    </w:tbl>
    <w:p>
      <w:pPr>
        <w:spacing w:after="40"/>
      </w:pPr>
    </w:p>
    <w:p>
      <w:pPr>
        <w:pStyle w:val="Heading2"/>
      </w:pPr>
      <w:r>
        <w:t>2.1 Intended use</w:t>
      </w:r>
    </w:p>
    <w:p>
      <w:pPr>
        <w:numPr>
          <w:ilvl w:val="0"/>
          <w:numId w:val="10"/>
        </w:numPr>
      </w:pPr>
      <w:r>
        <w:rPr>
          <w:rFonts w:ascii="Calibri" w:hAnsi="Calibri" w:eastAsia="Calibri"/>
          <w:color w:val="243447"/>
        </w:rPr>
        <w:t>Advanced Windows home-lab and self-hosted endpoint defense.</w:t>
      </w:r>
    </w:p>
    <w:p>
      <w:pPr>
        <w:numPr>
          <w:ilvl w:val="0"/>
          <w:numId w:val="10"/>
        </w:numPr>
      </w:pPr>
      <w:r>
        <w:rPr>
          <w:rFonts w:ascii="Calibri" w:hAnsi="Calibri" w:eastAsia="Calibri"/>
          <w:color w:val="243447"/>
        </w:rPr>
        <w:t>Blue-team, SOC, DFIR, detection-engineering, and ATT&amp;CK learning.</w:t>
      </w:r>
    </w:p>
    <w:p>
      <w:pPr>
        <w:numPr>
          <w:ilvl w:val="0"/>
          <w:numId w:val="10"/>
        </w:numPr>
      </w:pPr>
      <w:r>
        <w:rPr>
          <w:rFonts w:ascii="Calibri" w:hAnsi="Calibri" w:eastAsia="Calibri"/>
          <w:color w:val="243447"/>
        </w:rPr>
        <w:t>Safe purple-team validation with reversible defensive markers.</w:t>
      </w:r>
    </w:p>
    <w:p>
      <w:pPr>
        <w:numPr>
          <w:ilvl w:val="0"/>
          <w:numId w:val="10"/>
        </w:numPr>
      </w:pPr>
      <w:r>
        <w:rPr>
          <w:rFonts w:ascii="Calibri" w:hAnsi="Calibri" w:eastAsia="Calibri"/>
          <w:color w:val="243447"/>
        </w:rPr>
        <w:t>Research on local AI, typed authority, signed evidence, response receipts, and recovery.</w:t>
      </w:r>
    </w:p>
    <w:p>
      <w:pPr>
        <w:numPr>
          <w:ilvl w:val="0"/>
          <w:numId w:val="10"/>
        </w:numPr>
      </w:pPr>
      <w:r>
        <w:rPr>
          <w:rFonts w:ascii="Calibri" w:hAnsi="Calibri" w:eastAsia="Calibri"/>
          <w:color w:val="243447"/>
        </w:rPr>
        <w:t>A security-engineering portfolio demonstrating breadth plus disciplined boundaries and testing.</w:t>
      </w:r>
    </w:p>
    <w:p>
      <w:pPr>
        <w:pStyle w:val="Heading2"/>
      </w:pPr>
      <w:r>
        <w:t>2.2 Explicit non-goals</w:t>
      </w:r>
    </w:p>
    <w:p>
      <w:pPr>
        <w:numPr>
          <w:ilvl w:val="0"/>
          <w:numId w:val="10"/>
        </w:numPr>
      </w:pPr>
      <w:r>
        <w:rPr>
          <w:rFonts w:ascii="Calibri" w:hAnsi="Calibri" w:eastAsia="Calibri"/>
          <w:color w:val="243447"/>
        </w:rPr>
        <w:t>No offensive payloads, exploit generation, credential theft, evasion, remote scanning, attack infrastructure, or hack-back.</w:t>
      </w:r>
    </w:p>
    <w:p>
      <w:pPr>
        <w:numPr>
          <w:ilvl w:val="0"/>
          <w:numId w:val="10"/>
        </w:numPr>
      </w:pPr>
      <w:r>
        <w:rPr>
          <w:rFonts w:ascii="Calibri" w:hAnsi="Calibri" w:eastAsia="Calibri"/>
          <w:color w:val="243447"/>
        </w:rPr>
        <w:t>No arbitrary response shell or model-authored host mutation.</w:t>
      </w:r>
    </w:p>
    <w:p>
      <w:pPr>
        <w:numPr>
          <w:ilvl w:val="0"/>
          <w:numId w:val="10"/>
        </w:numPr>
      </w:pPr>
      <w:r>
        <w:rPr>
          <w:rFonts w:ascii="Calibri" w:hAnsi="Calibri" w:eastAsia="Calibri"/>
          <w:color w:val="243447"/>
        </w:rPr>
        <w:t>No downloaded executable skill, bulk unreviewed community artifact, insecure model pull, or unsigned kernel component.</w:t>
      </w:r>
    </w:p>
    <w:p>
      <w:pPr>
        <w:numPr>
          <w:ilvl w:val="0"/>
          <w:numId w:val="10"/>
        </w:numPr>
      </w:pPr>
      <w:r>
        <w:rPr>
          <w:rFonts w:ascii="Calibri" w:hAnsi="Calibri" w:eastAsia="Calibri"/>
          <w:color w:val="243447"/>
        </w:rPr>
        <w:t>No claim of 100 percent technique coverage, commercial fleet parity, independent certification, or third-party efficacy validation.</w:t>
      </w:r>
    </w:p>
    <w:p>
      <w:pPr>
        <w:pStyle w:val="Heading1"/>
        <w:pageBreakBefore/>
      </w:pPr>
      <w:r>
        <w:t>3. Architecture and trust flow</w:t>
      </w:r>
    </w:p>
    <w:p>
      <w:r>
        <w:rPr>
          <w:rFonts w:ascii="Calibri" w:hAnsi="Calibri" w:eastAsia="Calibri"/>
          <w:i w:val="0"/>
          <w:color w:val="243447"/>
        </w:rPr>
        <w:t>Independent modules collect or derive bounded evidence and publish typed events. The EventBus authenticates events, the recorder retains them, correlation creates incidents and response proposals, and Adversary Combat is the central mutation boundary.</w:t>
      </w:r>
    </w:p>
    <w:p>
      <w:pPr>
        <w:pStyle w:val="CodeBlock"/>
        <w:keepLines/>
      </w:pPr>
      <w:r>
        <w:rPr>
          <w:rFonts w:ascii="Consolas" w:hAnsi="Consolas" w:eastAsia="Consolas"/>
          <w:color w:val="0B2545"/>
          <w:sz w:val="18"/>
        </w:rPr>
        <w:t>Sensor / module</w:t>
        <w:br/>
        <w:t xml:space="preserve">  -&gt; typed Event + HMAC</w:t>
        <w:br/>
        <w:t xml:space="preserve">  -&gt; EventBus + Flight Recorder</w:t>
        <w:br/>
        <w:t xml:space="preserve">  -&gt; correlation / incident / SOAR</w:t>
        <w:br/>
        <w:t xml:space="preserve">  -&gt; signed exact-target response contract</w:t>
        <w:br/>
        <w:t xml:space="preserve">  -&gt; Adversary Combat durable intent</w:t>
        <w:br/>
        <w:t xml:space="preserve">  -&gt; local defensive action</w:t>
        <w:br/>
        <w:t xml:space="preserve">  -&gt; verified postcondition + signed receipt</w:t>
        <w:br/>
        <w:t xml:space="preserve">  -&gt; Undo / recovery / AAR</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300"/>
        <w:gridCol w:w="46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Layer</w:t>
            </w:r>
          </w:p>
        </w:tc>
        <w:tc>
          <w:tcPr>
            <w:tcW w:type="dxa" w:w="33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Responsibility</w:t>
            </w:r>
          </w:p>
        </w:tc>
        <w:tc>
          <w:tcPr>
            <w:tcW w:type="dxa" w:w="46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Trust boundary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Sensors</w:t>
            </w:r>
          </w:p>
        </w:tc>
        <w:tc>
          <w:tcPr>
            <w:tcW w:type="dxa" w:w="3300"/>
            <w:vAlign w:val="center"/>
            <w:tcMar>
              <w:top w:w="80" w:type="dxa"/>
              <w:bottom w:w="80" w:type="dxa"/>
              <w:start w:w="120" w:type="dxa"/>
              <w:end w:w="120" w:type="dxa"/>
            </w:tcMar>
          </w:tcPr>
          <w:p>
            <w:r>
              <w:t>ETW, Sysmon, WFP, Defender, App Control/Code Integrity, process/file/network, and platform observers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Evidence can be incomplete; quality and platform availability remain visible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EventBus</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publication, bounded history, HMAC authority</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Details are signed; invalid or legacy evidence is distinguished</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Storage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SQLite recorder, cases, evidence, audit, journals</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Tamper detection is local; key and data custody depend on protected deployment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Correlation</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Incidents, ATT&amp;CK, Evidence Lattice, telemetry contracts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Weak signals cannot automatically gain stronger action authority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Response</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SOAR requests and Adversary Combat execution</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action/target contract, current identity, protected targets, verified result</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AI</w:t>
            </w:r>
          </w:p>
        </w:tc>
        <w:tc>
          <w:tcPr>
            <w:tcW w:type="dxa" w:w="3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RAG, Ollama, provider adapters</w:t>
            </w:r>
          </w:p>
        </w:tc>
        <w:tc>
          <w:tcPr>
            <w:tcW w:type="dxa" w:w="46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Untrusted text and model output are evidence, not authorization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GUI</w:t>
            </w:r>
          </w:p>
        </w:tc>
        <w:tc>
          <w:tcPr>
            <w:tcW w:type="dxa" w:w="3300"/>
            <w:vAlign w:val="center"/>
            <w:tcMar>
              <w:top w:w="80" w:type="dxa"/>
              <w:bottom w:w="80" w:type="dxa"/>
              <w:start w:w="120" w:type="dxa"/>
              <w:end w:w="120" w:type="dxa"/>
            </w:tcMar>
          </w:tcPr>
          <w:p>
            <w:pPr>
              <w:spacing w:after="0" w:line="264" w:lineRule="auto"/>
            </w:pPr>
            <w:r>
              <w:rPr>
                <w:rFonts w:ascii="Calibri" w:hAnsi="Calibri" w:eastAsia="Calibri"/>
                <w:color w:val="243447"/>
                <w:sz w:val="17"/>
              </w:rPr>
              <w:t>Operator review, configuration, evidence, history, Undo</w:t>
            </w:r>
          </w:p>
        </w:tc>
        <w:tc>
          <w:tcPr>
            <w:tcW w:type="dxa" w:w="4610"/>
            <w:vAlign w:val="center"/>
            <w:tcMar>
              <w:top w:w="80" w:type="dxa"/>
              <w:bottom w:w="80" w:type="dxa"/>
              <w:start w:w="120" w:type="dxa"/>
              <w:end w:w="120" w:type="dxa"/>
            </w:tcMar>
          </w:tcPr>
          <w:p>
            <w:pPr>
              <w:spacing w:after="0" w:line="264" w:lineRule="auto"/>
            </w:pPr>
            <w:r>
              <w:rPr>
                <w:rFonts w:ascii="Calibri" w:hAnsi="Calibri" w:eastAsia="Calibri"/>
                <w:color w:val="243447"/>
                <w:sz w:val="17"/>
              </w:rPr>
              <w:t>Visible state follows signed receipts; SUBMITTED is not VERIFIED</w:t>
            </w:r>
          </w:p>
        </w:tc>
      </w:tr>
    </w:tbl>
    <w:p>
      <w:pPr>
        <w:spacing w:after="40"/>
      </w:pPr>
    </w:p>
    <w:p>
      <w:pPr>
        <w:pStyle w:val="Heading2"/>
      </w:pPr>
      <w:r>
        <w:t>3.1 Key implementation directories</w:t>
      </w:r>
    </w:p>
    <w:p>
      <w:pPr>
        <w:numPr>
          <w:ilvl w:val="0"/>
          <w:numId w:val="10"/>
        </w:numPr>
        <w:spacing w:before="0" w:after="0" w:line="240" w:lineRule="auto"/>
      </w:pPr>
      <w:r>
        <w:rPr>
          <w:rFonts w:ascii="Calibri" w:hAnsi="Calibri" w:eastAsia="Calibri"/>
          <w:color w:val="243447"/>
          <w:sz w:val="19"/>
        </w:rPr>
        <w:t>src/angerona/core - event, storage, response, ARIA, model-pack, policy, credential, evidence, and interoperability primitives.</w:t>
      </w:r>
    </w:p>
    <w:p>
      <w:pPr>
        <w:numPr>
          <w:ilvl w:val="0"/>
          <w:numId w:val="10"/>
        </w:numPr>
        <w:spacing w:before="0" w:after="0" w:line="240" w:lineRule="auto"/>
      </w:pPr>
      <w:r>
        <w:rPr>
          <w:rFonts w:ascii="Calibri" w:hAnsi="Calibri" w:eastAsia="Calibri"/>
          <w:color w:val="243447"/>
          <w:sz w:val="19"/>
        </w:rPr>
        <w:t>src/angerona/modules - built-in detectors, observers, response and resilience modules.</w:t>
      </w:r>
    </w:p>
    <w:p>
      <w:pPr>
        <w:numPr>
          <w:ilvl w:val="0"/>
          <w:numId w:val="10"/>
        </w:numPr>
        <w:spacing w:before="0" w:after="0" w:line="240" w:lineRule="auto"/>
      </w:pPr>
      <w:r>
        <w:rPr>
          <w:rFonts w:ascii="Calibri" w:hAnsi="Calibri" w:eastAsia="Calibri"/>
          <w:color w:val="243447"/>
          <w:sz w:val="19"/>
        </w:rPr>
        <w:t>src/angerona/gui - Classic and Flow dashboards, settings, operations, Red Team, Combat history, and Upgrade Console.</w:t>
      </w:r>
    </w:p>
    <w:p>
      <w:pPr>
        <w:numPr>
          <w:ilvl w:val="0"/>
          <w:numId w:val="10"/>
        </w:numPr>
        <w:spacing w:before="0" w:after="0" w:line="240" w:lineRule="auto"/>
      </w:pPr>
      <w:r>
        <w:rPr>
          <w:rFonts w:ascii="Calibri" w:hAnsi="Calibri" w:eastAsia="Calibri"/>
          <w:color w:val="243447"/>
          <w:sz w:val="19"/>
        </w:rPr>
        <w:t>src/angerona/shark - Shark Attack, Red Team simulation, and After-Action Reports.</w:t>
      </w:r>
    </w:p>
    <w:p>
      <w:pPr>
        <w:pStyle w:val="Heading2"/>
      </w:pPr>
      <w:r>
        <w:t>3.2 State-grade defense-in-depth and network trust flow</w:t>
      </w:r>
    </w:p>
    <w:p>
      <w:pPr/>
      <w:r>
        <w:t>Cycle 23 adds actor-neutral, observe-only controls around remote access, telemetry continuity, and hostile network paths. Observation, evidence, decision, authorization, mutation, and verification remain separate trust stages; no new detector can authorize a response by itself.</w:t>
      </w:r>
    </w:p>
    <w:p>
      <w:pPr>
        <w:pStyle w:val="CodeBlock"/>
      </w:pPr>
      <w:r>
        <w:t>Angerona host</w:t>
        <w:br/>
        <w:t xml:space="preserve">  -&gt; operator-controlled Personal Sentinel gateway/firewall</w:t>
        <w:br/>
        <w:t xml:space="preserve">  -&gt; upstream or ISP router</w:t>
        <w:br/>
        <w:t xml:space="preserve">  -&gt; Internet</w:t>
      </w:r>
    </w:p>
    <w:p>
      <w:pPr>
        <w:pStyle w:val="ListBullet"/>
      </w:pPr>
      <w:r>
        <w:t>Every active non-loopback physical Wi-Fi or Ethernet path starts untrusted. Private addressing, an operating-system network category, and a familiar wireless name are context, not identity.</w:t>
      </w:r>
    </w:p>
    <w:p>
      <w:pPr>
        <w:pStyle w:val="ListBullet"/>
      </w:pPr>
      <w:r>
        <w:t>The Personal Sentinel component is a vendor-neutral HTTPS attestation client for one explicitly enrolled default-gateway path. It requires normal certificate validation plus a certificate pin, a fresh nonce, a pinned policy digest, direct proxy-free transport, no redirect, and stable route context before and after the exchange.</w:t>
      </w:r>
    </w:p>
    <w:p>
      <w:pPr>
        <w:pStyle w:val="ListBullet"/>
      </w:pPr>
      <w:r>
        <w:t>A verified gateway labels only that exact path as gateway-attested. It never trusts applications, users, destination resources, firmware, the upstream router, or the Internet, and it grants no response authority.</w:t>
      </w:r>
    </w:p>
    <w:p>
      <w:pPr>
        <w:pStyle w:val="ListBullet"/>
      </w:pPr>
      <w:r>
        <w:t>The client does not discover, configure, credential, or operate a router. The actual intermediate appliance/server, routing policy, firmware measurement, and separate monotonic witness remain deployment projects.</w:t>
      </w:r>
    </w:p>
    <w:p>
      <w:pPr>
        <w:pStyle w:val="Heading1"/>
        <w:pageBreakBefore/>
      </w:pPr>
      <w:r>
        <w:t>4. Installation, launch, data, and secrets</w:t>
      </w:r>
    </w:p>
    <w:p>
      <w:pPr>
        <w:pStyle w:val="Heading2"/>
      </w:pPr>
      <w:r>
        <w:t>4.1 Windows tagged release</w:t>
      </w:r>
    </w:p>
    <w:p>
      <w:pPr>
        <w:numPr>
          <w:ilvl w:val="0"/>
          <w:numId w:val="13"/>
        </w:numPr>
      </w:pPr>
      <w:r>
        <w:rPr>
          <w:rFonts w:ascii="Calibri" w:hAnsi="Calibri" w:eastAsia="Calibri"/>
          <w:color w:val="243447"/>
        </w:rPr>
        <w:t>Download the signed x64 full-trust MSIX and its exact SHA-256 and provenance records from the tagged release.</w:t>
      </w:r>
    </w:p>
    <w:p>
      <w:pPr>
        <w:numPr>
          <w:ilvl w:val="0"/>
          <w:numId w:val="13"/>
        </w:numPr>
      </w:pPr>
      <w:r>
        <w:rPr>
          <w:rFonts w:ascii="Calibri" w:hAnsi="Calibri" w:eastAsia="Calibri"/>
          <w:color w:val="243447"/>
        </w:rPr>
        <w:t>Confirm the exact digest and expected Windows package publisher; refuse unsigned, unexpected-publisher, or unprovisioned builds.</w:t>
      </w:r>
    </w:p>
    <w:p>
      <w:pPr>
        <w:numPr>
          <w:ilvl w:val="0"/>
          <w:numId w:val="13"/>
        </w:numPr>
      </w:pPr>
      <w:r>
        <w:rPr>
          <w:rFonts w:ascii="Calibri" w:hAnsi="Calibri" w:eastAsia="Calibri"/>
          <w:color w:val="243447"/>
        </w:rPr>
        <w:t>Install through the Windows package UI. Classic Setup is non-public and prior-install migration-only; ZIPs are verifier-gated upgrades, never first-install paths.</w:t>
      </w:r>
    </w:p>
    <w:p>
      <w:pPr>
        <w:numPr>
          <w:ilvl w:val="0"/>
          <w:numId w:val="13"/>
        </w:numPr>
      </w:pPr>
      <w:r>
        <w:rPr>
          <w:rFonts w:ascii="Calibri" w:hAnsi="Calibri" w:eastAsia="Calibri"/>
          <w:color w:val="243447"/>
        </w:rPr>
        <w:t>Run the selfcheck and confirm the expected platform/operator skips rather than treating every unavailable optional integration as a defect.</w:t>
      </w:r>
    </w:p>
    <w:p>
      <w:pPr>
        <w:pStyle w:val="Heading2"/>
      </w:pPr>
      <w:r>
        <w:t>4.2 Reviewed source deployment</w:t>
      </w:r>
    </w:p>
    <w:p>
      <w:pPr>
        <w:pStyle w:val="CodeBlock"/>
        <w:keepLines/>
      </w:pPr>
      <w:r>
        <w:rPr>
          <w:rFonts w:ascii="Consolas" w:hAnsi="Consolas" w:eastAsia="Consolas"/>
          <w:color w:val="0B2545"/>
          <w:sz w:val="18"/>
        </w:rPr>
        <w:t>git clone https://github.com/Ag3nt47/AngeronaSuite.git</w:t>
        <w:br/>
        <w:t>cd AngeronaSuite</w:t>
        <w:br/>
        <w:t>.\Install-Angerona.bat</w:t>
        <w:br/>
        <w:t>.\start-angerona.bat</w:t>
      </w:r>
    </w:p>
    <w:p>
      <w:r>
        <w:rPr>
          <w:rFonts w:ascii="Calibri" w:hAnsi="Calibri" w:eastAsia="Calibri"/>
          <w:i w:val="0"/>
          <w:color w:val="243447"/>
        </w:rPr>
        <w:t>The hardened source bootstrap targets the reviewed CPython 3.12 x64 wheel lock, rejects unverified installer paths, protects the runtime, and separates writable development from elevated execution. Contributors should use a separate writable development clone.</w:t>
      </w:r>
    </w:p>
    <w:p>
      <w:pPr>
        <w:pStyle w:val="Heading2"/>
      </w:pPr>
      <w:r>
        <w:t>4.3 Linux and macOS</w:t>
      </w:r>
    </w:p>
    <w:p>
      <w:pPr>
        <w:pStyle w:val="CodeBlock"/>
        <w:keepLines/>
      </w:pPr>
      <w:r>
        <w:rPr>
          <w:rFonts w:ascii="Consolas" w:hAnsi="Consolas" w:eastAsia="Consolas"/>
          <w:color w:val="0B2545"/>
          <w:sz w:val="18"/>
        </w:rPr>
        <w:t>bash Install-Angerona-Release.sh     # verified release archive</w:t>
        <w:br/>
        <w:t>bash install-angerona.sh             # reviewed source install</w:t>
        <w:br/>
        <w:t>bash install-angerona.sh --headless  # Linux local-user sensor</w:t>
      </w:r>
    </w:p>
    <w:p>
      <w:pPr>
        <w:pStyle w:val="Heading2"/>
      </w:pPr>
      <w:r>
        <w:t>4.4 Data and secret custody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300"/>
        <w:gridCol w:w="7060"/>
      </w:tblGrid>
      <w:tr>
        <w:trPr>
          <w:tblHeader w:val="true"/>
        </w:trPr>
        <w:tc>
          <w:tcPr>
            <w:tcW w:type="dxa" w:w="23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Area</w:t>
            </w:r>
          </w:p>
        </w:tc>
        <w:tc>
          <w:tcPr>
            <w:tcW w:type="dxa" w:w="70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Default / contract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packaged data</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Protected D:\AngeronaData; protected %ProgramData%\Angerona fallback</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Windows source/development</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Configured canonical data root; never trust a working-directory .env as privileged authority</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macOS</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Support data; secrets in Keychain</w:t>
            </w:r>
          </w:p>
        </w:tc>
      </w:tr>
      <w:tr>
        <w:tc>
          <w:tcPr>
            <w:tcW w:type="dxa" w:w="23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Linux</w:t>
            </w:r>
          </w:p>
        </w:tc>
        <w:tc>
          <w:tcPr>
            <w:tcW w:type="dxa" w:w="70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XDG state; secrets in an unlocked Secret Service or managed service environment</w:t>
            </w:r>
          </w:p>
        </w:tc>
      </w:tr>
      <w:tr>
        <w:tc>
          <w:tcPr>
            <w:tcW w:type="dxa" w:w="2300"/>
            <w:vAlign w:val="center"/>
            <w:tcMar>
              <w:top w:w="80" w:type="dxa"/>
              <w:bottom w:w="80" w:type="dxa"/>
              <w:start w:w="120" w:type="dxa"/>
              <w:end w:w="120" w:type="dxa"/>
            </w:tcMar>
          </w:tcPr>
          <w:p>
            <w:pPr>
              <w:spacing w:after="0" w:line="264" w:lineRule="auto"/>
            </w:pPr>
            <w:r>
              <w:rPr>
                <w:rFonts w:ascii="Calibri" w:hAnsi="Calibri" w:eastAsia="Calibri"/>
                <w:color w:val="243447"/>
                <w:sz w:val="18"/>
              </w:rPr>
              <w:t>Runtime evidence</w:t>
            </w:r>
          </w:p>
        </w:tc>
        <w:tc>
          <w:tcPr>
            <w:tcW w:type="dxa" w:w="7060"/>
            <w:vAlign w:val="center"/>
            <w:tcMar>
              <w:top w:w="80" w:type="dxa"/>
              <w:bottom w:w="80" w:type="dxa"/>
              <w:start w:w="120" w:type="dxa"/>
              <w:end w:w="120" w:type="dxa"/>
            </w:tcMar>
          </w:tcPr>
          <w:p>
            <w:pPr>
              <w:spacing w:after="0" w:line="264" w:lineRule="auto"/>
            </w:pPr>
            <w:r>
              <w:rPr>
                <w:rFonts w:ascii="Calibri" w:hAnsi="Calibri" w:eastAsia="Calibri"/>
                <w:color w:val="243447"/>
                <w:sz w:val="18"/>
              </w:rPr>
              <w:t>Databases, journals, diagnostics, models, cases, reports, and credentials are not source artifacts and must not be committed</w:t>
            </w:r>
          </w:p>
        </w:tc>
      </w:tr>
    </w:tbl>
    <w:p>
      <w:pPr>
        <w:spacing w:after="40"/>
      </w:pPr>
    </w:p>
    <w:p>
      <w:pPr>
        <w:pStyle w:val="Heading1"/>
        <w:pageBreakBefore/>
      </w:pPr>
      <w:r>
        <w:t>5. Operator interface and menu map</w:t>
      </w:r>
    </w:p>
    <w:p>
      <w:r>
        <w:rPr>
          <w:rFonts w:ascii="Calibri" w:hAnsi="Calibri" w:eastAsia="Calibri"/>
          <w:i w:val="0"/>
          <w:color w:val="243447"/>
        </w:rPr>
        <w:t>Angerona exposes seven canonical Info/menu sections, plus dedicated Host Adaptation and Adversary Combat surfaces. Labels below are destinations, not separate trust domains.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450"/>
        <w:gridCol w:w="3900"/>
        <w:gridCol w:w="4010"/>
      </w:tblGrid>
      <w:tr>
        <w:trPr>
          <w:tblHeader w:val="true"/>
        </w:trPr>
        <w:tc>
          <w:tcPr>
            <w:tcW w:type="dxa" w:w="1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Section</w:t>
            </w:r>
          </w:p>
        </w:tc>
        <w:tc>
          <w:tcPr>
            <w:tcW w:type="dxa" w:w="39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Primary destinations</w:t>
            </w:r>
          </w:p>
        </w:tc>
        <w:tc>
          <w:tcPr>
            <w:tcW w:type="dxa" w:w="40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Operator job</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Help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Help &amp; Info, interactive tour, limitations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Understand capability, privacy, maturity, and verification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Dashboard</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Live Alerts, SOAR Queue, Scan Center, Resolve Center, Top Talkers</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Triage current evidence and submit bounded actions</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Settings</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General, System, Enterprise, ARIA, Trusted Processes, Mobile, API Keys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Configure the single canonical owner for each option</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Operations</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Overview, Cases, Hunt, Assets, Detection Content, Parity &amp; Interop, Audit</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local SOC investigation and evidence workflow</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ATT&amp;CK Map</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Live Heat, Coverage, Top Techniques</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Review mapped activity, gaps, and current focus</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Run, History, Device Security Lab, Sandbox Editor</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Execute and review non-destructive validation</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Advanced Console</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Mobile, AI Sandbox &amp; Models, Watchdog, Telemetry</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Inspect integrations, models, liveness, and resource state</w:t>
            </w:r>
          </w:p>
        </w:tc>
      </w:tr>
      <w:tr>
        <w:tc>
          <w:tcPr>
            <w:tcW w:type="dxa" w:w="1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w:t>
            </w:r>
          </w:p>
        </w:tc>
        <w:tc>
          <w:tcPr>
            <w:tcW w:type="dxa" w:w="3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Audit, baseline, drift, preview, sandbox, apply, rollback, automation, activity</w:t>
            </w:r>
          </w:p>
        </w:tc>
        <w:tc>
          <w:tcPr>
            <w:tcW w:type="dxa" w:w="40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Apply closed firewall posture profiles with preview and recovery</w:t>
            </w:r>
          </w:p>
        </w:tc>
      </w:tr>
      <w:tr>
        <w:tc>
          <w:tcPr>
            <w:tcW w:type="dxa" w:w="1450"/>
            <w:vAlign w:val="center"/>
            <w:tcMar>
              <w:top w:w="80" w:type="dxa"/>
              <w:bottom w:w="80" w:type="dxa"/>
              <w:start w:w="120" w:type="dxa"/>
              <w:end w:w="120" w:type="dxa"/>
            </w:tcMar>
          </w:tcPr>
          <w:p>
            <w:pPr>
              <w:spacing w:after="0" w:line="264" w:lineRule="auto"/>
            </w:pPr>
            <w:r>
              <w:rPr>
                <w:rFonts w:ascii="Calibri" w:hAnsi="Calibri" w:eastAsia="Calibri"/>
                <w:color w:val="243447"/>
                <w:sz w:val="17"/>
              </w:rPr>
              <w:t>Adversary Combat</w:t>
            </w:r>
          </w:p>
        </w:tc>
        <w:tc>
          <w:tcPr>
            <w:tcW w:type="dxa" w:w="3900"/>
            <w:vAlign w:val="center"/>
            <w:tcMar>
              <w:top w:w="80" w:type="dxa"/>
              <w:bottom w:w="80" w:type="dxa"/>
              <w:start w:w="120" w:type="dxa"/>
              <w:end w:w="120" w:type="dxa"/>
            </w:tcMar>
          </w:tcPr>
          <w:p>
            <w:pPr>
              <w:spacing w:after="0" w:line="264" w:lineRule="auto"/>
            </w:pPr>
            <w:r>
              <w:rPr>
                <w:rFonts w:ascii="Calibri" w:hAnsi="Calibri" w:eastAsia="Calibri"/>
                <w:color w:val="243447"/>
                <w:sz w:val="17"/>
              </w:rPr>
              <w:t>Policy, mode, history, verified filters, Undo, recovery, validation</w:t>
            </w:r>
          </w:p>
        </w:tc>
        <w:tc>
          <w:tcPr>
            <w:tcW w:type="dxa" w:w="4010"/>
            <w:vAlign w:val="center"/>
            <w:tcMar>
              <w:top w:w="80" w:type="dxa"/>
              <w:bottom w:w="80" w:type="dxa"/>
              <w:start w:w="120" w:type="dxa"/>
              <w:end w:w="120" w:type="dxa"/>
            </w:tcMar>
          </w:tcPr>
          <w:p>
            <w:pPr>
              <w:spacing w:after="0" w:line="264" w:lineRule="auto"/>
            </w:pPr>
            <w:r>
              <w:rPr>
                <w:rFonts w:ascii="Calibri" w:hAnsi="Calibri" w:eastAsia="Calibri"/>
                <w:color w:val="243447"/>
                <w:sz w:val="17"/>
              </w:rPr>
              <w:t>Govern autonomous local containment and recovery</w:t>
            </w:r>
          </w:p>
        </w:tc>
      </w:tr>
    </w:tbl>
    <w:p>
      <w:pPr>
        <w:spacing w:after="40"/>
      </w:pPr>
    </w:p>
    <w:p>
      <w:pPr>
        <w:pStyle w:val="Heading2"/>
      </w:pPr>
      <w:r>
        <w:t>5.1 Status language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State</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Queued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proposal exists; no action authority has been exercised.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Submitted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request entered Combat; success has not yet been proven.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 / 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action journal committed and the expected postcondition was observed.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Failed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 execution, postcondition, or receipt reconciliation failed.</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Recovery required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Compensation or commit evidence could not be proven; the mutation circuit is open.</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Undone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exact reversible action was reversed and the rollback postcondition was verified.</w:t>
            </w:r>
          </w:p>
        </w:tc>
      </w:tr>
    </w:tbl>
    <w:p>
      <w:pPr>
        <w:spacing w:after="40"/>
      </w:pPr>
    </w:p>
    <w:p>
      <w:pPr>
        <w:pStyle w:val="Heading2"/>
      </w:pPr>
      <w:r>
        <w:t>5.2 Live Defense Activity</w:t>
      </w:r>
    </w:p>
    <w:p>
      <w:pPr/>
      <w:r>
        <w:t>The dashboard now includes a bounded Live Defense Activity card for observable operational activity. It requests at most 16 recent public events, displays at most five sanitized rows, and refreshes through the existing dashboard cadence. It reads timestamp, severity, module, and public message only; Event.details, local identifiers, credentials, source code, and private model reasoning are outside the card's boundary.</w:t>
      </w:r>
    </w:p>
    <w:p>
      <w:pPr/>
      <w:r>
        <w:t>Use this surface to confirm coarse module and EventBus activity, then open Live Alerts, Forensics, or Local SOC for evidence. It is not a debugger, code tracer, evidence viewer, live-code display, or chain-of-thought window.</w:t>
      </w:r>
    </w:p>
    <w:p>
      <w:pPr>
        <w:pStyle w:val="Heading1"/>
        <w:pageBreakBefore/>
      </w:pPr>
      <w:r>
        <w:t>6. Detection, evidence, and interoperability</w:t>
      </w:r>
    </w:p>
    <w:p>
      <w:pPr>
        <w:pStyle w:val="Heading2"/>
      </w:pPr>
      <w:r>
        <w:t>6.1 Windows telemetry</w:t>
      </w:r>
    </w:p>
    <w:p>
      <w:pPr>
        <w:numPr>
          <w:ilvl w:val="0"/>
          <w:numId w:val="10"/>
        </w:numPr>
      </w:pPr>
      <w:r>
        <w:rPr>
          <w:rFonts w:ascii="Calibri" w:hAnsi="Calibri" w:eastAsia="Calibri"/>
          <w:color w:val="243447"/>
        </w:rPr>
        <w:t>ETW process creation and bounded PID/name state, with live-process fallback and PID-reuse handling.</w:t>
      </w:r>
    </w:p>
    <w:p>
      <w:pPr>
        <w:numPr>
          <w:ilvl w:val="0"/>
          <w:numId w:val="10"/>
        </w:numPr>
      </w:pPr>
      <w:r>
        <w:rPr>
          <w:rFonts w:ascii="Calibri" w:hAnsi="Calibri" w:eastAsia="Calibri"/>
          <w:color w:val="243447"/>
        </w:rPr>
        <w:t>Sysmon event IDs 1-29 plus 255, bounded XML parsing, and an HMAC-authenticated restart cursor.</w:t>
      </w:r>
    </w:p>
    <w:p>
      <w:pPr/>
      <w:r>
        <w:t>Windows App Control/Code Integrity decisions distinguish audit would-block from enforced block outcomes and strictly join bounded 3089 signature evidence by ActivityID. Policy-health events remain separate from threat claims, and this read-only sensor cannot change policy or authorize response.</w:t>
      </w:r>
    </w:p>
    <w:p>
      <w:pPr/>
      <w:r>
        <w:t>The App Control cursor and incomplete joins are HMAC-authenticated and atomically persisted. Exact record anchors expose retention loss, clears, record-ID reuse, and generation changes before, during, or at the end of a poll. Ordinary UI/export details use basenames and keyed tokens instead of full local paths.</w:t>
      </w:r>
    </w:p>
    <w:p>
      <w:pPr>
        <w:numPr>
          <w:ilvl w:val="0"/>
          <w:numId w:val="10"/>
        </w:numPr>
      </w:pPr>
      <w:r>
        <w:rPr>
          <w:rFonts w:ascii="Calibri" w:hAnsi="Calibri" w:eastAsia="Calibri"/>
          <w:color w:val="243447"/>
        </w:rPr>
        <w:t>Windows Security, Defender, AMSI, WMI/CIM, WFP, service, driver, USB, and recovery-state sources when available and configured.</w:t>
      </w:r>
    </w:p>
    <w:p>
      <w:pPr>
        <w:numPr>
          <w:ilvl w:val="0"/>
          <w:numId w:val="10"/>
        </w:numPr>
      </w:pPr>
      <w:r>
        <w:rPr>
          <w:rFonts w:ascii="Calibri" w:hAnsi="Calibri" w:eastAsia="Calibri"/>
          <w:color w:val="243447"/>
        </w:rPr>
        <w:t>Sensor absence, policy gaps, access denial, rollover, malformed records, and truncation remain visible rather than being scored as healthy.</w:t>
      </w:r>
    </w:p>
    <w:p>
      <w:pPr>
        <w:pStyle w:val="Heading2"/>
      </w:pPr>
      <w:r>
        <w:t>6.2 Detection families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Family</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Examples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Execution and lineage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Process starts, parent/child anomalies, temp/deleted execution, Office lineage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Credential and memory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LSASS role-aware access, remote thread, RWX/unbacked memory, injection indicators</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File and persistence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FIM, startup/service persistence, YARA/YARA-X, quarantine evidence</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Ransomware and recovery</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Same-directory entropy/rename correlation, canaries, shadow-copy and boot-recovery tamper</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Network</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Novel peers, beacon cadence, WFP, packet evidence, Community ID flow fusion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Kernel and drivers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Driver load evidence, vulnerable-driver posture, signature/hash/version context</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Identity and device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Authentication events, USB trust, device lab enrollment and bounded checks</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Control health</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Telemetry expectation contracts, watchdog, evidence integrity, sensor visibility gaps</w:t>
            </w:r>
          </w:p>
        </w:tc>
      </w:tr>
    </w:tbl>
    <w:p>
      <w:pPr>
        <w:spacing w:after="40"/>
      </w:pPr>
    </w:p>
    <w:p>
      <w:pPr>
        <w:pStyle w:val="Heading2"/>
      </w:pPr>
      <w:r>
        <w:t>6.3 Evidence and interoperability</w:t>
      </w:r>
    </w:p>
    <w:p>
      <w:pPr>
        <w:numPr>
          <w:ilvl w:val="0"/>
          <w:numId w:val="10"/>
        </w:numPr>
      </w:pPr>
      <w:r>
        <w:rPr>
          <w:rFonts w:ascii="Calibri" w:hAnsi="Calibri" w:eastAsia="Calibri"/>
          <w:color w:val="243447"/>
        </w:rPr>
        <w:t>Community ID v1 provides deterministic five-tuple identity across native, Suricata, and Zeek records when complete tuple data exists.</w:t>
      </w:r>
    </w:p>
    <w:p>
      <w:pPr>
        <w:numPr>
          <w:ilvl w:val="0"/>
          <w:numId w:val="10"/>
        </w:numPr>
      </w:pPr>
      <w:r>
        <w:rPr>
          <w:rFonts w:ascii="Calibri" w:hAnsi="Calibri" w:eastAsia="Calibri"/>
          <w:color w:val="243447"/>
        </w:rPr>
        <w:t>OCSF 1.8 maps supported observations, findings, and remediation activity while preserving honest unsupported or lossy fields.</w:t>
      </w:r>
    </w:p>
    <w:p>
      <w:pPr>
        <w:numPr>
          <w:ilvl w:val="0"/>
          <w:numId w:val="10"/>
        </w:numPr>
      </w:pPr>
      <w:r>
        <w:rPr>
          <w:rFonts w:ascii="Calibri" w:hAnsi="Calibri" w:eastAsia="Calibri"/>
          <w:color w:val="243447"/>
        </w:rPr>
        <w:t>Guarded osquery integration uses fixed read-only snapshots; callers cannot supply arbitrary SQL, extensions, targets, or installers. Imported evidence cannot authorize a host action merely because it contains response-looking fields.</w:t>
      </w:r>
    </w:p>
    <w:p>
      <w:pPr>
        <w:pStyle w:val="Heading2"/>
      </w:pPr>
      <w:r>
        <w:t>6.4 SSH Surface / Key / Tunnel Guard</w:t>
      </w:r>
    </w:p>
    <w:p>
      <w:pPr/>
      <w:r>
        <w:t>The cross-platform SSH guard performs bounded read-only inspection of canonical OpenSSH configuration and Include graphs, Match ambiguity, effective authentication and forwarding posture, configured per-user key sources, file and parent-directory custody, public-key fingerprints and restrictions, host-key digests, services, listeners, client forwarding options, connections, and supported authentication/tunnel evidence.</w:t>
      </w:r>
    </w:p>
    <w:p>
      <w:pPr>
        <w:pStyle w:val="ListBullet"/>
      </w:pPr>
      <w:r>
        <w:t>Windows OpenSSH evidence uses fixed Admin and Operational channels and fixed event identities, with bounded retry, source reopen, recovery-tail inspection, and an honest retained warning after blind intervals.</w:t>
      </w:r>
    </w:p>
    <w:p>
      <w:pPr>
        <w:pStyle w:val="ListBullet"/>
      </w:pPr>
      <w:r>
        <w:t>The guard tokenizes accounts, paths, processes, endpoints, and sources. It never reads private keys, captures credentials, probes a listener, attempts a login, removes a key, terminates a tunnel, rewrites policy, or auto-promotes its first baseline.</w:t>
      </w:r>
    </w:p>
    <w:p>
      <w:pPr>
        <w:pStyle w:val="Heading2"/>
      </w:pPr>
      <w:r>
        <w:t>6.5 Audit Log Integrity Guard</w:t>
      </w:r>
    </w:p>
    <w:p>
      <w:pPr/>
      <w:r>
        <w:t>The Windows Audit Log Integrity Guard watches fixed Security, System, and Sysmon clear, policy, service, capacity, and internal-error evidence. Authenticated channel generations, record anchors, cursors, bounded retained replay, and transition-stability checks expose explicit clearing, regression, refill, retention gaps, record reuse, source blindness, and checkpoint tamper without retaining raw event XML.</w:t>
      </w:r>
    </w:p>
    <w:p>
      <w:pPr>
        <w:pStyle w:val="ListBullet"/>
      </w:pPr>
      <w:r>
        <w:t>A gap establishes missing confidence; it cannot identify everything that happened during the missing interval or restore deleted records. An unreadable or unauthenticated checkpoint fails closed rather than creating a clean baseline.</w:t>
      </w:r>
    </w:p>
    <w:p>
      <w:pPr>
        <w:pStyle w:val="ListBullet"/>
      </w:pPr>
      <w:r>
        <w:t>Local HMAC custody detects alteration but cannot detect replay of an older matching state pair. The protocol for a separate high-water authority is built and tested, but no independently administered server or policy-bound hardware authority is configured by default; freshness therefore remains local-authenticity-only.</w:t>
      </w:r>
    </w:p>
    <w:p>
      <w:pPr>
        <w:pStyle w:val="Heading2"/>
      </w:pPr>
      <w:r>
        <w:t>6.6 Zero-Trust Network Path Monitor</w:t>
      </w:r>
    </w:p>
    <w:p>
      <w:pPr/>
      <w:r>
        <w:t>The network monitor tokenizes physical interface, wireless, DNS, DHCP, route, gateway-neighbor, profile, and connection-epoch evidence. It reports incomplete collection, concurrent/default-path anomalies, weak or unknown wireless protection, infrastructure drift, and explicit path addition while keeping every physical path untrusted by default.</w:t>
      </w:r>
    </w:p>
    <w:p>
      <w:pPr>
        <w:pStyle w:val="ListBullet"/>
      </w:pPr>
      <w:r>
        <w:t>A newly added path is persisted only as a provisional authenticated transition. Promotion requires the exact pending path to remain active and unchanged; absence, concurrent drift, lost freshness, failed persistence, or bounded-history pressure freezes the prior authenticated comparison baseline.</w:t>
      </w:r>
    </w:p>
    <w:p>
      <w:pPr>
        <w:pStyle w:val="ListBullet"/>
      </w:pPr>
      <w:r>
        <w:t>The monitor is observe-only: it does not discover devices, change routes, operate a VPN, reconfigure profiles, change firewall policy, or trust endpoints reached through an attested gateway.</w:t>
      </w:r>
    </w:p>
    <w:p>
      <w:pPr>
        <w:pStyle w:val="Heading1"/>
        <w:pageBreakBefore/>
      </w:pPr>
      <w:r>
        <w:t>7. Adversary Combat - autonomous response</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pPr>
              <w:spacing w:after="0"/>
            </w:pPr>
            <w:r>
              <w:rPr>
                <w:rFonts w:ascii="Calibri" w:hAnsi="Calibri" w:eastAsia="Calibri"/>
                <w:b/>
                <w:color w:val="1F6F50"/>
              </w:rPr>
              <w:t xml:space="preserve">Operating model: </w:t>
            </w:r>
            <w:r>
              <w:rPr>
                <w:rFonts w:ascii="Calibri" w:hAnsi="Calibri" w:eastAsia="Calibri"/>
                <w:color w:val="243447"/>
              </w:rPr>
              <w:t>Combat acts automatically on the operator's behalf only inside a preconfigured, typed local policy. It is intentionally decisive but cannot widen an exact signed contract into arbitrary host authority.</w:t>
            </w:r>
          </w:p>
        </w:tc>
      </w:tr>
    </w:tbl>
    <w:p>
      <w:pPr>
        <w:spacing w:after="40"/>
      </w:pPr>
    </w:p>
    <w:p>
      <w:pPr>
        <w:pStyle w:val="Heading2"/>
      </w:pPr>
      <w:r>
        <w:t>7.1 Response catalog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000"/>
        <w:gridCol w:w="4400"/>
        <w:gridCol w:w="2960"/>
      </w:tblGrid>
      <w:tr>
        <w:trPr>
          <w:tblHeader w:val="true"/>
        </w:trPr>
        <w:tc>
          <w:tcPr>
            <w:tcW w:type="dxa" w:w="20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Action</w:t>
            </w:r>
          </w:p>
        </w:tc>
        <w:tc>
          <w:tcPr>
            <w:tcW w:type="dxa" w:w="44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Required binding</w:t>
            </w:r>
          </w:p>
        </w:tc>
        <w:tc>
          <w:tcPr>
            <w:tcW w:type="dxa" w:w="29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Recovery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Block remote peer</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IP/peer plus current evidence and allowed network action</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Delete exact Angerona rule; verify peer rule absent</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executable</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Exact canonical executable plus process/connection evidence</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program firewall rules; verify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Suspend process</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PID, process creation time, exact executable, protected-target check</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Resume same process identity; verify</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Terminate process</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PID, creation time, exact executable, explicit terminate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generally reversible; receipt remains</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Quarantine file</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validated file and parent identity; pinned Windows operations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Restore exact file, including verified cross-volume path</w:t>
            </w:r>
          </w:p>
        </w:tc>
      </w:tr>
      <w:tr>
        <w:tc>
          <w:tcPr>
            <w:tcW w:type="dxa" w:w="20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Activate deception</w:t>
            </w:r>
          </w:p>
        </w:tc>
        <w:tc>
          <w:tcPr>
            <w:tcW w:type="dxa" w:w="44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Typed bounded deception authority</w:t>
            </w:r>
          </w:p>
        </w:tc>
        <w:tc>
          <w:tcPr>
            <w:tcW w:type="dxa" w:w="29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or expire run-owned artifact only</w:t>
            </w:r>
          </w:p>
        </w:tc>
      </w:tr>
      <w:tr>
        <w:tc>
          <w:tcPr>
            <w:tcW w:type="dxa" w:w="2000"/>
            <w:vAlign w:val="center"/>
            <w:tcMar>
              <w:top w:w="80" w:type="dxa"/>
              <w:bottom w:w="80" w:type="dxa"/>
              <w:start w:w="120" w:type="dxa"/>
              <w:end w:w="120" w:type="dxa"/>
            </w:tcMar>
          </w:tcPr>
          <w:p>
            <w:pPr>
              <w:spacing w:after="0" w:line="264" w:lineRule="auto"/>
            </w:pPr>
            <w:r>
              <w:rPr>
                <w:rFonts w:ascii="Calibri" w:hAnsi="Calibri" w:eastAsia="Calibri"/>
                <w:color w:val="243447"/>
                <w:sz w:val="17"/>
              </w:rPr>
              <w:t>Isolate host</w:t>
            </w:r>
          </w:p>
        </w:tc>
        <w:tc>
          <w:tcPr>
            <w:tcW w:type="dxa" w:w="4400"/>
            <w:vAlign w:val="center"/>
            <w:tcMar>
              <w:top w:w="80" w:type="dxa"/>
              <w:bottom w:w="80" w:type="dxa"/>
              <w:start w:w="120" w:type="dxa"/>
              <w:end w:w="120" w:type="dxa"/>
            </w:tcMar>
          </w:tcPr>
          <w:p>
            <w:pPr>
              <w:spacing w:after="0" w:line="264" w:lineRule="auto"/>
            </w:pPr>
            <w:r>
              <w:rPr>
                <w:rFonts w:ascii="Calibri" w:hAnsi="Calibri" w:eastAsia="Calibri"/>
                <w:color w:val="243447"/>
                <w:sz w:val="17"/>
              </w:rPr>
              <w:t>Explicit host escalation contract from high-confidence semantics</w:t>
            </w:r>
          </w:p>
        </w:tc>
        <w:tc>
          <w:tcPr>
            <w:tcW w:type="dxa" w:w="2960"/>
            <w:vAlign w:val="center"/>
            <w:tcMar>
              <w:top w:w="80" w:type="dxa"/>
              <w:bottom w:w="80" w:type="dxa"/>
              <w:start w:w="120" w:type="dxa"/>
              <w:end w:w="120" w:type="dxa"/>
            </w:tcMar>
          </w:tcPr>
          <w:p>
            <w:pPr>
              <w:spacing w:after="0" w:line="264" w:lineRule="auto"/>
            </w:pPr>
            <w:r>
              <w:rPr>
                <w:rFonts w:ascii="Calibri" w:hAnsi="Calibri" w:eastAsia="Calibri"/>
                <w:color w:val="243447"/>
                <w:sz w:val="17"/>
              </w:rPr>
              <w:t>Remove exact host-isolation rule set; verify connectivity policy</w:t>
            </w:r>
          </w:p>
        </w:tc>
      </w:tr>
    </w:tbl>
    <w:p>
      <w:pPr>
        <w:spacing w:after="40"/>
      </w:pPr>
    </w:p>
    <w:p>
      <w:pPr>
        <w:pStyle w:val="Heading2"/>
      </w:pPr>
      <w:r>
        <w:t>7.2 Action lifecycle</w:t>
      </w:r>
    </w:p>
    <w:p>
      <w:pPr>
        <w:numPr>
          <w:ilvl w:val="0"/>
          <w:numId w:val="14"/>
        </w:numPr>
      </w:pPr>
      <w:r>
        <w:rPr>
          <w:rFonts w:ascii="Calibri" w:hAnsi="Calibri" w:eastAsia="Calibri"/>
          <w:color w:val="243447"/>
        </w:rPr>
        <w:t>Admission revalidates policy, event freshness, signature, exact target, allowed action, and protected boundaries.</w:t>
      </w:r>
    </w:p>
    <w:p>
      <w:pPr>
        <w:numPr>
          <w:ilvl w:val="0"/>
          <w:numId w:val="14"/>
        </w:numPr>
      </w:pPr>
      <w:r>
        <w:rPr>
          <w:rFonts w:ascii="Calibri" w:hAnsi="Calibri" w:eastAsia="Calibri"/>
          <w:color w:val="243447"/>
        </w:rPr>
        <w:t>A durable fsynced intent is appended before the host mutation.</w:t>
      </w:r>
    </w:p>
    <w:p>
      <w:pPr>
        <w:numPr>
          <w:ilvl w:val="0"/>
          <w:numId w:val="14"/>
        </w:numPr>
      </w:pPr>
      <w:r>
        <w:rPr>
          <w:rFonts w:ascii="Calibri" w:hAnsi="Calibri" w:eastAsia="Calibri"/>
          <w:color w:val="243447"/>
        </w:rPr>
        <w:t>The target is revalidated at the last safe point; Windows file operations pin and recheck path components.</w:t>
      </w:r>
    </w:p>
    <w:p>
      <w:pPr>
        <w:numPr>
          <w:ilvl w:val="0"/>
          <w:numId w:val="14"/>
        </w:numPr>
      </w:pPr>
      <w:r>
        <w:rPr>
          <w:rFonts w:ascii="Calibri" w:hAnsi="Calibri" w:eastAsia="Calibri"/>
          <w:color w:val="243447"/>
        </w:rPr>
        <w:t>The action executes using a closed adapter, not arbitrary shell text.</w:t>
      </w:r>
    </w:p>
    <w:p>
      <w:pPr>
        <w:numPr>
          <w:ilvl w:val="0"/>
          <w:numId w:val="14"/>
        </w:numPr>
      </w:pPr>
      <w:r>
        <w:rPr>
          <w:rFonts w:ascii="Calibri" w:hAnsi="Calibri" w:eastAsia="Calibri"/>
          <w:color w:val="243447"/>
        </w:rPr>
        <w:t>A postcondition is measured. Success is committed only when the expected state is observed.</w:t>
      </w:r>
    </w:p>
    <w:p>
      <w:pPr>
        <w:numPr>
          <w:ilvl w:val="0"/>
          <w:numId w:val="14"/>
        </w:numPr>
      </w:pPr>
      <w:r>
        <w:rPr>
          <w:rFonts w:ascii="Calibri" w:hAnsi="Calibri" w:eastAsia="Calibri"/>
          <w:color w:val="243447"/>
        </w:rPr>
        <w:t>A signed receipt carries the event/action/queue identity and result. Duplicate work is idempotent.</w:t>
      </w:r>
    </w:p>
    <w:p>
      <w:pPr>
        <w:numPr>
          <w:ilvl w:val="0"/>
          <w:numId w:val="14"/>
        </w:numPr>
      </w:pPr>
      <w:r>
        <w:rPr>
          <w:rFonts w:ascii="Calibri" w:hAnsi="Calibri" w:eastAsia="Calibri"/>
          <w:color w:val="243447"/>
        </w:rPr>
        <w:t>If commit or compensation cannot be proven, Combat records a recovery-required orphan and opens the mutation circuit.</w:t>
      </w:r>
    </w:p>
    <w:p>
      <w:pPr>
        <w:pStyle w:val="Heading2"/>
      </w:pPr>
      <w:r>
        <w:t>7.3 Semantic authority boundaries</w:t>
      </w:r>
    </w:p>
    <w:p>
      <w:r>
        <w:rPr>
          <w:rFonts w:ascii="Calibri" w:hAnsi="Calibri" w:eastAsia="Calibri"/>
          <w:i w:val="0"/>
          <w:color w:val="243447"/>
        </w:rPr>
        <w:t>Whole-host authority is intentionally rare. LSASS and recovery-tamper paths require trusted canonical system images plus role-aware destructive arguments. Harmless filenames, documentation text, read-only queries, ambiguous PowerShell, weak Office/RWX/cadence signals, cross-PID beacons, and cross-directory ransomware evidence do not mint host isolation.</w:t>
      </w:r>
    </w:p>
    <w:p>
      <w:pPr>
        <w:pStyle w:val="Heading2"/>
      </w:pPr>
      <w:r>
        <w:t>7.4 Modes and adjustment</w:t>
      </w:r>
    </w:p>
    <w:p>
      <w:r>
        <w:rPr>
          <w:rFonts w:ascii="Calibri" w:hAnsi="Calibri" w:eastAsia="Calibri"/>
          <w:i w:val="0"/>
          <w:color w:val="243447"/>
        </w:rPr>
        <w:t>The operator may adjust Combat policy and intensity through the application. Higher modes change the eligible response catalog and cadence; they do not remove signed contracts, protected targets, exact identity, durable journal, postcondition, Undo, or recovery gates. Policy changes should be validated with the maximum campaign before unattended use.</w:t>
      </w:r>
    </w:p>
    <w:p>
      <w:pPr>
        <w:pStyle w:val="Heading1"/>
        <w:pageBreakBefore/>
      </w:pPr>
      <w:r>
        <w:t>8. SOAR, manual action, and response receipts</w:t>
      </w:r>
    </w:p>
    <w:p>
      <w:r>
        <w:rPr>
          <w:rFonts w:ascii="Calibri" w:hAnsi="Calibri" w:eastAsia="Calibri"/>
          <w:i w:val="0"/>
          <w:color w:val="243447"/>
        </w:rPr>
        <w:t>Legacy direct process/file actions have been routed behind Combat. SOAR approval means permission to submit the exact request; it is not proof that the action occurred.</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500"/>
        <w:gridCol w:w="6860"/>
      </w:tblGrid>
      <w:tr>
        <w:trPr>
          <w:tblHeader w:val="true"/>
        </w:trPr>
        <w:tc>
          <w:tcPr>
            <w:tcW w:type="dxa" w:w="25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Workflow</w:t>
            </w:r>
          </w:p>
        </w:tc>
        <w:tc>
          <w:tcPr>
            <w:tcW w:type="dxa" w:w="68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Boundary</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SOAR Queue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Approve/reject an exact proposal. Deduplication and request IDs prevent silent resubmission.</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Manual suspend</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Builds an exact `suspend_process` contract and delegates to Combat; no direct psutil suspend.</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Top Talkers containment</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Revalidates PID birth, executable, and live peer, then submits typed containment.</w:t>
            </w:r>
          </w:p>
        </w:tc>
      </w:tr>
      <w:tr>
        <w:tc>
          <w:tcPr>
            <w:tcW w:type="dxa" w:w="2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Mobile directives</w:t>
            </w:r>
          </w:p>
        </w:tc>
        <w:tc>
          <w:tcPr>
            <w:tcW w:type="dxa" w:w="68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Observe/delegate within current exact-response boundaries; no broad cached rollback or false issuance claim.</w:t>
            </w:r>
          </w:p>
        </w:tc>
      </w:tr>
      <w:tr>
        <w:tc>
          <w:tcPr>
            <w:tcW w:type="dxa" w:w="2500"/>
            <w:vAlign w:val="center"/>
            <w:tcMar>
              <w:top w:w="80" w:type="dxa"/>
              <w:bottom w:w="80" w:type="dxa"/>
              <w:start w:w="120" w:type="dxa"/>
              <w:end w:w="120" w:type="dxa"/>
            </w:tcMar>
          </w:tcPr>
          <w:p>
            <w:pPr>
              <w:spacing w:after="0" w:line="264" w:lineRule="auto"/>
            </w:pPr>
            <w:r>
              <w:rPr>
                <w:rFonts w:ascii="Calibri" w:hAnsi="Calibri" w:eastAsia="Calibri"/>
                <w:color w:val="243447"/>
                <w:sz w:val="18"/>
              </w:rPr>
              <w:t>Posture guidance</w:t>
            </w:r>
          </w:p>
        </w:tc>
        <w:tc>
          <w:tcPr>
            <w:tcW w:type="dxa" w:w="6860"/>
            <w:vAlign w:val="center"/>
            <w:tcMar>
              <w:top w:w="80" w:type="dxa"/>
              <w:bottom w:w="80" w:type="dxa"/>
              <w:start w:w="120" w:type="dxa"/>
              <w:end w:w="120" w:type="dxa"/>
            </w:tcMar>
          </w:tcPr>
          <w:p>
            <w:pPr>
              <w:spacing w:after="0" w:line="264" w:lineRule="auto"/>
            </w:pPr>
            <w:r>
              <w:rPr>
                <w:rFonts w:ascii="Calibri" w:hAnsi="Calibri" w:eastAsia="Calibri"/>
                <w:color w:val="243447"/>
                <w:sz w:val="18"/>
              </w:rPr>
              <w:t>AI-authored content is inert advisory text. Only deterministic vetted remediation may enter an action path.</w:t>
            </w:r>
          </w:p>
        </w:tc>
      </w:tr>
    </w:tbl>
    <w:p>
      <w:pPr>
        <w:spacing w:after="40"/>
      </w:pPr>
    </w:p>
    <w:p>
      <w:pPr>
        <w:pStyle w:val="Heading2"/>
      </w:pPr>
      <w:r>
        <w:t>8.1 Receipt reconciliation</w:t>
      </w:r>
    </w:p>
    <w:p>
      <w:pPr>
        <w:numPr>
          <w:ilvl w:val="0"/>
          <w:numId w:val="10"/>
        </w:numPr>
      </w:pPr>
      <w:r>
        <w:rPr>
          <w:rFonts w:ascii="Calibri" w:hAnsi="Calibri" w:eastAsia="Calibri"/>
          <w:color w:val="243447"/>
        </w:rPr>
        <w:t>Match the exact queue request ID, event/action identity, and trusted Combat producer.</w:t>
      </w:r>
    </w:p>
    <w:p>
      <w:pPr>
        <w:numPr>
          <w:ilvl w:val="0"/>
          <w:numId w:val="10"/>
        </w:numPr>
      </w:pPr>
      <w:r>
        <w:rPr>
          <w:rFonts w:ascii="Calibri" w:hAnsi="Calibri" w:eastAsia="Calibri"/>
          <w:color w:val="243447"/>
        </w:rPr>
        <w:t>Require a valid signed receipt; unsigned lookalikes cannot close the queue.</w:t>
      </w:r>
    </w:p>
    <w:p>
      <w:pPr>
        <w:numPr>
          <w:ilvl w:val="0"/>
          <w:numId w:val="10"/>
        </w:numPr>
      </w:pPr>
      <w:r>
        <w:rPr>
          <w:rFonts w:ascii="Calibri" w:hAnsi="Calibri" w:eastAsia="Calibri"/>
          <w:color w:val="243447"/>
        </w:rPr>
        <w:t>Preserve SUBMITTED as terminal for the submission step while separately displaying verified success, failure, or timeout.</w:t>
      </w:r>
    </w:p>
    <w:p>
      <w:pPr>
        <w:numPr>
          <w:ilvl w:val="0"/>
          <w:numId w:val="10"/>
        </w:numPr>
      </w:pPr>
      <w:r>
        <w:rPr>
          <w:rFonts w:ascii="Calibri" w:hAnsi="Calibri" w:eastAsia="Calibri"/>
          <w:color w:val="243447"/>
        </w:rPr>
        <w:t>Release deduplication after an authenticated admission failure so the operator can correct and resubmit deliberately.</w:t>
      </w:r>
    </w:p>
    <w:p>
      <w:pPr>
        <w:pStyle w:val="Heading1"/>
        <w:pageBreakBefore/>
      </w:pPr>
      <w:r>
        <w:t>9. ARIA, Ollama, and governed model packs</w:t>
      </w:r>
    </w:p>
    <w:p>
      <w:pPr>
        <w:pStyle w:val="Heading2"/>
      </w:pPr>
      <w:r>
        <w:t>9.1 ARIA authority</w:t>
      </w:r>
    </w:p>
    <w:p>
      <w:pPr>
        <w:numPr>
          <w:ilvl w:val="0"/>
          <w:numId w:val="10"/>
        </w:numPr>
      </w:pPr>
      <w:r>
        <w:rPr>
          <w:rFonts w:ascii="Calibri" w:hAnsi="Calibri" w:eastAsia="Calibri"/>
          <w:color w:val="243447"/>
        </w:rPr>
        <w:t>ARIA uses registered typed tools and evidence-aware runbook retrieval; arbitrary shell is not a tool.</w:t>
      </w:r>
    </w:p>
    <w:p>
      <w:pPr>
        <w:numPr>
          <w:ilvl w:val="0"/>
          <w:numId w:val="10"/>
        </w:numPr>
      </w:pPr>
      <w:r>
        <w:rPr>
          <w:rFonts w:ascii="Calibri" w:hAnsi="Calibri" w:eastAsia="Calibri"/>
          <w:color w:val="243447"/>
        </w:rPr>
        <w:t>Consequential actions require exact typed keyboard confirmation. Voice, gestures, callbacks, model output, and retrieved text cannot confirm a write.</w:t>
      </w:r>
    </w:p>
    <w:p>
      <w:pPr>
        <w:numPr>
          <w:ilvl w:val="0"/>
          <w:numId w:val="10"/>
        </w:numPr>
      </w:pPr>
      <w:r>
        <w:rPr>
          <w:rFonts w:ascii="Calibri" w:hAnsi="Calibri" w:eastAsia="Calibri"/>
          <w:color w:val="243447"/>
        </w:rPr>
        <w:t>Untrusted pages, email, imported reports, runbooks, and model responses may influence quoted analysis but cannot rewrite tool or policy authority.</w:t>
      </w:r>
    </w:p>
    <w:p>
      <w:pPr>
        <w:numPr>
          <w:ilvl w:val="0"/>
          <w:numId w:val="10"/>
        </w:numPr>
      </w:pPr>
      <w:r>
        <w:rPr>
          <w:rFonts w:ascii="Calibri" w:hAnsi="Calibri" w:eastAsia="Calibri"/>
          <w:color w:val="243447"/>
        </w:rPr>
        <w:t>Optional cloud/provider use is a separate consent surface with protected credentials and bounded sanitized evidence.</w:t>
      </w:r>
    </w:p>
    <w:p>
      <w:pPr>
        <w:pStyle w:val="Heading2"/>
      </w:pPr>
      <w:r>
        <w:t>9.2 Ollama transport attestation</w:t>
      </w:r>
    </w:p>
    <w:p>
      <w:r>
        <w:rPr>
          <w:rFonts w:ascii="Calibri" w:hAnsi="Calibri" w:eastAsia="Calibri"/>
          <w:i w:val="0"/>
          <w:color w:val="243447"/>
        </w:rPr>
        <w:t>Every approved Ollama API path uses the central transport boundary. It validates loopback destination, fixed API route, response bounds, no proxy, no redirect, listener ownership, process creation time, executable path, and signature/identity policy. A raw SDK or alternate direct transport is not an authorized bypass.</w:t>
      </w:r>
    </w:p>
    <w:p>
      <w:pPr>
        <w:pStyle w:val="Heading2"/>
      </w:pPr>
      <w:r>
        <w:t>9.3 Governed model and knowledge packs</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900"/>
        <w:gridCol w:w="7460"/>
      </w:tblGrid>
      <w:tr>
        <w:trPr>
          <w:tblHeader w:val="true"/>
        </w:trPr>
        <w:tc>
          <w:tcPr>
            <w:tcW w:type="dxa" w:w="19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Stage</w:t>
            </w:r>
          </w:p>
        </w:tc>
        <w:tc>
          <w:tcPr>
            <w:tcW w:type="dxa" w:w="74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Control</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Catalog</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Bounded approved manifest with publisher, exact digests, model metadata, resources, license, and evaluation profile</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Staging</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Confined path, size/time/free-space limits, no links/devices/path escapes/executable knowledge content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Verification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Manifest and content-addressed Ollama blobs must match exact expected identities</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Admission</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Hardware/resource fit, safe/hostile evaluation, capabilities, version, and rollback target</w:t>
            </w:r>
          </w:p>
        </w:tc>
      </w:tr>
      <w:tr>
        <w:tc>
          <w:tcPr>
            <w:tcW w:type="dxa" w:w="1900"/>
            <w:vAlign w:val="center"/>
            <w:tcMar>
              <w:top w:w="80" w:type="dxa"/>
              <w:bottom w:w="80" w:type="dxa"/>
              <w:start w:w="120" w:type="dxa"/>
              <w:end w:w="120" w:type="dxa"/>
            </w:tcMar>
          </w:tcPr>
          <w:p>
            <w:pPr>
              <w:spacing w:after="0" w:line="264" w:lineRule="auto"/>
            </w:pPr>
            <w:r>
              <w:rPr>
                <w:rFonts w:ascii="Calibri" w:hAnsi="Calibri" w:eastAsia="Calibri"/>
                <w:color w:val="243447"/>
                <w:sz w:val="18"/>
              </w:rPr>
              <w:t>Activation</w:t>
            </w:r>
          </w:p>
        </w:tc>
        <w:tc>
          <w:tcPr>
            <w:tcW w:type="dxa" w:w="7460"/>
            <w:vAlign w:val="center"/>
            <w:tcMar>
              <w:top w:w="80" w:type="dxa"/>
              <w:bottom w:w="80" w:type="dxa"/>
              <w:start w:w="120" w:type="dxa"/>
              <w:end w:w="120" w:type="dxa"/>
            </w:tcMar>
          </w:tcPr>
          <w:p>
            <w:pPr>
              <w:spacing w:after="0" w:line="264" w:lineRule="auto"/>
            </w:pPr>
            <w:r>
              <w:rPr>
                <w:rFonts w:ascii="Calibri" w:hAnsi="Calibri" w:eastAsia="Calibri"/>
                <w:color w:val="243447"/>
                <w:sz w:val="18"/>
              </w:rPr>
              <w:t>Serialized atomic change with authenticated state and retained last known good</w:t>
            </w:r>
          </w:p>
        </w:tc>
      </w:tr>
      <w:tr>
        <w:tc>
          <w:tcPr>
            <w:tcW w:type="dxa" w:w="19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Rollback/remove</w:t>
            </w:r>
          </w:p>
        </w:tc>
        <w:tc>
          <w:tcPr>
            <w:tcW w:type="dxa" w:w="74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prior revision restoration and bounded unused-content cleanup</w:t>
            </w:r>
          </w:p>
        </w:tc>
      </w:tr>
    </w:tbl>
    <w:p>
      <w:pPr>
        <w:spacing w:after="40"/>
      </w:pPr>
    </w:p>
    <w:p>
      <w:r>
        <w:rPr>
          <w:rFonts w:ascii="Calibri" w:hAnsi="Calibri" w:eastAsia="Calibri"/>
          <w:i w:val="0"/>
          <w:color w:val="243447"/>
        </w:rPr>
        <w:t>The current approved pack is `aria-defense-llama3`. Live verification observed five exact blobs totaling 4,661,224,676 bytes. Pack installation improves approved local analysis/runbooks; it cannot download executable skills or grant new host actions.</w:t>
      </w:r>
    </w:p>
    <w:p>
      <w:pPr>
        <w:pStyle w:val="Heading2"/>
      </w:pPr>
      <w:r>
        <w:t>9.4 Governed ARIA Defense Memory</w:t>
      </w:r>
    </w:p>
    <w:p>
      <w:pPr/>
      <w:r>
        <w:t>ARIA now indexes a built-in defensive reference with 18 entries covering Angerona capabilities and workflow, zero trust, SSH, erased-log response, hostile network paths, Personal Sentinel, live activity, evidence-led response, actor-neutral advanced tradecraft mappings, and assurance limits. The JSON asset is read-only, strict-schema, duplicate-key rejecting, structurally bounded, stable-read checked, resource-root confined, and pinned to a canonical SHA-256 digest before retrieval.</w:t>
      </w:r>
    </w:p>
    <w:p>
      <w:pPr/>
      <w:r>
        <w:t>Local retrieval may use the complete bounded synthesized reference. Optional cloud fallback can receive at most one ranked canonical redacted excerpt whose exact source is angerona://defense-memory; live telemetry and arbitrary operator runbooks remain local. The memory is static advisory data, not a self-writing learning store, executable playbook, prompt override, or action authority.</w:t>
      </w:r>
    </w:p>
    <w:p>
      <w:pPr>
        <w:pStyle w:val="Heading1"/>
        <w:pageBreakBefore/>
      </w:pPr>
      <w:r>
        <w:t>10. Host Adaptation, resilience, and resource governance</w:t>
      </w:r>
    </w:p>
    <w:p>
      <w:pPr>
        <w:pStyle w:val="Heading2"/>
      </w:pPr>
      <w:r>
        <w:t>10.1 Host Adaptation</w:t>
      </w:r>
    </w:p>
    <w:p>
      <w:r>
        <w:rPr>
          <w:rFonts w:ascii="Calibri" w:hAnsi="Calibri" w:eastAsia="Calibri"/>
          <w:i w:val="0"/>
          <w:color w:val="243447"/>
        </w:rPr>
        <w:t>Host Adaptation inventories hardware, services, listeners, network context, effective Firewall ActiveStore profiles, and a bounded rule set. It captures baselines, reports drift and collector quality, previews closed firewall-only profiles, simulates without writes, applies only after exact confirmation and verified backup, and rolls back with signed artifact verification.</w:t>
      </w:r>
    </w:p>
    <w:p>
      <w:pPr>
        <w:pStyle w:val="Heading2"/>
      </w:pPr>
      <w:r>
        <w:t>10.2 Resilience</w:t>
      </w:r>
    </w:p>
    <w:p>
      <w:pPr>
        <w:numPr>
          <w:ilvl w:val="0"/>
          <w:numId w:val="10"/>
        </w:numPr>
      </w:pPr>
      <w:r>
        <w:rPr>
          <w:rFonts w:ascii="Calibri" w:hAnsi="Calibri" w:eastAsia="Calibri"/>
          <w:color w:val="243447"/>
        </w:rPr>
        <w:t>Watchdog and supervisor track liveness, use bounded restart/backoff, and surface safe mode rather than uncontrolled loops.</w:t>
      </w:r>
    </w:p>
    <w:p>
      <w:pPr>
        <w:numPr>
          <w:ilvl w:val="0"/>
          <w:numId w:val="10"/>
        </w:numPr>
      </w:pPr>
      <w:r>
        <w:rPr>
          <w:rFonts w:ascii="Calibri" w:hAnsi="Calibri" w:eastAsia="Calibri"/>
          <w:color w:val="243447"/>
        </w:rPr>
        <w:t>Event and storage lanes are bounded, batch where durability permits, and use durable fallback when asynchronous queues saturate.</w:t>
      </w:r>
    </w:p>
    <w:p>
      <w:pPr>
        <w:numPr>
          <w:ilvl w:val="0"/>
          <w:numId w:val="10"/>
        </w:numPr>
      </w:pPr>
      <w:r>
        <w:rPr>
          <w:rFonts w:ascii="Calibri" w:hAnsi="Calibri" w:eastAsia="Calibri"/>
          <w:color w:val="243447"/>
        </w:rPr>
        <w:t>Source Sandbox is inert, confines paths, rejects runtime installers, and does not hot-reload production code.</w:t>
      </w:r>
    </w:p>
    <w:p>
      <w:pPr>
        <w:numPr>
          <w:ilvl w:val="0"/>
          <w:numId w:val="10"/>
        </w:numPr>
      </w:pPr>
      <w:r>
        <w:rPr>
          <w:rFonts w:ascii="Calibri" w:hAnsi="Calibri" w:eastAsia="Calibri"/>
          <w:color w:val="243447"/>
        </w:rPr>
        <w:t>Shutdown helpers verify exact Angerona launch grammar and process creation time; test runners and substring lookalikes are excluded.</w:t>
      </w:r>
    </w:p>
    <w:p>
      <w:pPr>
        <w:pStyle w:val="Heading2"/>
      </w:pPr>
      <w:r>
        <w:t>10.3 Chill and active response</w:t>
      </w:r>
    </w:p>
    <w:p>
      <w:r>
        <w:rPr>
          <w:rFonts w:ascii="Calibri" w:hAnsi="Calibri" w:eastAsia="Calibri"/>
          <w:i w:val="0"/>
          <w:color w:val="243447"/>
        </w:rPr>
        <w:t>Chill reduces idle auxiliary work while keeping network, endpoint-event, USB, response, and resilience sentinels active. An authenticated hostile event restores full defense cadence. Combat uses mode-aware fresh process/network sensor ages so Maximum mode does not unintentionally inherit a slower default snapshot.</w:t>
      </w:r>
    </w:p>
    <w:p>
      <w:pPr>
        <w:pStyle w:val="Heading1"/>
        <w:pageBreakBefore/>
      </w:pPr>
      <w:r>
        <w:t>11. Red Team, Shark Attack, and After-Action Reports</w:t>
      </w:r>
    </w:p>
    <w:p>
      <w:r>
        <w:rPr>
          <w:rFonts w:ascii="Calibri" w:hAnsi="Calibri" w:eastAsia="Calibri"/>
          <w:i w:val="0"/>
          <w:color w:val="243447"/>
        </w:rPr>
        <w:t>The validation subsystem is defensive. It uses benign, bounded, reversible markers and safe local behaviors. It does not deliver a real exploit, steal credentials, establish persistence, scan remote systems, or evade protection.</w:t>
      </w:r>
    </w:p>
    <w:p>
      <w:pPr>
        <w:pStyle w:val="Heading2"/>
      </w:pPr>
      <w:r>
        <w:t>11.1 Campaign workflow</w:t>
      </w:r>
    </w:p>
    <w:p>
      <w:pPr>
        <w:numPr>
          <w:ilvl w:val="0"/>
          <w:numId w:val="15"/>
        </w:numPr>
      </w:pPr>
      <w:r>
        <w:rPr>
          <w:rFonts w:ascii="Calibri" w:hAnsi="Calibri" w:eastAsia="Calibri"/>
          <w:color w:val="243447"/>
        </w:rPr>
        <w:t>Choose intensity and campaign mode, then record the run ID and starting state.</w:t>
      </w:r>
    </w:p>
    <w:p>
      <w:pPr>
        <w:numPr>
          <w:ilvl w:val="0"/>
          <w:numId w:val="15"/>
        </w:numPr>
      </w:pPr>
      <w:r>
        <w:rPr>
          <w:rFonts w:ascii="Calibri" w:hAnsi="Calibri" w:eastAsia="Calibri"/>
          <w:color w:val="243447"/>
        </w:rPr>
        <w:t>Execute the non-destructive ATT&amp;CK stages while sensors and response paths remain active.</w:t>
      </w:r>
    </w:p>
    <w:p>
      <w:pPr>
        <w:numPr>
          <w:ilvl w:val="0"/>
          <w:numId w:val="15"/>
        </w:numPr>
      </w:pPr>
      <w:r>
        <w:rPr>
          <w:rFonts w:ascii="Calibri" w:hAnsi="Calibri" w:eastAsia="Calibri"/>
          <w:color w:val="243447"/>
        </w:rPr>
        <w:t>Review the AAR timeline, raw catches, correlated actions, signed receipts, verified closures, and cleanup state.</w:t>
      </w:r>
    </w:p>
    <w:p>
      <w:pPr>
        <w:numPr>
          <w:ilvl w:val="0"/>
          <w:numId w:val="15"/>
        </w:numPr>
      </w:pPr>
      <w:r>
        <w:rPr>
          <w:rFonts w:ascii="Calibri" w:hAnsi="Calibri" w:eastAsia="Calibri"/>
          <w:color w:val="243447"/>
        </w:rPr>
        <w:t>Apply only exact deterministic Purple Guard candidates or vetted genuine-host remediation.</w:t>
      </w:r>
    </w:p>
    <w:p>
      <w:pPr>
        <w:numPr>
          <w:ilvl w:val="0"/>
          <w:numId w:val="15"/>
        </w:numPr>
      </w:pPr>
      <w:r>
        <w:rPr>
          <w:rFonts w:ascii="Calibri" w:hAnsi="Calibri" w:eastAsia="Calibri"/>
          <w:color w:val="243447"/>
        </w:rPr>
        <w:t>Run a fresh technique-bound campaign. Only new evidence can close a gap; a later miss reopens it.</w:t>
      </w:r>
    </w:p>
    <w:p>
      <w:pPr>
        <w:numPr>
          <w:ilvl w:val="0"/>
          <w:numId w:val="15"/>
        </w:numPr>
      </w:pPr>
      <w:r>
        <w:rPr>
          <w:rFonts w:ascii="Calibri" w:hAnsi="Calibri" w:eastAsia="Calibri"/>
          <w:color w:val="243447"/>
        </w:rPr>
        <w:t>Clean exact run-owned artifacts and verify no Combat firewall rules, tagged probes, or active reversible records remain.</w:t>
      </w:r>
    </w:p>
    <w:p>
      <w:pPr>
        <w:pStyle w:val="Heading2"/>
      </w:pPr>
      <w:r>
        <w:t>11.2 Maximum validation</w:t>
      </w:r>
    </w:p>
    <w:p>
      <w:pPr>
        <w:pStyle w:val="CodeBlock"/>
        <w:keepLines/>
      </w:pPr>
      <w:r>
        <w:rPr>
          <w:rFonts w:ascii="Consolas" w:hAnsi="Consolas" w:eastAsia="Consolas"/>
          <w:color w:val="0B2545"/>
          <w:sz w:val="18"/>
        </w:rPr>
        <w:t>run-adversary-combat-validation.bat</w:t>
      </w:r>
    </w:p>
    <w:p>
      <w:r>
        <w:rPr>
          <w:rFonts w:ascii="Calibri" w:hAnsi="Calibri" w:eastAsia="Calibri"/>
          <w:i w:val="0"/>
          <w:color w:val="243447"/>
        </w:rPr>
        <w:t>The final live campaign required five automatic rounds. The winning round recorded 52/52 detections, 52/52 responses, 13/13 action contracts, and 13/13 verified closures, with resilience PASS. Post-cleanup state was empty and journal integrity remained valid. This proves the tested campaign, not every possible attack.</w:t>
      </w:r>
    </w:p>
    <w:p>
      <w:pPr>
        <w:pStyle w:val="Heading1"/>
        <w:pageBreakBefore/>
      </w:pPr>
      <w:r>
        <w:t>12. Recovery, Undo, and emergency handling</w:t>
      </w:r>
    </w:p>
    <w:p>
      <w:pPr>
        <w:pStyle w:val="Heading2"/>
      </w:pPr>
      <w:r>
        <w:t>12.1 Normal Undo</w:t>
      </w:r>
    </w:p>
    <w:p>
      <w:pPr>
        <w:numPr>
          <w:ilvl w:val="0"/>
          <w:numId w:val="16"/>
        </w:numPr>
      </w:pPr>
      <w:r>
        <w:rPr>
          <w:rFonts w:ascii="Calibri" w:hAnsi="Calibri" w:eastAsia="Calibri"/>
          <w:color w:val="243447"/>
        </w:rPr>
        <w:t>Open Adversary Combat Action History and filter to verified reversible actions.</w:t>
      </w:r>
    </w:p>
    <w:p>
      <w:pPr>
        <w:numPr>
          <w:ilvl w:val="0"/>
          <w:numId w:val="16"/>
        </w:numPr>
      </w:pPr>
      <w:r>
        <w:rPr>
          <w:rFonts w:ascii="Calibri" w:hAnsi="Calibri" w:eastAsia="Calibri"/>
          <w:color w:val="243447"/>
        </w:rPr>
        <w:t>Select one exact action or choose Undo all. Review target, action, origin, and current state.</w:t>
      </w:r>
    </w:p>
    <w:p>
      <w:pPr>
        <w:numPr>
          <w:ilvl w:val="0"/>
          <w:numId w:val="16"/>
        </w:numPr>
      </w:pPr>
      <w:r>
        <w:rPr>
          <w:rFonts w:ascii="Calibri" w:hAnsi="Calibri" w:eastAsia="Calibri"/>
          <w:color w:val="243447"/>
        </w:rPr>
        <w:t>Submit Undo. Combat revalidates journal integrity and current target constraints before reversal.</w:t>
      </w:r>
    </w:p>
    <w:p>
      <w:pPr>
        <w:numPr>
          <w:ilvl w:val="0"/>
          <w:numId w:val="16"/>
        </w:numPr>
      </w:pPr>
      <w:r>
        <w:rPr>
          <w:rFonts w:ascii="Calibri" w:hAnsi="Calibri" w:eastAsia="Calibri"/>
          <w:color w:val="243447"/>
        </w:rPr>
        <w:t>Confirm the rollback postcondition and the signed Undone receipt. A button is disabled when no eligible action exists.</w:t>
      </w:r>
    </w:p>
    <w:p>
      <w:pPr>
        <w:pStyle w:val="Heading2"/>
      </w:pPr>
      <w:r>
        <w:t>12.2 Crash recovery and mutation circuit</w:t>
      </w:r>
    </w:p>
    <w:p>
      <w:r>
        <w:rPr>
          <w:rFonts w:ascii="Calibri" w:hAnsi="Calibri" w:eastAsia="Calibri"/>
          <w:i w:val="0"/>
          <w:color w:val="243447"/>
        </w:rPr>
        <w:t>At startup, Combat verifies its journal and reconciles incomplete intents. An action with an unproven commit or compensation becomes recovery-required. The mutation circuit blocks later actions until the orphan is resolved or the operator deliberately performs the exact documented recovery. Irreversible commit loss disarms Combat rather than pretending success.</w:t>
      </w:r>
    </w:p>
    <w:p>
      <w:pPr>
        <w:pStyle w:val="Heading2"/>
      </w:pPr>
      <w:r>
        <w:t>12.3 Emergency checks</w:t>
      </w:r>
    </w:p>
    <w:p>
      <w:pPr>
        <w:pStyle w:val="CodeBlock"/>
        <w:keepLines/>
      </w:pPr>
      <w:r>
        <w:rPr>
          <w:rFonts w:ascii="Consolas" w:hAnsi="Consolas" w:eastAsia="Consolas"/>
          <w:color w:val="0B2545"/>
          <w:sz w:val="18"/>
        </w:rPr>
        <w:t># Review current Combat validation and cleanup evidence</w:t>
        <w:br/>
        <w:t>run-adversary-combat-validation.bat</w:t>
        <w:br/>
        <w:br/>
        <w:t># Run complete application checks</w:t>
        <w:br/>
        <w:t>python tools/selfcheck.py</w:t>
        <w:br/>
        <w:t>run-selfcheck.bat</w:t>
      </w:r>
    </w:p>
    <w:tbl>
      <w:tblPr>
        <w:tblW w:type="dxa" w:w="9360"/>
        <w:jc w:val="left"/>
        <w:tblLayout w:type="fixed"/>
        <w:tblLook w:firstColumn="1" w:firstRow="1" w:lastColumn="0" w:lastRow="0" w:noHBand="0" w:noVBand="1" w:val="04A0"/>
        <w:tblInd w:w="120" w:type="dxa"/>
        <w:tblBorders>
          <w:top w:val="single" w:sz="6" w:color="9B1C1C"/>
          <w:left w:val="single" w:sz="6" w:color="9B1C1C"/>
          <w:bottom w:val="single" w:sz="6" w:color="9B1C1C"/>
          <w:right w:val="single" w:sz="6" w:color="9B1C1C"/>
          <w:insideH w:val="single" w:sz="6" w:color="9B1C1C"/>
          <w:insideV w:val="single" w:sz="6" w:color="9B1C1C"/>
        </w:tblBorders>
      </w:tblPr>
      <w:tblGrid>
        <w:gridCol w:w="9360"/>
      </w:tblGrid>
      <w:tr>
        <w:tc>
          <w:tcPr>
            <w:tcW w:type="dxa" w:w="9360"/>
            <w:vAlign w:val="center"/>
            <w:tcMar>
              <w:top w:w="80" w:type="dxa"/>
              <w:bottom w:w="80" w:type="dxa"/>
              <w:start w:w="120" w:type="dxa"/>
              <w:end w:w="120" w:type="dxa"/>
            </w:tcMar>
            <w:shd w:fill="FBECEC"/>
          </w:tcPr>
          <w:p>
            <w:pPr>
              <w:spacing w:after="0"/>
            </w:pPr>
            <w:r>
              <w:rPr>
                <w:rFonts w:ascii="Calibri" w:hAnsi="Calibri" w:eastAsia="Calibri"/>
                <w:b/>
                <w:color w:val="9B1C1C"/>
              </w:rPr>
              <w:t xml:space="preserve">Do not improvise: </w:t>
            </w:r>
            <w:r>
              <w:rPr>
                <w:rFonts w:ascii="Calibri" w:hAnsi="Calibri" w:eastAsia="Calibri"/>
                <w:color w:val="243447"/>
              </w:rPr>
              <w:t>Do not delete the journal, bulk-delete firewall policy, kill processes by name, or move protected evidence to clear an error. Preserve the signed record and recover the exact action target.</w:t>
            </w:r>
          </w:p>
        </w:tc>
      </w:tr>
    </w:tbl>
    <w:p>
      <w:pPr>
        <w:spacing w:after="40"/>
      </w:pPr>
    </w:p>
    <w:p>
      <w:pPr>
        <w:pStyle w:val="Heading1"/>
        <w:pageBreakBefore/>
      </w:pPr>
      <w:r>
        <w:t>13. Validation and release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450"/>
        <w:gridCol w:w="6910"/>
      </w:tblGrid>
      <w:tr>
        <w:trPr>
          <w:tblHeader w:val="true"/>
        </w:trPr>
        <w:tc>
          <w:tcPr>
            <w:tcW w:type="dxa" w:w="24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Gate</w:t>
            </w:r>
          </w:p>
        </w:tc>
        <w:tc>
          <w:tcPr>
            <w:tcW w:type="dxa" w:w="69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Final result</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Full pytest</w:t>
            </w:r>
          </w:p>
        </w:tc>
        <w:tc>
          <w:tcPr>
            <w:tcW w:type="dxa" w:w="6910"/>
            <w:vAlign w:val="center"/>
            <w:tcMar>
              <w:top w:w="80" w:type="dxa"/>
              <w:bottom w:w="80" w:type="dxa"/>
              <w:start w:w="120" w:type="dxa"/>
              <w:end w:w="120" w:type="dxa"/>
            </w:tcMar>
          </w:tcPr>
          <w:p>
            <w:r>
              <w:t>1,675 collected across 229 files; 1,670 passed; 5 expected host-capability skips; 0 failed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Compile</w:t>
            </w:r>
          </w:p>
        </w:tc>
        <w:tc>
          <w:tcPr>
            <w:tcW w:type="dxa" w:w="6910"/>
            <w:shd w:fill="FAFBFC"/>
            <w:vAlign w:val="center"/>
            <w:tcMar>
              <w:top w:w="80" w:type="dxa"/>
              <w:bottom w:w="80" w:type="dxa"/>
              <w:start w:w="120" w:type="dxa"/>
              <w:end w:w="120" w:type="dxa"/>
            </w:tcMar>
          </w:tcPr>
          <w:p>
            <w:r>
              <w:t>611/611 Python files; 345/345 product files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Static/runtime quality</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Ruff; 80 Windows / 14 Linux / 13 macOS discovery; zero discovery errors; documentation-drift and patch-integrity gates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Module self-tests</w:t>
            </w:r>
          </w:p>
        </w:tc>
        <w:tc>
          <w:tcPr>
            <w:tcW w:type="dxa" w:w="6910"/>
            <w:shd w:fill="FAFBFC"/>
            <w:vAlign w:val="center"/>
            <w:tcMar>
              <w:top w:w="80" w:type="dxa"/>
              <w:bottom w:w="80" w:type="dxa"/>
              <w:start w:w="120" w:type="dxa"/>
              <w:end w:w="120" w:type="dxa"/>
            </w:tcMar>
          </w:tcPr>
          <w:p>
            <w:r>
              <w:t>60 genuine pass; 0 genuine fail; 21 expected inactive/platform skips; EventBus pipeline passed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Core/Shark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22/22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15/15 passed</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Application selfcheck</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26/26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Dependency audit</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pip-audit reported no known vulnerabilities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Combat negative controls</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128/128 passed</w:t>
            </w:r>
          </w:p>
        </w:tc>
      </w:tr>
      <w:tr>
        <w:tc>
          <w:tcPr>
            <w:tcW w:type="dxa" w:w="24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Live Combat winning round</w:t>
            </w:r>
          </w:p>
        </w:tc>
        <w:tc>
          <w:tcPr>
            <w:tcW w:type="dxa" w:w="69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52/52 detect; 52/52 respond; 13/13 contracts; 13/13 verified closure; resilience PASS</w:t>
            </w:r>
          </w:p>
        </w:tc>
      </w:tr>
      <w:tr>
        <w:tc>
          <w:tcPr>
            <w:tcW w:type="dxa" w:w="2450"/>
            <w:vAlign w:val="center"/>
            <w:tcMar>
              <w:top w:w="80" w:type="dxa"/>
              <w:bottom w:w="80" w:type="dxa"/>
              <w:start w:w="120" w:type="dxa"/>
              <w:end w:w="120" w:type="dxa"/>
            </w:tcMar>
          </w:tcPr>
          <w:p>
            <w:pPr>
              <w:spacing w:after="0" w:line="264" w:lineRule="auto"/>
            </w:pPr>
            <w:r>
              <w:rPr>
                <w:rFonts w:ascii="Calibri" w:hAnsi="Calibri" w:eastAsia="Calibri"/>
                <w:color w:val="243447"/>
                <w:sz w:val="17"/>
              </w:rPr>
              <w:t>Live cleanup</w:t>
            </w:r>
          </w:p>
        </w:tc>
        <w:tc>
          <w:tcPr>
            <w:tcW w:type="dxa" w:w="6910"/>
            <w:vAlign w:val="center"/>
            <w:tcMar>
              <w:top w:w="80" w:type="dxa"/>
              <w:bottom w:w="80" w:type="dxa"/>
              <w:start w:w="120" w:type="dxa"/>
              <w:end w:w="120" w:type="dxa"/>
            </w:tcMar>
          </w:tcPr>
          <w:p>
            <w:pPr>
              <w:spacing w:after="0" w:line="264" w:lineRule="auto"/>
            </w:pPr>
            <w:r>
              <w:rPr>
                <w:rFonts w:ascii="Calibri" w:hAnsi="Calibri" w:eastAsia="Calibri"/>
                <w:color w:val="243447"/>
                <w:sz w:val="17"/>
              </w:rPr>
              <w:t>0 active reversible; 0 Angerona-Combat firewall rules; 0 tagged probes; blank integrity error; 0 legacy unsigned; 2,220 signed records</w:t>
            </w:r>
          </w:p>
        </w:tc>
      </w:tr>
      <w:tr>
        <w:tc>
          <w:tcPr>
            <w:tcW w:type="dxa" w:w="2450"/>
          </w:tcPr>
          <w:p>
            <w:r>
              <w:t>App Control evidence</w:t>
            </w:r>
          </w:p>
        </w:tc>
        <w:tc>
          <w:tcPr>
            <w:tcW w:type="dxa" w:w="6910"/>
          </w:tcPr>
          <w:p>
            <w:r>
              <w:t>35/35 focused; live read-only sample 256/256 parsed and 107/107 complete correlations; independent late-clear fixture replayed 6/6 exactly once</w:t>
            </w:r>
          </w:p>
        </w:tc>
      </w:tr>
    </w:tbl>
    <w:p>
      <w:pPr>
        <w:spacing w:after="40"/>
      </w:pPr>
    </w:p>
    <w:p>
      <w:pPr>
        <w:pStyle w:val="Heading2"/>
      </w:pPr>
      <w:r>
        <w:t>13.1 Final bug closures</w:t>
      </w:r>
    </w:p>
    <w:p>
      <w:pPr/>
      <w:r>
        <w:t>App Control signature cardinality, restart persistence, hard bounds, path privacy, retained-range gaps, clear/refill, and checkpoint timing races now have deterministic regression coverage.</w:t>
      </w:r>
    </w:p>
    <w:p>
      <w:pPr/>
      <w:r>
        <w:t>Selfcheck uses structured skip classification and an explicit stopped-module allowlist; incidental timeout text and unknown stopped states cannot waive a real failure.</w:t>
      </w:r>
    </w:p>
    <w:p>
      <w:pPr/>
      <w:r>
        <w:t>Contextual Info, Settings source sandboxes, and the Red Team editor fail soft. A ContextInfo-owned timer closes cleanly during rapid heatmap/upgrade shutdown, and the ATT&amp;CK heatmap remains usable at 800x600.</w:t>
      </w:r>
    </w:p>
    <w:p>
      <w:pPr>
        <w:numPr>
          <w:ilvl w:val="0"/>
          <w:numId w:val="10"/>
        </w:numPr>
      </w:pPr>
      <w:r>
        <w:rPr>
          <w:rFonts w:ascii="Calibri" w:hAnsi="Calibri" w:eastAsia="Calibri"/>
          <w:color w:val="243447"/>
        </w:rPr>
        <w:t>Stale exact-contract test fixtures now prove signed authority and include uncontracted negative cases.</w:t>
      </w:r>
    </w:p>
    <w:p>
      <w:pPr>
        <w:numPr>
          <w:ilvl w:val="0"/>
          <w:numId w:val="10"/>
        </w:numPr>
      </w:pPr>
      <w:r>
        <w:rPr>
          <w:rFonts w:ascii="Calibri" w:hAnsi="Calibri" w:eastAsia="Calibri"/>
          <w:color w:val="243447"/>
        </w:rPr>
        <w:t>Combat Undo controls disable correctly on empty or unverified-only history.</w:t>
      </w:r>
    </w:p>
    <w:p>
      <w:pPr>
        <w:numPr>
          <w:ilvl w:val="0"/>
          <w:numId w:val="10"/>
        </w:numPr>
      </w:pPr>
      <w:r>
        <w:rPr>
          <w:rFonts w:ascii="Calibri" w:hAnsi="Calibri" w:eastAsia="Calibri"/>
          <w:color w:val="243447"/>
        </w:rPr>
        <w:t>Posture advisory paths persist while the output remains unconditionally non-executable.</w:t>
      </w:r>
    </w:p>
    <w:p>
      <w:pPr>
        <w:numPr>
          <w:ilvl w:val="0"/>
          <w:numId w:val="10"/>
        </w:numPr>
      </w:pPr>
      <w:r>
        <w:rPr>
          <w:rFonts w:ascii="Calibri" w:hAnsi="Calibri" w:eastAsia="Calibri"/>
          <w:color w:val="243447"/>
        </w:rPr>
        <w:t>Red Team rapid reruns snapshot and clean exact prior run artifacts in the correct order.</w:t>
      </w:r>
    </w:p>
    <w:p>
      <w:pPr>
        <w:numPr>
          <w:ilvl w:val="0"/>
          <w:numId w:val="10"/>
        </w:numPr>
      </w:pPr>
      <w:r>
        <w:rPr>
          <w:rFonts w:ascii="Calibri" w:hAnsi="Calibri" w:eastAsia="Calibri"/>
          <w:color w:val="243447"/>
        </w:rPr>
        <w:t>SOAR receipt reconciliation proves signed success, failure, timeout, and unsigned-lookalike refusal.</w:t>
      </w:r>
    </w:p>
    <w:p>
      <w:pPr>
        <w:numPr>
          <w:ilvl w:val="0"/>
          <w:numId w:val="10"/>
        </w:numPr>
      </w:pPr>
      <w:r>
        <w:rPr>
          <w:rFonts w:ascii="Calibri" w:hAnsi="Calibri" w:eastAsia="Calibri"/>
          <w:color w:val="243447"/>
        </w:rPr>
        <w:t>Selfcheck now verifies inert model advice instead of expecting execution.</w:t>
      </w:r>
    </w:p>
    <w:p>
      <w:r>
        <w:rPr>
          <w:rFonts w:ascii="Calibri" w:hAnsi="Calibri" w:eastAsia="Calibri"/>
          <w:i w:val="0"/>
          <w:color w:val="243447"/>
        </w:rPr>
        <w:t>The five skipped pytest cases are expected host-capability gates. Expected inactive module results identify stopped sensors, idle or unarmed SOAR or Combat, unavailable optional Ollama, and unsupported platform features; they are not hidden failures.</w:t>
      </w:r>
    </w:p>
    <w:p>
      <w:pPr>
        <w:pStyle w:val="Heading2"/>
      </w:pPr>
      <w:r>
        <w:t>13.2 Cycle 23 final validation</w:t>
      </w:r>
    </w:p>
    <w:p>
      <w:pPr/>
      <w:r>
        <w:t>Three sequential defensive review rounds closed 15 findings: Round 1 fixed nine; Round 2 fixed five and retained one independently administered high-water authority as deferred; Round 3 found and fixed one physical-path restart-continuity defect. The final actor-neutral review reproduced no remaining Cycle 23 Critical or High issue and did not re-label the external dependency as shipped.</w:t>
      </w:r>
    </w:p>
    <w:p>
      <w:pPr>
        <w:pStyle w:val="ListBullet"/>
      </w:pPr>
      <w:r>
        <w:t>The authoritative one-process suite collected 1,465 tests across 208 files: 1,460 passed, five expected host-capability skips, and zero failed.</w:t>
      </w:r>
    </w:p>
    <w:p>
      <w:pPr>
        <w:pStyle w:val="ListBullet"/>
      </w:pPr>
      <w:r>
        <w:t>All 321 product Python files compiled. Ruff passed; 73 module files imported; 71 of 71 modules discovered; all 58 compatibility register hooks were valid; core and Shark self-tests passed 22 of 22.</w:t>
      </w:r>
    </w:p>
    <w:p>
      <w:pPr>
        <w:pStyle w:val="ListBullet"/>
      </w:pPr>
      <w:r>
        <w:t>The module harness produced 50 passes, zero failures, and 21 explicit inactive/platform skips plus a passing EventBus pipeline. Direct and batch selfcheck both passed 26 of 26.</w:t>
      </w:r>
    </w:p>
    <w:p>
      <w:pPr/>
      <w:r>
        <w:t>These gates are strong project evidence, not independent certification, state-actor attribution, or proof of complete attack coverage.</w:t>
      </w:r>
    </w:p>
    <w:p>
      <w:pPr>
        <w:pStyle w:val="Heading1"/>
        <w:pageBreakBefore/>
      </w:pPr>
      <w:r>
        <w:t>14. Performance evidence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600"/>
        <w:gridCol w:w="2600"/>
        <w:gridCol w:w="4160"/>
      </w:tblGrid>
      <w:tr>
        <w:trPr>
          <w:tblHeader w:val="true"/>
        </w:trPr>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Change</w:t>
            </w:r>
          </w:p>
        </w:tc>
        <w:tc>
          <w:tcPr>
            <w:tcW w:type="dxa" w:w="26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Measured result</w:t>
            </w:r>
          </w:p>
        </w:tc>
        <w:tc>
          <w:tcPr>
            <w:tcW w:type="dxa" w:w="416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Preserved boundary</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Runbook BM25 pre-index</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25.5x real index; 4.38x synthetic</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Exact score/ranking equivalence</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ETW PID/name LRU</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92.2% lower peak tracked allocation</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4,096 entries, live-parent fallback, PID reuse</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Upgrade Console async snapshots</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~0.036 ms Qt submission for 50 ms read</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Qt-owned render, single-flight coalescing</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Literal loopback validation</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2.16x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Hostname resolution and full call-time Ollama attestation retained</w:t>
            </w:r>
          </w:p>
        </w:tc>
      </w:tr>
      <w:tr>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Ransomware normalization</w:t>
            </w:r>
          </w:p>
        </w:tc>
        <w:tc>
          <w:tcPr>
            <w:tcW w:type="dxa" w:w="2600"/>
            <w:vAlign w:val="center"/>
            <w:tcMar>
              <w:top w:w="80" w:type="dxa"/>
              <w:bottom w:w="80" w:type="dxa"/>
              <w:start w:w="120" w:type="dxa"/>
              <w:end w:w="120" w:type="dxa"/>
            </w:tcMar>
          </w:tcPr>
          <w:p>
            <w:pPr>
              <w:spacing w:after="0" w:line="264" w:lineRule="auto"/>
            </w:pPr>
            <w:r>
              <w:rPr>
                <w:rFonts w:ascii="Calibri" w:hAnsi="Calibri" w:eastAsia="Calibri"/>
                <w:color w:val="243447"/>
                <w:sz w:val="17"/>
              </w:rPr>
              <w:t>6.91x faster at 100,000 records</w:t>
            </w:r>
          </w:p>
        </w:tc>
        <w:tc>
          <w:tcPr>
            <w:tcW w:type="dxa" w:w="4160"/>
            <w:vAlign w:val="center"/>
            <w:tcMar>
              <w:top w:w="80" w:type="dxa"/>
              <w:bottom w:w="80" w:type="dxa"/>
              <w:start w:w="120" w:type="dxa"/>
              <w:end w:w="120" w:type="dxa"/>
            </w:tcMar>
          </w:tcPr>
          <w:p>
            <w:pPr>
              <w:spacing w:after="0" w:line="264" w:lineRule="auto"/>
            </w:pPr>
            <w:r>
              <w:rPr>
                <w:rFonts w:ascii="Calibri" w:hAnsi="Calibri" w:eastAsia="Calibri"/>
                <w:color w:val="243447"/>
                <w:sz w:val="17"/>
              </w:rPr>
              <w:t>Same-directory entropy/rename authority unchanged</w:t>
            </w:r>
          </w:p>
        </w:tc>
      </w:tr>
      <w:tr>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Network novelty expiry</w:t>
            </w:r>
          </w:p>
        </w:tc>
        <w:tc>
          <w:tcPr>
            <w:tcW w:type="dxa" w:w="26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1.88x faster</w:t>
            </w:r>
          </w:p>
        </w:tc>
        <w:tc>
          <w:tcPr>
            <w:tcW w:type="dxa" w:w="4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Cadence, freshness, Community ID, and cap unchanged</w:t>
            </w:r>
          </w:p>
        </w:tc>
      </w:tr>
    </w:tbl>
    <w:p>
      <w:pPr>
        <w:spacing w:after="40"/>
      </w:pPr>
    </w:p>
    <w:p>
      <w:pPr>
        <w:pStyle w:val="Heading2"/>
      </w:pPr>
      <w:r>
        <w:t>14.1 Deliberately deferred optimizations</w:t>
      </w:r>
    </w:p>
    <w:p>
      <w:pPr>
        <w:numPr>
          <w:ilvl w:val="0"/>
          <w:numId w:val="10"/>
        </w:numPr>
      </w:pPr>
      <w:r>
        <w:rPr>
          <w:rFonts w:ascii="Calibri" w:hAnsi="Calibri" w:eastAsia="Calibri"/>
          <w:color w:val="243447"/>
        </w:rPr>
        <w:t>Signed Combat journal segmentation remains proposed until forged-prefix, crash-between-segment, rotation, recovery, and old-action Undo tests exist.</w:t>
      </w:r>
    </w:p>
    <w:p>
      <w:pPr>
        <w:numPr>
          <w:ilvl w:val="0"/>
          <w:numId w:val="10"/>
        </w:numPr>
      </w:pPr>
      <w:r>
        <w:rPr>
          <w:rFonts w:ascii="Calibri" w:hAnsi="Calibri" w:eastAsia="Calibri"/>
          <w:color w:val="243447"/>
        </w:rPr>
        <w:t>Ollama listener ownership is not cached; a short cache could create a process/port replacement window. An OS-native listener-bound proof is the prerequisite.</w:t>
      </w:r>
    </w:p>
    <w:p>
      <w:pPr>
        <w:numPr>
          <w:ilvl w:val="0"/>
          <w:numId w:val="10"/>
        </w:numPr>
      </w:pPr>
      <w:r>
        <w:rPr>
          <w:rFonts w:ascii="Calibri" w:hAnsi="Calibri" w:eastAsia="Calibri"/>
          <w:color w:val="243447"/>
        </w:rPr>
        <w:t>First-run Sysmon seek and asynchronous initial ARIA manager/index construction remain proposed pending Windows-native cursor and startup lifecycle tests.</w:t>
      </w:r>
    </w:p>
    <w:p>
      <w:pPr>
        <w:pStyle w:val="Heading2"/>
      </w:pPr>
      <w:r>
        <w:t>14.2 Cycle 23 measured hot-path decisions</w:t>
      </w:r>
    </w:p>
    <w:p>
      <w:pPr/>
      <w:r>
        <w:t>Round 1 avoided redundant unchanged audit-state writes (97.6% in the measured case), limited SSH command-line work to admitted clients (90.9%), and skipped rebuilding an already-untrusted immutable network snapshot (93.3%). Round 2 replaced quadratic per-user SSH token expansion with one bounded pass, improving token-heavy stress cases by 98.8% to 99.4%.</w:t>
      </w:r>
    </w:p>
    <w:p>
      <w:pPr/>
      <w:r>
        <w:t>Round 3 retained direct pending-path security logic after maximum-bound evaluation measured 2.817 to 3.113 ms and proposed alternatives were either negligible at the 64-path cap or slower in normal/stress cases. Security clarity, freshness checks, anchors, retries, and pre/post route observations were not traded for benchmark numbers.</w:t>
      </w:r>
    </w:p>
    <w:p>
      <w:pPr>
        <w:pStyle w:val="Heading1"/>
        <w:pageBreakBefore/>
      </w:pPr>
      <w:r>
        <w:t>15. Security posture, limits, and external gates</w:t>
      </w:r>
    </w:p>
    <w:tbl>
      <w:tblPr>
        <w:tblW w:type="dxa" w:w="9360"/>
        <w:jc w:val="left"/>
        <w:tblLayout w:type="fixed"/>
        <w:tblLook w:firstColumn="1" w:firstRow="1" w:lastColumn="0" w:lastRow="0" w:noHBand="0" w:noVBand="1" w:val="04A0"/>
        <w:tblInd w:w="120" w:type="dxa"/>
        <w:tblBorders>
          <w:top w:val="single" w:sz="6" w:color="1F6F50"/>
          <w:left w:val="single" w:sz="6" w:color="1F6F50"/>
          <w:bottom w:val="single" w:sz="6" w:color="1F6F50"/>
          <w:right w:val="single" w:sz="6" w:color="1F6F50"/>
          <w:insideH w:val="single" w:sz="6" w:color="1F6F50"/>
          <w:insideV w:val="single" w:sz="6" w:color="1F6F50"/>
        </w:tblBorders>
      </w:tblPr>
      <w:tblGrid>
        <w:gridCol w:w="9360"/>
      </w:tblGrid>
      <w:tr>
        <w:tc>
          <w:tcPr>
            <w:tcW w:type="dxa" w:w="9360"/>
            <w:vAlign w:val="center"/>
            <w:tcMar>
              <w:top w:w="80" w:type="dxa"/>
              <w:bottom w:w="80" w:type="dxa"/>
              <w:start w:w="120" w:type="dxa"/>
              <w:end w:w="120" w:type="dxa"/>
            </w:tcMar>
            <w:shd w:fill="EAF5EF"/>
          </w:tcPr>
          <w:p>
            <w:r>
              <w:t>Final red-team verdict: No open Critical, High, or Medium Cycle 24 code blocker remains in the current v1.11.0 tree. Publisher/root custody, clean-machine package validation, hardware rollback resistance, and the external gates below remain outstanding acceptance work.</w:t>
            </w:r>
          </w:p>
        </w:tc>
      </w:tr>
    </w:tbl>
    <w:p>
      <w:pPr>
        <w:spacing w:after="40"/>
      </w:pPr>
    </w:p>
    <w:p>
      <w:pPr>
        <w:pStyle w:val="Heading2"/>
      </w:pPr>
      <w:r>
        <w:t>15.1 Non-blocking defense-in-depth item</w:t>
      </w:r>
    </w:p>
    <w:p>
      <w:r>
        <w:rPr>
          <w:rFonts w:ascii="Calibri" w:hAnsi="Calibri" w:eastAsia="Calibri"/>
          <w:i w:val="0"/>
          <w:color w:val="243447"/>
        </w:rPr>
        <w:t>R6-03 remains open as a Medium defense-in-depth improvement, not a release blocker: path-wide program firewall work would be stronger if Combat retained an OS process handle and a bounded executable-file identity lease for the full action interval. Current controls revalidate PID birth and executable identity, and the final audit found no reproducing unsafe mutation in this surface.</w:t>
      </w:r>
    </w:p>
    <w:p>
      <w:pPr>
        <w:pStyle w:val="Heading2"/>
      </w:pPr>
      <w:r>
        <w:t>15.2 External acceptance gates</w:t>
      </w:r>
    </w:p>
    <w:p>
      <w:pPr>
        <w:numPr>
          <w:ilvl w:val="0"/>
          <w:numId w:val="10"/>
        </w:numPr>
      </w:pPr>
      <w:r>
        <w:rPr>
          <w:rFonts w:ascii="Calibri" w:hAnsi="Calibri" w:eastAsia="Calibri"/>
          <w:color w:val="243447"/>
        </w:rPr>
        <w:t>Long elevated interactive soak with all sensors and Ollama enabled.</w:t>
      </w:r>
    </w:p>
    <w:p>
      <w:pPr>
        <w:numPr>
          <w:ilvl w:val="0"/>
          <w:numId w:val="10"/>
        </w:numPr>
      </w:pPr>
      <w:r>
        <w:rPr>
          <w:rFonts w:ascii="Calibri" w:hAnsi="Calibri" w:eastAsia="Calibri"/>
          <w:color w:val="243447"/>
        </w:rPr>
        <w:t>Physical sleep/resume and power-interruption recovery exercises.</w:t>
      </w:r>
    </w:p>
    <w:p>
      <w:pPr>
        <w:numPr>
          <w:ilvl w:val="0"/>
          <w:numId w:val="10"/>
        </w:numPr>
      </w:pPr>
      <w:r>
        <w:rPr>
          <w:rFonts w:ascii="Calibri" w:hAnsi="Calibri" w:eastAsia="Calibri"/>
          <w:color w:val="243447"/>
        </w:rPr>
        <w:t>Clean-machine install, upgrade, downgrade refusal, rollback, and uninstall matrices.</w:t>
      </w:r>
    </w:p>
    <w:p>
      <w:pPr>
        <w:numPr>
          <w:ilvl w:val="0"/>
          <w:numId w:val="10"/>
        </w:numPr>
      </w:pPr>
      <w:r>
        <w:rPr>
          <w:rFonts w:ascii="Calibri" w:hAnsi="Calibri" w:eastAsia="Calibri"/>
          <w:color w:val="243447"/>
        </w:rPr>
        <w:t>Publisher signing/notarization and native Linux/macOS release execution.</w:t>
      </w:r>
    </w:p>
    <w:p>
      <w:pPr>
        <w:numPr>
          <w:ilvl w:val="0"/>
          <w:numId w:val="10"/>
        </w:numPr>
      </w:pPr>
      <w:r>
        <w:rPr>
          <w:rFonts w:ascii="Calibri" w:hAnsi="Calibri" w:eastAsia="Calibri"/>
          <w:color w:val="243447"/>
        </w:rPr>
        <w:t>Fleet-scale throughput, multi-host operational testing, and third-party false-positive/efficacy evaluation.</w:t>
      </w:r>
    </w:p>
    <w:p>
      <w:pPr>
        <w:numPr>
          <w:ilvl w:val="0"/>
          <w:numId w:val="10"/>
        </w:numPr>
      </w:pPr>
      <w:r>
        <w:rPr>
          <w:rFonts w:ascii="Calibri" w:hAnsi="Calibri" w:eastAsia="Calibri"/>
          <w:color w:val="243447"/>
        </w:rPr>
        <w:t>Independent review of release artifacts, threat models, and measured detection outcomes.</w:t>
      </w:r>
    </w:p>
    <w:p>
      <w:pPr>
        <w:pStyle w:val="Heading2"/>
      </w:pPr>
      <w:r>
        <w:t>15.3 Current research backlog</w:t>
      </w:r>
    </w:p>
    <w:p>
      <w:r>
        <w:t>The ranked next work is a digest-pinned ATT&amp;CK v19.2 registry, a protected PowerShell Operational/4104 sensor, an EPSS v5 + KEV + SSVC host-risk queue, event-driven Task Scheduler/BITS persistence evidence, and an App Control policy-inventory lifecycle. These are proposals, not current product claims.</w:t>
      </w:r>
    </w:p>
    <w:p>
      <w:pPr>
        <w:pStyle w:val="Heading2"/>
      </w:pPr>
      <w:r>
        <w:t>15.4 Cycle 23 assurance boundary</w:t>
      </w:r>
    </w:p>
    <w:p>
      <w:pPr>
        <w:pStyle w:val="ListBullet"/>
      </w:pPr>
      <w:r>
        <w:t>Built now: observe-only SSH posture/runtime drift, fixed-source Windows audit-clear and continuity evidence, zero-trust physical-path drift, a pinned Personal Sentinel attestation client, sanitized dashboard activity, and pinned governed ARIA defensive reference memory.</w:t>
      </w:r>
    </w:p>
    <w:p>
      <w:pPr>
        <w:pStyle w:val="ListBullet"/>
      </w:pPr>
      <w:r>
        <w:t>Built as contracts but not a deployed independent service: compact witness receipt verification and the IndependentHighWater interface with rollback, fork, clone, outage, migration, and crash tests.</w:t>
      </w:r>
    </w:p>
    <w:p>
      <w:pPr>
        <w:pStyle w:val="ListBullet"/>
      </w:pPr>
      <w:r>
        <w:t>Proposed or deferred: the actual gateway/firewall appliance and routing role, a separately administered monotonic witness server or policy-bound hardware authority, firmware/signed-boot measurement, resource-scoped egress leases, and authoritative SSH key-to-session provenance.</w:t>
      </w:r>
    </w:p>
    <w:p>
      <w:pPr>
        <w:pStyle w:val="ListBullet"/>
      </w:pPr>
      <w:r>
        <w:t>A compromised Administrator or SYSTEM principal, kernel, hypervisor, firmware, upstream provider, stolen identity, or separately administered witness can still defeat or deny user-mode evidence. Zero trust limits implicit authority; it does not make any layer infallible.</w:t>
      </w:r>
    </w:p>
    <w:p>
      <w:pPr>
        <w:pStyle w:val="Heading1"/>
        <w:pageBreakBefore/>
      </w:pPr>
      <w:r>
        <w:t>16. Project positioning and resume value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3500"/>
        <w:gridCol w:w="43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Audience</w:t>
            </w:r>
          </w:p>
        </w:tc>
        <w:tc>
          <w:tcPr>
            <w:tcW w:type="dxa" w:w="350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Likely reaction</w:t>
            </w:r>
          </w:p>
        </w:tc>
        <w:tc>
          <w:tcPr>
            <w:tcW w:type="dxa" w:w="43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What strengthens the claim</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Employers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Substantial portfolio project with unusually broad defensive scope</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Explain exact components you authored; demo one detection-to-Undo chain; discuss tradeoffs and limits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Developers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Impressive integration and test discipline; will inspect maintainability and architecture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Keep modules coherent, documentation current, commits reviewable, and dependencies reproducible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Blue team / SOC</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Useful lab for alert triage, ATT&amp;CK, cases, and defensive automation</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Provide false-positive data, realistic telemetry, repeatable AARs, and incident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Purple team</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Strong safe-validation framework, not an offensive platform</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Show negative controls, exact contracts, rerun closure, and complete cleanup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Red team reviewers</w:t>
            </w:r>
          </w:p>
        </w:tc>
        <w:tc>
          <w:tcPr>
            <w:tcW w:type="dxa" w:w="3500"/>
            <w:vAlign w:val="center"/>
            <w:tcMar>
              <w:top w:w="80" w:type="dxa"/>
              <w:bottom w:w="80" w:type="dxa"/>
              <w:start w:w="120" w:type="dxa"/>
              <w:end w:w="120" w:type="dxa"/>
            </w:tcMar>
          </w:tcPr>
          <w:p>
            <w:pPr>
              <w:spacing w:after="0" w:line="264" w:lineRule="auto"/>
            </w:pPr>
            <w:r>
              <w:rPr>
                <w:rFonts w:ascii="Calibri" w:hAnsi="Calibri" w:eastAsia="Calibri"/>
                <w:color w:val="243447"/>
                <w:sz w:val="17"/>
              </w:rPr>
              <w:t>Will challenge outage paths, confused deputies, TOCTOU, and evidence spoofing</w:t>
            </w:r>
          </w:p>
        </w:tc>
        <w:tc>
          <w:tcPr>
            <w:tcW w:type="dxa" w:w="4310"/>
            <w:vAlign w:val="center"/>
            <w:tcMar>
              <w:top w:w="80" w:type="dxa"/>
              <w:bottom w:w="80" w:type="dxa"/>
              <w:start w:w="120" w:type="dxa"/>
              <w:end w:w="120" w:type="dxa"/>
            </w:tcMar>
          </w:tcPr>
          <w:p>
            <w:pPr>
              <w:spacing w:after="0" w:line="264" w:lineRule="auto"/>
            </w:pPr>
            <w:r>
              <w:rPr>
                <w:rFonts w:ascii="Calibri" w:hAnsi="Calibri" w:eastAsia="Calibri"/>
                <w:color w:val="243447"/>
                <w:sz w:val="17"/>
              </w:rPr>
              <w:t>Lead with final findings, fixes, remaining R6-03, and immutable test evidence</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Enterprise buyers</w:t>
            </w:r>
          </w:p>
        </w:tc>
        <w:tc>
          <w:tcPr>
            <w:tcW w:type="dxa" w:w="35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Not procurement-ready without independent support and scale evidence</w:t>
            </w:r>
          </w:p>
        </w:tc>
        <w:tc>
          <w:tcPr>
            <w:tcW w:type="dxa" w:w="43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Add signing, clean-VM release matrices, fleet pilots, support model, efficacy testing, and audits</w:t>
            </w:r>
          </w:p>
        </w:tc>
      </w:tr>
    </w:tbl>
    <w:p>
      <w:pPr>
        <w:spacing w:after="40"/>
      </w:pPr>
    </w:p>
    <w:p>
      <w:r>
        <w:rPr>
          <w:rFonts w:ascii="Calibri" w:hAnsi="Calibri" w:eastAsia="Calibri"/>
          <w:i w:val="0"/>
          <w:color w:val="243447"/>
        </w:rPr>
        <w:t>Candid rating: rare and ambitious for a home-lab project, viable as an advanced local security lab, and valuable on a resume when the owner can explain and defend the engineering. It is not a unicorn or commercial contender yet. The differentiator is not the feature count alone; it is the combination of exact response authority, truthful receipts, recovery, red-team closure, performance evidence, and explicit limitations.</w:t>
      </w:r>
    </w:p>
    <w:p>
      <w:pPr>
        <w:pStyle w:val="Heading1"/>
        <w:pageBreakBefore/>
      </w:pPr>
      <w:r>
        <w:t>17. Version history and changelog</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1550"/>
        <w:gridCol w:w="7810"/>
      </w:tblGrid>
      <w:tr>
        <w:trPr>
          <w:tblHeader w:val="true"/>
        </w:trPr>
        <w:tc>
          <w:tcPr>
            <w:tcW w:type="dxa" w:w="155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Version</w:t>
            </w:r>
          </w:p>
        </w:tc>
        <w:tc>
          <w:tcPr>
            <w:tcW w:type="dxa" w:w="7810"/>
            <w:vAlign w:val="center"/>
            <w:tcMar>
              <w:top w:w="80" w:type="dxa"/>
              <w:bottom w:w="80" w:type="dxa"/>
              <w:start w:w="120" w:type="dxa"/>
              <w:end w:w="120" w:type="dxa"/>
            </w:tcMar>
            <w:shd w:fill="E8EEF5"/>
          </w:tcPr>
          <w:p>
            <w:pPr>
              <w:spacing w:after="0"/>
              <w:jc w:val="left"/>
            </w:pPr>
            <w:r>
              <w:rPr>
                <w:rFonts w:ascii="Calibri" w:hAnsi="Calibri" w:eastAsia="Calibri"/>
                <w:b/>
                <w:color w:val="0B2545"/>
                <w:sz w:val="18"/>
              </w:rPr>
              <w:t>Net change</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1.0.x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Initial modular local security suite, EventBus, GUI, core monitoring, and local-AI direction.</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Reliability and security hardening; bounded operations and clearer module health.</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1.2.x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Behavioral tuning, VPN awareness, hardware integrity, and multi-node experiments.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1.3.x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Black Box, live sandbox, mobile and Linux/eBPF foundations, richer analysis UI.</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1.4.x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Decoupled resilience ecosystem, new detection/intelligence modules, and operator workflows.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1.5.x</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Resolve Center, ATT&amp;CK heatmap, Red Team overhaul, active-defense and incident chain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1.6.x</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Remediation routing, complete module inventory, self-test parity, and GUI polish.</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1.7.4</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Long-session responsiveness and bounded GUI/event work.</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1.7.5</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Three-round security loop: AI/PowerShell gates, event integrity, MCP bounds, ELAT, TECT, YARA atomic activation, and measured cache improvements.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1.7.6-1.7.8</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ARIA assistant foundations, next-generation defensive MVPs, deterministic drill remediation, supervised trust, D-drive storage, and staged scanner wake-up.</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1.8.0</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ARIA/RAG, Cycle 2 convergence, expanded security, storage, and operational controls.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1.9.1-1.9.3</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Crash hardening, ARIA console integration, self-install, weakness hunt, public-release and installer gates.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1.9.4</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Cycle 4 response-proof, privacy, release, and long-session performance pass.</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1.10.0</w:t>
            </w:r>
          </w:p>
        </w:tc>
        <w:tc>
          <w:tcPr>
            <w:tcW w:type="dxa" w:w="781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Control-plane, local fleet, evidence, setup/supply, Flow Dashboard, interoperability, Linux/multi-platform, and unattended-defense cycles.</w:t>
            </w:r>
          </w:p>
        </w:tc>
      </w:tr>
      <w:tr>
        <w:tc>
          <w:tcPr>
            <w:tcW w:type="dxa" w:w="1550"/>
            <w:vAlign w:val="center"/>
            <w:tcMar>
              <w:top w:w="80" w:type="dxa"/>
              <w:bottom w:w="80" w:type="dxa"/>
              <w:start w:w="120" w:type="dxa"/>
              <w:end w:w="120" w:type="dxa"/>
            </w:tcMar>
          </w:tcPr>
          <w:p>
            <w:pPr>
              <w:spacing w:after="0" w:line="264" w:lineRule="auto"/>
            </w:pPr>
            <w:r>
              <w:rPr>
                <w:rFonts w:ascii="Calibri" w:hAnsi="Calibri" w:eastAsia="Calibri"/>
                <w:color w:val="243447"/>
                <w:sz w:val="17"/>
              </w:rPr>
              <w:t>1.10.1</w:t>
            </w:r>
          </w:p>
        </w:tc>
        <w:tc>
          <w:tcPr>
            <w:tcW w:type="dxa" w:w="7810"/>
            <w:vAlign w:val="center"/>
            <w:tcMar>
              <w:top w:w="80" w:type="dxa"/>
              <w:bottom w:w="80" w:type="dxa"/>
              <w:start w:w="120" w:type="dxa"/>
              <w:end w:w="120" w:type="dxa"/>
            </w:tcMar>
          </w:tcPr>
          <w:p>
            <w:pPr>
              <w:spacing w:after="0" w:line="264" w:lineRule="auto"/>
            </w:pPr>
            <w:r>
              <w:rPr>
                <w:rFonts w:ascii="Calibri" w:hAnsi="Calibri" w:eastAsia="Calibri"/>
                <w:color w:val="243447"/>
                <w:sz w:val="17"/>
              </w:rPr>
              <w:t>Host Adaptation workbench with audited firewall profiles, drift, preview, apply, automation, rollback, and recovery.</w:t>
            </w:r>
          </w:p>
        </w:tc>
      </w:tr>
      <w:tr>
        <w:tc>
          <w:tcPr>
            <w:tcW w:type="dxa" w:w="155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7"/>
              </w:rPr>
              <w:t>1.10.2</w:t>
            </w:r>
          </w:p>
        </w:tc>
        <w:tc>
          <w:tcPr>
            <w:tcW w:type="dxa" w:w="7810"/>
            <w:shd w:fill="FAFBFC"/>
            <w:vAlign w:val="center"/>
            <w:tcMar>
              <w:top w:w="80" w:type="dxa"/>
              <w:bottom w:w="80" w:type="dxa"/>
              <w:start w:w="120" w:type="dxa"/>
              <w:end w:w="120" w:type="dxa"/>
            </w:tcMar>
          </w:tcPr>
          <w:p>
            <w:r>
              <w:t>Governed autonomous Combat; signed exact contracts and receipts; typed ARIA; verified llama3 pack; Ollama process/path attestation; Sysmon 1-29+255; Community ID v1; OCSF 1.8; trust, credential, semantic-response, recovery, and performance hardening; frozen 1,258-pass gate.</w:t>
            </w:r>
          </w:p>
        </w:tc>
      </w:tr>
      <w:tr>
        <w:tc>
          <w:tcPr>
            <w:tcW w:type="dxa" w:w="1550"/>
          </w:tcPr>
          <w:p>
            <w:r>
              <w:t>1.10.3</w:t>
            </w:r>
          </w:p>
        </w:tc>
        <w:tc>
          <w:tcPr>
            <w:tcW w:type="dxa" w:w="7810"/>
          </w:tcPr>
          <w:p>
            <w:r>
              <w:t>Authenticated App Control decision/signature evidence; clear/refill and restart continuity; exhaustive UI/sandbox contracts; fail-soft shutdown fixes; truthful selfcheck policy; 1,305-pass frozen gate.</w:t>
            </w:r>
            <w:r>
              <w:t xml:space="preserve"> Guarded GitHub sync now verifies a pinned Gitleaks binary, scans staged or incoming content before mutation, and restricts pulls to reviewed fast-forward updates.</w:t>
            </w:r>
          </w:p>
        </w:tc>
      </w:tr>
    </w:tbl>
    <w:p>
      <w:pPr>
        <w:spacing w:after="40"/>
      </w:pPr>
    </w:p>
    <w:p>
      <w:pPr>
        <w:pStyle w:val="Heading2"/>
      </w:pPr>
      <w:r>
        <w:t>17.1 v1.10.2 loop disposition</w:t>
      </w:r>
    </w:p>
    <w:p>
      <w:pPr>
        <w:numPr>
          <w:ilvl w:val="0"/>
          <w:numId w:val="10"/>
        </w:numPr>
      </w:pPr>
      <w:r>
        <w:rPr>
          <w:rFonts w:ascii="Calibri" w:hAnsi="Calibri" w:eastAsia="Calibri"/>
          <w:color w:val="243447"/>
        </w:rPr>
        <w:t>Research ranked current open-source and standards gaps without claiming parity. Built items are separated from proposals.</w:t>
      </w:r>
    </w:p>
    <w:p>
      <w:pPr>
        <w:numPr>
          <w:ilvl w:val="0"/>
          <w:numId w:val="10"/>
        </w:numPr>
      </w:pPr>
      <w:r>
        <w:rPr>
          <w:rFonts w:ascii="Calibri" w:hAnsi="Calibri" w:eastAsia="Calibri"/>
          <w:color w:val="243447"/>
        </w:rPr>
        <w:t>The release audit found broad raw-response, path race, direct SOAR/mobile action, source custody, and Ollama owner gaps; remediation narrowed every mutation to exact signed authority.</w:t>
      </w:r>
    </w:p>
    <w:p>
      <w:pPr>
        <w:numPr>
          <w:ilvl w:val="0"/>
          <w:numId w:val="10"/>
        </w:numPr>
      </w:pPr>
      <w:r>
        <w:rPr>
          <w:rFonts w:ascii="Calibri" w:hAnsi="Calibri" w:eastAsia="Calibri"/>
          <w:color w:val="243447"/>
        </w:rPr>
        <w:t>The semantic re-audit closed LSASS/VSS spoofing, cross-directory ransomware escalation, commit/recovery, model-advice execution, cleanup, helper, Top Talkers, and SOAR receipt gaps.</w:t>
      </w:r>
    </w:p>
    <w:p>
      <w:pPr>
        <w:numPr>
          <w:ilvl w:val="0"/>
          <w:numId w:val="10"/>
        </w:numPr>
      </w:pPr>
      <w:r>
        <w:rPr>
          <w:rFonts w:ascii="Calibri" w:hAnsi="Calibri" w:eastAsia="Calibri"/>
          <w:color w:val="243447"/>
        </w:rPr>
        <w:t>The frozen QA pass closed six low-risk regressions and recorded no release-blocking defect.</w:t>
      </w:r>
    </w:p>
    <w:p>
      <w:pPr>
        <w:pStyle w:val="Heading2"/>
      </w:pPr>
      <w:r>
        <w:t>17.2 Automatic Red Team validation correction (2026-08-25)</w:t>
      </w:r>
    </w:p>
    <w:p>
      <w:pPr/>
      <w:r>
        <w:t>A live Extreme GUI campaign exposed a launch-contract defect: Auto-contain armed the response tier but did not activate Purple Guard's fixed simulation detector pack. The report therefore recorded only 4/52 eligible detections. This was a real validation-path failure, not acceptable detector latency.</w:t>
      </w:r>
    </w:p>
    <w:p>
      <w:pPr>
        <w:pStyle w:val="ListBullet"/>
      </w:pPr>
      <w:r>
        <w:t>Corrected launch behavior: an Auto-contain Red Team run activates all 13 reviewed simulation-only technique signatures before the first marker is created. Activation preserves earlier signed candidate lineage and fails closed if the pack cannot be persisted.</w:t>
      </w:r>
    </w:p>
    <w:p>
      <w:pPr>
        <w:pStyle w:val="ListBullet"/>
      </w:pPr>
      <w:r>
        <w:t>Scope remains exact: the pack recognizes only inert _redteam_* artifacts in the dedicated or explicitly registered drill target and nonce-tagged idle processes. It does not convert suspicious filenames elsewhere into host-wide threat authority.</w:t>
      </w:r>
    </w:p>
    <w:p>
      <w:pPr>
        <w:pStyle w:val="ListBullet"/>
      </w:pPr>
      <w:r>
        <w:t>AAR correlation now prefers the exact Adversary Combat receipt with a verified postcondition over an earlier delegation wrapper. A real verified Combat receipt counts as both an applied action contract and a closure.</w:t>
      </w:r>
    </w:p>
    <w:p>
      <w:pPr>
        <w:pStyle w:val="ListBullet"/>
      </w:pPr>
      <w:r>
        <w:t>The first corrected live round achieved 52/52 detection but only 51/52 response and 12/13 closure, so the validator rejected it and automatically continued.</w:t>
      </w:r>
    </w:p>
    <w:p>
      <w:pPr>
        <w:pStyle w:val="ListBullet"/>
      </w:pPr>
      <w:r>
        <w:t>The second round, run redteam-1787697587-bf119f, achieved 52/52 detection, 52/52 automatic response, 13/13 action contracts, 13/13 verified closure, and a passing no-false-alert resilience control. Average detection was 0.57 seconds and average mitigation was 1.09 seconds.</w:t>
      </w:r>
    </w:p>
    <w:p>
      <w:pPr>
        <w:pStyle w:val="ListBullet"/>
      </w:pPr>
      <w:r>
        <w:t>Post-run cleanup verified 223 authenticated action records, zero active reversible actions, an empty journal error, zero recovery requirements, zero remaining drill markers, and zero tagged probe processes.</w:t>
      </w:r>
    </w:p>
    <w:p>
      <w:pPr>
        <w:pStyle w:val="ListBullet"/>
      </w:pPr>
      <w:r>
        <w:t>Regression evidence: 1,257 tests passed with three intentional platform skips; 308 Python files compiled; repository-wide Ruff checks passed; the headless application self-check passed 26/26; and 128 adversary-boundary negative controls passed before the live campaign.</w:t>
      </w:r>
    </w:p>
    <w:p>
      <w:pPr/>
      <w:r>
        <w:t>Interpretation limit: this proves 100% end-to-end handling of the defined 13-class, 52-step inert campaign. It is not a claim that any finite product detects every possible real-world threat.</w:t>
      </w:r>
    </w:p>
    <w:p>
      <w:pPr>
        <w:pStyle w:val="Heading2"/>
      </w:pPr>
      <w:r>
        <w:t>17.3 Tab-aware Settings code sandbox (2026-08-25)</w:t>
      </w:r>
    </w:p>
    <w:p>
      <w:pPr/>
      <w:r>
        <w:t>Every functional tab in Settings now exposes a tab-aware code-sandbox button. The button follows the selected tab, resolves its registered implementation files, opens isolated editable working copies, and places the editor at the corresponding tab-builder code.</w:t>
      </w:r>
    </w:p>
    <w:p>
      <w:pPr>
        <w:pStyle w:val="ListBullet"/>
      </w:pPr>
      <w:r>
        <w:t>Covered tabs: Overview, Information, General, System, Adversary Combat, Enterprise, ARIA, Trusted Processes, Mobile Integration, and API Keys.</w:t>
      </w:r>
    </w:p>
    <w:p>
      <w:pPr>
        <w:pStyle w:val="ListBullet"/>
      </w:pPr>
      <w:r>
        <w:t>Each sandbox includes the tab's related implementation files in a picker. For example, ARIA opens the Settings UI at _tab_aria and also exposes its assistant and configuration implementation files.</w:t>
      </w:r>
    </w:p>
    <w:p>
      <w:pPr>
        <w:pStyle w:val="ListBullet"/>
      </w:pPr>
      <w:r>
        <w:t>Check Syntax, Save Sandbox Copy, Reset Current Copy, and Reset All Sandbox Changes operate only on the private working copy. Installed Angerona code and live sensors are never rewritten or hot-loaded by this editor.</w:t>
      </w:r>
    </w:p>
    <w:p>
      <w:pPr>
        <w:pStyle w:val="ListBullet"/>
      </w:pPr>
      <w:r>
        <w:t>The Adversary Combat Settings topic now has a complete source mapping for its policy, action, receipt, history, and Undo implementation.</w:t>
      </w:r>
    </w:p>
    <w:p>
      <w:pPr>
        <w:pStyle w:val="ListBullet"/>
      </w:pPr>
      <w:r>
        <w:t>Verification: 49 focused Settings/UI regression tests passed; the full suite passed 1,258 tests with three intentional platform skips; Ruff and documentation-drift checks passed.</w:t>
      </w:r>
    </w:p>
    <w:p>
      <w:pPr>
        <w:pStyle w:val="Heading2"/>
      </w:pPr>
      <w:r>
        <w:t>17.4 v1.10.3 evidence and UI closure (2026-08-25)</w:t>
      </w:r>
    </w:p>
    <w:p>
      <w:pPr/>
      <w:r>
        <w:t>The highest-value researched evidence gap shipped as the App Control Decision Evidence sensor. Six adversarial design loops closed strict correlation, restart, privacy, clear/refill, and mid-checkpoint timing defects.</w:t>
      </w:r>
    </w:p>
    <w:p>
      <w:pPr/>
      <w:r>
        <w:t>The UI audit covered 46 construction paths, 46 tab sites, 244 button sites, 9 actions, 3 menus, and 32 Info topics. All 10 functional Settings tabs open their exact isolated sandbox sources; the focused UI gate passed 153/153.</w:t>
      </w:r>
    </w:p>
    <w:p>
      <w:pPr/>
      <w:r>
        <w:t>Final automated evidence is 1,305 passed and 3 intentional platform skips from 1,308 collected tests, 310/310 compiled product Python files, 68 modules with zero discovery errors, Ruff clean, and selfcheck 26/26.</w:t>
      </w:r>
    </w:p>
    <w:p>
      <w:pPr/>
      <w:r>
        <w:t>Limit: deterministic and read-only live-source evidence does not replace a physical Windows clear/rollover/restart/suspend-resume soak or independent real-world efficacy assessment.</w:t>
      </w:r>
    </w:p>
    <w:p>
      <w:pPr>
        <w:pStyle w:val="Heading2"/>
      </w:pPr>
      <w:r>
        <w:t>17.5 v1.10.3 state-grade defensive hardening (2026-08-26)</w:t>
      </w:r>
    </w:p>
    <w:p>
      <w:pPr/>
      <w:r>
        <w:t>Cycle 23 translates public advanced-operator tradecraft into actor-neutral defensive controls instead of an attribution engine. It adds SSH posture/key/tunnel observation, Windows audit-log clear and continuity evidence, hostile-by-default physical network evaluation, exact-path Personal Sentinel attestation, sanitized live defense activity, and governed ARIA Defense Memory.</w:t>
      </w:r>
    </w:p>
    <w:p>
      <w:pPr>
        <w:pStyle w:val="ListBullet"/>
      </w:pPr>
      <w:r>
        <w:t>Fifteen findings were fixed across three review rounds. The final Round 3 path-addition repair authenticates pending membership and requires active unchanged confirmation across restart before promotion.</w:t>
      </w:r>
    </w:p>
    <w:p>
      <w:pPr>
        <w:pStyle w:val="ListBullet"/>
      </w:pPr>
      <w:r>
        <w:t>Final automated evidence: 1,460 passed, five expected skips, zero failed from 1,465 tests across 208 files; 321 of 321 product files compiled; 71 of 71 modules discovered; Ruff and both 26 of 26 selfchecks passed.</w:t>
      </w:r>
    </w:p>
    <w:p>
      <w:pPr>
        <w:pStyle w:val="ListBullet"/>
      </w:pPr>
      <w:r>
        <w:t>Measured applied wins range from 90.9% to 99.4% in their declared bounded cases. Round 3 intentionally retained clearer direct security transitions when alternatives were negligible or slower.</w:t>
      </w:r>
    </w:p>
    <w:p>
      <w:pPr/>
      <w:r>
        <w:t>The separately administered monotonic authority remains deferred. Without it, authenticated local state is explicitly local-authenticity-only and not independently fresh. The Personal Sentinel client attests one path; it is not an appliance, router manager, firmware verifier, endpoint trust grant, or response authority.</w:t>
      </w:r>
    </w:p>
    <w:p>
      <w:pPr>
        <w:pStyle w:val="Heading2"/>
        <w:keepNext/>
      </w:pPr>
      <w:r>
        <w:t>17.6 v1.11.0 independent-trust hardening (2026-08-27)</w:t>
      </w:r>
    </w:p>
    <w:p>
      <w:pPr/>
      <w:r>
        <w:t>Cycle 24 adds independent-trust and continuity controls while preserving Angerona's observe, review, approve, execute, and verify boundaries. It does not add credential theft, intrusion, log deletion, attribution claims, or autonomous destructive remediation.</w:t>
      </w:r>
    </w:p>
    <w:p>
      <w:pPr>
        <w:pStyle w:val="ListBullet"/>
      </w:pPr>
      <w:r>
        <w:t>Authenticated producer identity, schema admission, sequence/loss accounting, SSH provenance, audit-log continuity, and recovery evidence expose gaps without claiming to reconstruct erased records.</w:t>
      </w:r>
    </w:p>
    <w:p>
      <w:pPr>
        <w:pStyle w:val="ListBullet"/>
      </w:pPr>
      <w:r>
        <w:t>Wi-Fi and Ethernet remain hostile-by-default. The Personal Sentinel reference authority attests an explicitly enrolled intermediate gateway path; it does not configure routers or grant endpoint, application, user, or response trust.</w:t>
      </w:r>
    </w:p>
    <w:p>
      <w:pPr>
        <w:pStyle w:val="ListBullet"/>
      </w:pPr>
      <w:r>
        <w:t>New defensive coverage includes identity/session and temporal correlation, measured boot, peripheral/DMA and driver provenance, process-bound egress, RAG provenance, trusted time, recovery assurance, update authority, and release transparency.</w:t>
      </w:r>
    </w:p>
    <w:p>
      <w:pPr>
        <w:pStyle w:val="ListBullet"/>
      </w:pPr>
      <w:r>
        <w:t>The dashboard's Live Defense Activity card shows only bounded, sanitized public EventBus records - never source code, secrets, private model reasoning, or chain of thought. ARIA Defense Memory v1.1.0 contains 18 pinned defensive references; an optional cloud fallback receives at most one ranked canonical redacted excerpt.</w:t>
      </w:r>
    </w:p>
    <w:p>
      <w:pPr>
        <w:pStyle w:val="ListBullet"/>
      </w:pPr>
      <w:r>
        <w:t>Public first installation is the signed x64 full-trust MSIX. The classic migration wrapper is non-public and prior-install-only; portable ZIPs are upgrade-only and require an installed verifier. Signing identity, protected keys, pinned compiler images, and enterprise distribution remain external deployment controls.</w:t>
      </w:r>
    </w:p>
    <w:p>
      <w:pPr>
        <w:pStyle w:val="ListBullet"/>
      </w:pPr>
      <w:r>
        <w:t>Final automated evidence: 1,675 collected across 229 test files; 1,670 passed, five expected host-capability skips, and zero failed. All 611 Python files compiled; Ruff, 26 application selfchecks, the 60-pass module harness, and discovery for 80 Windows, 14 Linux, and 13 macOS modules passed with zero discovery errors.</w:t>
      </w:r>
    </w:p>
    <w:p>
      <w:pPr/>
      <w:r>
        <w:t>These results are project evidence, not independent certification or proof against every administrator, kernel, firmware, hypervisor, supply-chain, identity, physical-access, or whole-host rollback attack.</w:t>
      </w:r>
    </w:p>
    <w:p>
      <w:pPr>
        <w:pStyle w:val="Heading1"/>
        <w:pageBreakBefore/>
      </w:pPr>
      <w:r>
        <w:t>Appendix A. Command reference</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800"/>
        <w:gridCol w:w="6560"/>
      </w:tblGrid>
      <w:tr>
        <w:trPr>
          <w:tblHeader w:val="true"/>
        </w:trPr>
        <w:tc>
          <w:tcPr>
            <w:tcW w:type="dxa" w:w="28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Task</w:t>
            </w:r>
          </w:p>
        </w:tc>
        <w:tc>
          <w:tcPr>
            <w:tcW w:type="dxa" w:w="65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Command</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Launch source install</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start-angerona.bat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Compile gate</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tools/compile_check.py</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Test suite</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pytest -q</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Lint</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-m ruff check src tests tools</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Application selfcheck</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tools/selfcheck.py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Batch selfcheck</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run-selfcheck.bat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ARIA self-tests</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python run_aria_selftests.py</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Combat validation</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run-adversary-combat-validation.bat</w:t>
            </w:r>
          </w:p>
        </w:tc>
      </w:tr>
      <w:tr>
        <w:tc>
          <w:tcPr>
            <w:tcW w:type="dxa" w:w="280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 reviewed Python</w:t>
            </w:r>
          </w:p>
        </w:tc>
        <w:tc>
          <w:tcPr>
            <w:tcW w:type="dxa" w:w="6560"/>
            <w:vAlign w:val="center"/>
            <w:tcMar>
              <w:top w:w="80" w:type="dxa"/>
              <w:bottom w:w="80" w:type="dxa"/>
              <w:start w:w="120" w:type="dxa"/>
              <w:end w:w="120" w:type="dxa"/>
            </w:tcMar>
          </w:tcPr>
          <w:p>
            <w:pPr>
              <w:spacing w:after="0" w:line="264" w:lineRule="auto"/>
            </w:pPr>
            <w:r>
              <w:rPr>
                <w:rFonts w:ascii="Calibri" w:hAnsi="Calibri" w:eastAsia="Calibri"/>
                <w:color w:val="243447"/>
                <w:sz w:val="18"/>
              </w:rPr>
              <w:t>Repair-Angerona-Python.bat</w:t>
            </w:r>
          </w:p>
        </w:tc>
      </w:tr>
      <w:tr>
        <w:tc>
          <w:tcPr>
            <w:tcW w:type="dxa" w:w="28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Stop suite-owned processes</w:t>
            </w:r>
          </w:p>
        </w:tc>
        <w:tc>
          <w:tcPr>
            <w:tcW w:type="dxa" w:w="65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kill-all-angerona.bat</w:t>
            </w:r>
          </w:p>
        </w:tc>
      </w:tr>
      <w:tr>
        <w:tc>
          <w:tcPr>
            <w:tcW w:type="dxa" w:w="2800"/>
            <w:shd w:fill="FAFBFC"/>
            <w:vAlign w:val="center"/>
            <w:tcMar>
              <w:top w:w="80" w:type="dxa"/>
              <w:bottom w:w="80" w:type="dxa"/>
              <w:start w:w="120" w:type="dxa"/>
              <w:end w:w="120" w:type="dxa"/>
            </w:tcMar>
          </w:tcPr>
          <w:p>
            <w:r>
              <w:t>Guarded GitHub push</w:t>
            </w:r>
          </w:p>
        </w:tc>
        <w:tc>
          <w:tcPr>
            <w:tcW w:type="dxa" w:w="6560"/>
            <w:shd w:fill="FAFBFC"/>
            <w:vAlign w:val="center"/>
            <w:tcMar>
              <w:top w:w="80" w:type="dxa"/>
              <w:bottom w:w="80" w:type="dxa"/>
              <w:start w:w="120" w:type="dxa"/>
              <w:end w:w="120" w:type="dxa"/>
            </w:tcMar>
          </w:tcPr>
          <w:p>
            <w:r>
              <w:t>push-to-github.bat</w:t>
            </w:r>
          </w:p>
        </w:tc>
      </w:tr>
      <w:tr>
        <w:tc>
          <w:tcPr>
            <w:tcW w:type="dxa" w:w="2800"/>
            <w:shd w:fill="FAFBFC"/>
            <w:vAlign w:val="center"/>
            <w:tcMar>
              <w:top w:w="80" w:type="dxa"/>
              <w:bottom w:w="80" w:type="dxa"/>
              <w:start w:w="120" w:type="dxa"/>
              <w:end w:w="120" w:type="dxa"/>
            </w:tcMar>
          </w:tcPr>
          <w:p>
            <w:r>
              <w:t>Guarded GitHub pull</w:t>
            </w:r>
          </w:p>
        </w:tc>
        <w:tc>
          <w:tcPr>
            <w:tcW w:type="dxa" w:w="6560"/>
            <w:shd w:fill="FAFBFC"/>
            <w:vAlign w:val="center"/>
            <w:tcMar>
              <w:top w:w="80" w:type="dxa"/>
              <w:bottom w:w="80" w:type="dxa"/>
              <w:start w:w="120" w:type="dxa"/>
              <w:end w:w="120" w:type="dxa"/>
            </w:tcMar>
          </w:tcPr>
          <w:p>
            <w:r>
              <w:t>pull-from-github.bat</w:t>
            </w:r>
          </w:p>
        </w:tc>
      </w:tr>
    </w:tbl>
    <w:p>
      <w:pPr>
        <w:spacing w:after="40"/>
      </w:pPr>
    </w:p>
    <w:p>
      <w:pPr>
        <w:pStyle w:val="Heading1"/>
      </w:pPr>
      <w:r>
        <w:t>Appendix B. Evidence sources</w:t>
      </w:r>
    </w:p>
    <w:p>
      <w:r>
        <w:rPr>
          <w:rFonts w:ascii="Calibri" w:hAnsi="Calibri" w:eastAsia="Calibri"/>
          <w:i w:val="0"/>
          <w:color w:val="243447"/>
        </w:rPr>
        <w:t>Repository evidence: analysis/loop/LOOP_LOG.md; analysis/loop/cycle23 and cycle24 research and round1-round3 findings, remediation, bug-test, performance, and visionary summaries; final Combat validation artifacts; and the current source/tests.</w:t>
      </w:r>
    </w:p>
    <w:p>
      <w:pPr>
        <w:numPr>
          <w:ilvl w:val="0"/>
          <w:numId w:val="10"/>
        </w:numPr>
      </w:pPr>
      <w:r>
        <w:rPr>
          <w:rFonts w:ascii="Calibri" w:hAnsi="Calibri" w:eastAsia="Calibri"/>
          <w:color w:val="243447"/>
        </w:rPr>
        <w:t>Microsoft Sysmon events: https://learn.microsoft.com/en-us/windows/security/operating-system-security/sysmon/sysmon-events</w:t>
      </w:r>
    </w:p>
    <w:p>
      <w:pPr>
        <w:numPr>
          <w:ilvl w:val="0"/>
          <w:numId w:val="10"/>
        </w:numPr>
      </w:pPr>
      <w:r>
        <w:rPr>
          <w:rFonts w:ascii="Calibri" w:hAnsi="Calibri" w:eastAsia="Calibri"/>
          <w:color w:val="243447"/>
        </w:rPr>
        <w:t>Microsoft Event Log bookmarks: https://learn.microsoft.com/en-us/windows/win32/wes/bookmarking-events</w:t>
      </w:r>
    </w:p>
    <w:p>
      <w:pPr>
        <w:numPr>
          <w:ilvl w:val="0"/>
          <w:numId w:val="10"/>
        </w:numPr>
      </w:pPr>
      <w:r>
        <w:rPr>
          <w:rFonts w:ascii="Calibri" w:hAnsi="Calibri" w:eastAsia="Calibri"/>
          <w:color w:val="243447"/>
        </w:rPr>
        <w:t>OCSF schema: https://github.com/ocsf/ocsf-schema</w:t>
      </w:r>
    </w:p>
    <w:p>
      <w:pPr>
        <w:numPr>
          <w:ilvl w:val="0"/>
          <w:numId w:val="10"/>
        </w:numPr>
      </w:pPr>
      <w:r>
        <w:rPr>
          <w:rFonts w:ascii="Calibri" w:hAnsi="Calibri" w:eastAsia="Calibri"/>
          <w:color w:val="243447"/>
        </w:rPr>
        <w:t>Sigma specification: https://sigmahq.io/sigma-specification/</w:t>
      </w:r>
    </w:p>
    <w:p>
      <w:pPr>
        <w:numPr>
          <w:ilvl w:val="0"/>
          <w:numId w:val="10"/>
        </w:numPr>
      </w:pPr>
      <w:r>
        <w:rPr>
          <w:rFonts w:ascii="Calibri" w:hAnsi="Calibri" w:eastAsia="Calibri"/>
          <w:color w:val="243447"/>
        </w:rPr>
        <w:t>Ollama API and model documentation: https://docs.ollama.com/</w:t>
      </w:r>
    </w:p>
    <w:p>
      <w:pPr>
        <w:numPr>
          <w:ilvl w:val="0"/>
          <w:numId w:val="10"/>
        </w:numPr>
      </w:pPr>
      <w:r>
        <w:rPr>
          <w:rFonts w:ascii="Calibri" w:hAnsi="Calibri" w:eastAsia="Calibri"/>
          <w:color w:val="243447"/>
        </w:rPr>
        <w:t>SLSA artifact verification: https://slsa.dev/spec/v1.2/verifying-artifacts</w:t>
      </w:r>
    </w:p>
    <w:p>
      <w:pPr>
        <w:numPr>
          <w:ilvl w:val="0"/>
          <w:numId w:val="10"/>
        </w:numPr>
      </w:pPr>
      <w:r>
        <w:rPr>
          <w:rFonts w:ascii="Calibri" w:hAnsi="Calibri" w:eastAsia="Calibri"/>
          <w:color w:val="243447"/>
        </w:rPr>
        <w:t>MITRE ATT&amp;CK: https://attack.mitre.org/</w:t>
      </w:r>
    </w:p>
    <w:p>
      <w:pPr>
        <w:numPr>
          <w:ilvl w:val="0"/>
          <w:numId w:val="10"/>
        </w:numPr>
      </w:pPr>
      <w:r>
        <w:rPr>
          <w:rFonts w:ascii="Calibri" w:hAnsi="Calibri" w:eastAsia="Calibri"/>
          <w:color w:val="243447"/>
        </w:rPr>
        <w:t>NIST incident response and continuous monitoring publications: https://csrc.nist.gov/publications</w:t>
      </w:r>
    </w:p>
    <w:p>
      <w:pPr>
        <w:numPr>
          <w:ilvl w:val="0"/>
          <w:numId w:val="10"/>
        </w:numPr>
      </w:pPr>
      <w:r>
        <w:rPr>
          <w:rFonts w:ascii="Calibri" w:hAnsi="Calibri" w:eastAsia="Calibri"/>
          <w:color w:val="243447"/>
        </w:rPr>
        <w:t>OASIS STIX/TAXII: https://oasis-open.github.io/cti-documentation/</w:t>
      </w:r>
    </w:p>
    <w:p>
      <w:pPr>
        <w:numPr>
          <w:ilvl w:val="0"/>
          <w:numId w:val="10"/>
        </w:numPr>
      </w:pPr>
      <w:r>
        <w:rPr>
          <w:rFonts w:ascii="Calibri" w:hAnsi="Calibri" w:eastAsia="Calibri"/>
          <w:color w:val="243447"/>
        </w:rPr>
        <w:t>YARA-X: https://virustotal.github.io/yara-x/</w:t>
      </w:r>
    </w:p>
    <w:p>
      <w:r>
        <w:rPr>
          <w:rFonts w:ascii="Calibri" w:hAnsi="Calibri" w:eastAsia="Calibri"/>
          <w:i w:val="0"/>
          <w:color w:val="243447"/>
        </w:rPr>
        <w:t>Comparison conclusions are Angerona-specific engineering inferences. External sources describe their own products and standards; they do not certify this project.</w:t>
      </w:r>
    </w:p>
    <w:p>
      <w:pPr>
        <w:pStyle w:val="Heading2"/>
      </w:pPr>
      <w:r>
        <w:t>B.1 Cycle 23 primary defensive sources</w:t>
      </w:r>
    </w:p>
    <w:p>
      <w:pPr/>
      <w:r>
        <w:t>CISA AA25-239A, network-device and SSH persistence: https://www.cisa.gov/news-events/cybersecurity-advisories/aa25-239a</w:t>
      </w:r>
    </w:p>
    <w:p>
      <w:pPr/>
      <w:r>
        <w:t>CISA AA24-038A, critical-infrastructure persistence and telemetry guidance: https://www.cisa.gov/sites/default/files/2024-03/aa24-038a_csa_prc_state_sponsored_actors_compromise_us_critical_infrastructure_3.pdf</w:t>
      </w:r>
    </w:p>
    <w:p>
      <w:pPr/>
      <w:r>
        <w:t>FBI/NSA 2026 router and DNS/DHCP risk advisory: https://www.ic3.gov/PSA/2026/PSA260407</w:t>
      </w:r>
    </w:p>
    <w:p>
      <w:pPr/>
      <w:r>
        <w:t>NSA Improve Router Hygiene: https://media.defense.gov/2026/Jul/09/2003959498/-1/-1/0/CSA_IMPROVE_ROUTER_HYGIENE.PDF</w:t>
      </w:r>
    </w:p>
    <w:p>
      <w:pPr/>
      <w:r>
        <w:t>NIST SP 800-207, Zero Trust Architecture: https://csrc.nist.gov/pubs/sp/800/207/final</w:t>
      </w:r>
    </w:p>
    <w:p>
      <w:pPr/>
      <w:r>
        <w:t>Microsoft OpenSSH Server configuration: https://learn.microsoft.com/en-us/windows-server/administration/openssh/openssh-server-configuration</w:t>
      </w:r>
    </w:p>
    <w:p>
      <w:pPr/>
      <w:r>
        <w:t>Microsoft OpenSSH verbose logging: https://learn.microsoft.com/en-us/troubleshoot/windows-server/system-management-components/enable-openssh-verbose-logging</w:t>
      </w:r>
    </w:p>
    <w:p>
      <w:pPr/>
      <w:r>
        <w:t>MITRE ATT&amp;CK T1070.001, Clear Windows Event Logs: https://attack.mitre.org/techniques/T1070/001/</w:t>
      </w:r>
    </w:p>
    <w:p>
      <w:pPr/>
      <w:r>
        <w:t>Microsoft BadPilot campaign analysis: https://www.microsoft.com/en-us/security/blog/2025/02/12/the-badpilot-campaign-seashell-blizzard-subgroup-conducts-multiyear-global-access-operation/</w:t>
      </w:r>
    </w:p>
    <w:p>
      <w:pPr/>
      <w:r>
        <w:t>These sources describe observable techniques and defensive priorities. A matching behavior is not proof of any agency, government, campaign, or operator.</w:t>
      </w:r>
    </w:p>
    <w:p>
      <w:pPr>
        <w:pStyle w:val="Heading1"/>
        <w:pageBreakBefore/>
      </w:pPr>
      <w:r>
        <w:t>Appendix C. Glossary</w:t>
      </w:r>
    </w:p>
    <w:tbl>
      <w:tblPr>
        <w:tblW w:type="dxa" w:w="9360"/>
        <w:tblLayout w:type="fixed"/>
        <w:tblLook w:firstColumn="1" w:firstRow="1" w:lastColumn="0" w:lastRow="0" w:noHBand="0" w:noVBand="1" w:val="04A0"/>
        <w:jc w:val="left"/>
        <w:tblInd w:w="120" w:type="dxa"/>
        <w:tblBorders>
          <w:top w:val="single" w:sz="4" w:color="C8D1DC"/>
          <w:left w:val="single" w:sz="4" w:color="C8D1DC"/>
          <w:bottom w:val="single" w:sz="4" w:color="C8D1DC"/>
          <w:right w:val="single" w:sz="4" w:color="C8D1DC"/>
          <w:insideH w:val="single" w:sz="4" w:color="C8D1DC"/>
          <w:insideV w:val="single" w:sz="4" w:color="C8D1DC"/>
        </w:tblBorders>
      </w:tblPr>
      <w:tblGrid>
        <w:gridCol w:w="2200"/>
        <w:gridCol w:w="7160"/>
      </w:tblGrid>
      <w:tr>
        <w:trPr>
          <w:tblHeader w:val="true"/>
        </w:trPr>
        <w:tc>
          <w:tcPr>
            <w:tcW w:type="dxa" w:w="220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Term</w:t>
            </w:r>
          </w:p>
        </w:tc>
        <w:tc>
          <w:tcPr>
            <w:tcW w:type="dxa" w:w="7160"/>
            <w:vAlign w:val="center"/>
            <w:tcMar>
              <w:top w:w="80" w:type="dxa"/>
              <w:bottom w:w="80" w:type="dxa"/>
              <w:start w:w="120" w:type="dxa"/>
              <w:end w:w="120" w:type="dxa"/>
            </w:tcMar>
            <w:shd w:fill="E8EEF5"/>
          </w:tcPr>
          <w:p>
            <w:pPr>
              <w:spacing w:after="0"/>
              <w:jc w:val="left"/>
            </w:pPr>
            <w:r>
              <w:rPr>
                <w:rFonts w:ascii="Calibri" w:hAnsi="Calibri" w:eastAsia="Calibri"/>
                <w:b/>
                <w:color w:val="0B2545"/>
                <w:sz w:val="19"/>
              </w:rPr>
              <w:t>Meaning in Angerona</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Admitted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A signed exact request passed policy and target checks; no success claim yet.</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Committed</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The journal recorded the post-action phase with valid chain integrity.</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Verified</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The expected observable postcondition was measured.</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Undo</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Exact reversal of a verified reversible action, followed by rollback verification.</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Response contract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Typed signed authority binding permitted actions and exact target identity.</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Observe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Collect or analyze evidence without native enforcement.</w:t>
            </w:r>
          </w:p>
        </w:tc>
      </w:tr>
      <w:tr>
        <w:tc>
          <w:tcPr>
            <w:tcW w:type="dxa" w:w="2200"/>
            <w:vAlign w:val="center"/>
            <w:tcMar>
              <w:top w:w="80" w:type="dxa"/>
              <w:bottom w:w="80" w:type="dxa"/>
              <w:start w:w="120" w:type="dxa"/>
              <w:end w:w="120" w:type="dxa"/>
            </w:tcMar>
          </w:tcPr>
          <w:p>
            <w:pPr>
              <w:spacing w:after="0" w:line="264" w:lineRule="auto"/>
            </w:pPr>
            <w:r>
              <w:rPr>
                <w:rFonts w:ascii="Calibri" w:hAnsi="Calibri" w:eastAsia="Calibri"/>
                <w:color w:val="243447"/>
                <w:sz w:val="18"/>
              </w:rPr>
              <w:t>Protect</w:t>
            </w:r>
          </w:p>
        </w:tc>
        <w:tc>
          <w:tcPr>
            <w:tcW w:type="dxa" w:w="7160"/>
            <w:vAlign w:val="center"/>
            <w:tcMar>
              <w:top w:w="80" w:type="dxa"/>
              <w:bottom w:w="80" w:type="dxa"/>
              <w:start w:w="120" w:type="dxa"/>
              <w:end w:w="120" w:type="dxa"/>
            </w:tcMar>
          </w:tcPr>
          <w:p>
            <w:pPr>
              <w:spacing w:after="0" w:line="264" w:lineRule="auto"/>
            </w:pPr>
            <w:r>
              <w:rPr>
                <w:rFonts w:ascii="Calibri" w:hAnsi="Calibri" w:eastAsia="Calibri"/>
                <w:color w:val="243447"/>
                <w:sz w:val="18"/>
              </w:rPr>
              <w:t>Supported detection and governed response path for the platform.</w:t>
            </w:r>
          </w:p>
        </w:tc>
      </w:tr>
      <w:tr>
        <w:tc>
          <w:tcPr>
            <w:tcW w:type="dxa" w:w="220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Expected inactive</w:t>
            </w:r>
          </w:p>
        </w:tc>
        <w:tc>
          <w:tcPr>
            <w:tcW w:type="dxa" w:w="7160"/>
            <w:shd w:fill="FAFBFC"/>
            <w:vAlign w:val="center"/>
            <w:tcMar>
              <w:top w:w="80" w:type="dxa"/>
              <w:bottom w:w="80" w:type="dxa"/>
              <w:start w:w="120" w:type="dxa"/>
              <w:end w:w="120" w:type="dxa"/>
            </w:tcMar>
          </w:tcPr>
          <w:p>
            <w:pPr>
              <w:spacing w:after="0" w:line="264" w:lineRule="auto"/>
            </w:pPr>
            <w:r>
              <w:rPr>
                <w:rFonts w:ascii="Calibri" w:hAnsi="Calibri" w:eastAsia="Calibri"/>
                <w:color w:val="243447"/>
                <w:sz w:val="18"/>
              </w:rPr>
              <w:t>A deliberate stopped, unarmed, unavailable optional-service, or platform state; not a genuine self-test defect.</w:t>
            </w:r>
          </w:p>
        </w:tc>
      </w:tr>
    </w:tbl>
    <w:p>
      <w:pPr>
        <w:spacing w:after="40"/>
      </w:pPr>
    </w:p>
    <w:sectPr w:rsidR="00FC693F" w:rsidRPr="0006063C" w:rsidSect="00034616">
      <w:headerReference w:type="default" r:id="rId9"/>
      <w:footerReference w:type="default" r:id="rId10"/>
      <w:footerReference w:type="first" r:id="rId11"/>
      <w:headerReference w:type="first" r:id="rId12"/>
      <w:headerReference w:type="even" r:id="rId13"/>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ayout w:type="fixed"/>
      <w:tblLook w:firstColumn="1" w:firstRow="1" w:lastColumn="0" w:lastRow="0" w:noHBand="0" w:noVBand="1" w:val="04A0"/>
    </w:tblPr>
    <w:tblGrid>
      <w:gridCol w:w="7920"/>
      <w:gridCol w:w="1440"/>
    </w:tblGrid>
    <w:tr>
      <w:tc>
        <w:tcPr>
          <w:tcW w:type="dxa" w:w="4680"/>
          <w:tcMar>
            <w:top w:w="0" w:type="dxa"/>
            <w:bottom w:w="0" w:type="dxa"/>
            <w:start w:w="0" w:type="dxa"/>
            <w:end w:w="0" w:type="dxa"/>
          </w:tcMar>
        </w:tcPr>
        <w:p>
          <w:pPr>
            <w:jc w:val="left"/>
          </w:pPr>
          <w:r>
            <w:rPr>
              <w:rFonts w:ascii="Calibri" w:hAnsi="Calibri" w:eastAsia="Calibri"/>
              <w:color w:val="667085"/>
              <w:sz w:val="17"/>
            </w:rPr>
            <w:t>Local-first defensive security reference</w:t>
          </w:r>
        </w:p>
      </w:tc>
      <w:tc>
        <w:tcPr>
          <w:tcW w:type="dxa" w:w="4680"/>
          <w:tcMar>
            <w:top w:w="0" w:type="dxa"/>
            <w:bottom w:w="0" w:type="dxa"/>
            <w:start w:w="0" w:type="dxa"/>
            <w:end w:w="0" w:type="dxa"/>
          </w:tcMar>
        </w:tcPr>
        <w:p>
          <w:pPr>
            <w:jc w:val="right"/>
          </w:pPr>
          <w:r>
            <w:rPr>
              <w:rFonts w:ascii="Calibri" w:hAnsi="Calibri" w:eastAsia="Calibri"/>
              <w:color w:val="667085"/>
              <w:sz w:val="17"/>
            </w:rPr>
            <w:t xml:space="preserve">Page </w:t>
          </w:r>
          <w:r>
            <w:rPr>
              <w:rFonts w:ascii="Calibri" w:hAnsi="Calibri" w:eastAsia="Calibri"/>
              <w:color w:val="667085"/>
              <w:sz w:val="18"/>
            </w:rPr>
            <w:fldChar w:fldCharType="begin"/>
            <w:instrText xml:space="preserve"> PAGE </w:instrText>
            <w:fldChar w:fldCharType="separate"/>
            <w:t>1</w:t>
            <w:fldChar w:fldCharType="end"/>
          </w:r>
        </w:p>
      </w:tc>
    </w:tr>
  </w:tbl>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color w:val="667085"/>
        <w:sz w:val="17"/>
      </w:rPr>
      <w:t>Angerona Suite  |  v1.11.0  |  27 August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Calibri"/>
        <w:b/>
        <w:color w:val="667085"/>
        <w:sz w:val="17"/>
      </w:rPr>
      <w:t>ANGERONA  |  MASTER MANUAL  |  v1.11.0</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after="80" w:line="300" w:lineRule="auto"/>
      </w:pPr>
      <w:rPr>
        <w:rFonts w:ascii="Symbol" w:hAnsi="Symbol"/>
      </w:rPr>
    </w:lvl>
  </w:abstractNum>
  <w:num w:numId="10">
    <w:abstractNumId w:val="9"/>
  </w:num>
  <w:abstractNum w:abstractNumId="10">
    <w:multiLevelType w:val="singleLevel"/>
    <w:lvl w:ilvl="0">
      <w:start w:val="1"/>
      <w:numFmt w:val="decimal"/>
      <w:lvlText w:val="%1."/>
      <w:lvlJc w:val="left"/>
      <w:pPr>
        <w:tabs>
          <w:tab w:val="num" w:pos="540"/>
        </w:tabs>
        <w:ind w:left="540" w:hanging="270"/>
        <w:spacing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color w:val="24344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Kicker">
    <w:name w:val="Cover Kicker"/>
    <w:pPr>
      <w:spacing w:after="360"/>
      <w:jc w:val="center"/>
    </w:pPr>
    <w:rPr>
      <w:rFonts w:ascii="Calibri" w:hAnsi="Calibri"/>
      <w:b/>
      <w:color w:val="C58B2A"/>
      <w:sz w:val="20"/>
    </w:rPr>
  </w:style>
  <w:style w:type="paragraph" w:customStyle="1" w:styleId="TableCitation">
    <w:name w:val="Table Citation"/>
    <w:pPr>
      <w:spacing w:before="80" w:after="80"/>
    </w:pPr>
    <w:rPr>
      <w:rFonts w:ascii="Calibri" w:hAnsi="Calibri"/>
      <w:i/>
      <w:color w:val="667085"/>
      <w:sz w:val="17"/>
    </w:rPr>
  </w:style>
  <w:style w:type="paragraph" w:customStyle="1" w:styleId="CodeBlock">
    <w:name w:val="Code Block"/>
    <w:pPr>
      <w:spacing w:before="60" w:after="120" w:line="252" w:lineRule="auto"/>
      <w:ind w:left="360" w:right="216"/>
    </w:pPr>
    <w:rPr>
      <w:rFonts w:ascii="Consolas" w:hAnsi="Consolas"/>
      <w:color w:val="0B254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Angerona Master Manual</dc:title>
  <dc:subject>v1.11.0 operator reference with Cycle 24 independent-trust hardening</dc:subject>
  <dc:creator>Angerona Project</dc:creator>
  <cp:keywords>Angerona, EDR, NDR, SOAR, DFIR, Adversary Combat, ARIA, Ollama</cp:keywords>
  <dc:description>Canonical manual minimally updated 27 August 2026; actor-neutral defensive evidence.</dc:description>
  <cp:lastModifiedBy/>
  <cp:revision>1</cp:revision>
  <dcterms:created xsi:type="dcterms:W3CDTF">2026-08-25T00:00:00Z</dcterms:created>
  <dcterms:modified xsi:type="dcterms:W3CDTF">2026-08-25T18:54:20Z</dcterms:modified>
  <cp:category/>
</cp:coreProperties>
</file>