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v1.15.0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30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1.15.0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v1.15.0 source maintenance. Current validation: analysis/hardening-v1.15-2026-10-30.md.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analysis/hardening-v1.15-2026-10-30.md;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spacing w:before="0" w:after="20" w:line="240" w:lineRule="auto"/>
      </w:pPr>
      <w:r>
        <w:rPr>
          <w:rFonts w:ascii="Calibri" w:hAnsi="Calibri" w:eastAsia="Calibri"/>
          <w:color w:val="243447"/>
          <w:sz w:val="19"/>
        </w:rPr>
        <w:t>1. Quick start and operating posture</w:t>
      </w:r>
    </w:p>
    <w:p>
      <w:pPr>
        <w:spacing w:before="0" w:after="20" w:line="240" w:lineRule="auto"/>
      </w:pPr>
      <w:r>
        <w:rPr>
          <w:rFonts w:ascii="Calibri" w:hAnsi="Calibri" w:eastAsia="Calibri"/>
          <w:color w:val="243447"/>
          <w:sz w:val="19"/>
        </w:rPr>
        <w:t>2. Product boundary and platform support</w:t>
      </w:r>
    </w:p>
    <w:p>
      <w:pPr>
        <w:spacing w:before="0" w:after="20" w:line="240" w:lineRule="auto"/>
      </w:pPr>
      <w:r>
        <w:rPr>
          <w:rFonts w:ascii="Calibri" w:hAnsi="Calibri" w:eastAsia="Calibri"/>
          <w:color w:val="243447"/>
          <w:sz w:val="19"/>
        </w:rPr>
        <w:t>3. Architecture and trust flow</w:t>
      </w:r>
    </w:p>
    <w:p>
      <w:pPr>
        <w:spacing w:before="0" w:after="20" w:line="240" w:lineRule="auto"/>
      </w:pPr>
      <w:r>
        <w:rPr>
          <w:rFonts w:ascii="Calibri" w:hAnsi="Calibri" w:eastAsia="Calibri"/>
          <w:color w:val="243447"/>
          <w:sz w:val="19"/>
        </w:rPr>
        <w:t>4. Installation, launch, data, and secrets</w:t>
      </w:r>
    </w:p>
    <w:p>
      <w:pPr>
        <w:spacing w:before="0" w:after="20" w:line="240" w:lineRule="auto"/>
      </w:pPr>
      <w:r>
        <w:rPr>
          <w:rFonts w:ascii="Calibri" w:hAnsi="Calibri" w:eastAsia="Calibri"/>
          <w:color w:val="243447"/>
          <w:sz w:val="19"/>
        </w:rPr>
        <w:t>5. Operator interface and menu map</w:t>
      </w:r>
    </w:p>
    <w:p>
      <w:pPr>
        <w:spacing w:before="0" w:after="20" w:line="240" w:lineRule="auto"/>
      </w:pPr>
      <w:r>
        <w:rPr>
          <w:rFonts w:ascii="Calibri" w:hAnsi="Calibri" w:eastAsia="Calibri"/>
          <w:color w:val="243447"/>
          <w:sz w:val="19"/>
        </w:rPr>
        <w:t>6. Detection, evidence, and interoperability</w:t>
      </w:r>
    </w:p>
    <w:p>
      <w:pPr>
        <w:spacing w:before="0" w:after="20" w:line="240" w:lineRule="auto"/>
      </w:pPr>
      <w:r>
        <w:rPr>
          <w:rFonts w:ascii="Calibri" w:hAnsi="Calibri" w:eastAsia="Calibri"/>
          <w:color w:val="243447"/>
          <w:sz w:val="19"/>
        </w:rPr>
        <w:t>7. Adversary Combat - autonomous response</w:t>
      </w:r>
    </w:p>
    <w:p>
      <w:pPr>
        <w:spacing w:before="0" w:after="20" w:line="240" w:lineRule="auto"/>
      </w:pPr>
      <w:r>
        <w:rPr>
          <w:rFonts w:ascii="Calibri" w:hAnsi="Calibri" w:eastAsia="Calibri"/>
          <w:color w:val="243447"/>
          <w:sz w:val="19"/>
        </w:rPr>
        <w:t>8. SOAR, manual action, and response receipts</w:t>
      </w:r>
    </w:p>
    <w:p>
      <w:pPr>
        <w:spacing w:before="0" w:after="20" w:line="240" w:lineRule="auto"/>
      </w:pPr>
      <w:r>
        <w:rPr>
          <w:rFonts w:ascii="Calibri" w:hAnsi="Calibri" w:eastAsia="Calibri"/>
          <w:color w:val="243447"/>
          <w:sz w:val="19"/>
        </w:rPr>
        <w:t>9. ARIA, Ollama, and governed model packs</w:t>
      </w:r>
    </w:p>
    <w:p>
      <w:pPr>
        <w:spacing w:before="0" w:after="20" w:line="240" w:lineRule="auto"/>
      </w:pPr>
      <w:r>
        <w:rPr>
          <w:rFonts w:ascii="Calibri" w:hAnsi="Calibri" w:eastAsia="Calibri"/>
          <w:color w:val="243447"/>
          <w:sz w:val="19"/>
        </w:rPr>
        <w:t>10. Host Adaptation, resilience, and resource governance</w:t>
      </w:r>
    </w:p>
    <w:p>
      <w:pPr>
        <w:spacing w:before="0" w:after="20" w:line="240" w:lineRule="auto"/>
      </w:pPr>
      <w:r>
        <w:rPr>
          <w:rFonts w:ascii="Calibri" w:hAnsi="Calibri" w:eastAsia="Calibri"/>
          <w:color w:val="243447"/>
          <w:sz w:val="19"/>
        </w:rPr>
        <w:t>11. Red Team, Shark Attack, and After-Action Reports</w:t>
      </w:r>
    </w:p>
    <w:p>
      <w:pPr>
        <w:spacing w:before="0" w:after="20" w:line="240" w:lineRule="auto"/>
      </w:pPr>
      <w:r>
        <w:rPr>
          <w:rFonts w:ascii="Calibri" w:hAnsi="Calibri" w:eastAsia="Calibri"/>
          <w:color w:val="243447"/>
          <w:sz w:val="19"/>
        </w:rPr>
        <w:t>12. Recovery, Undo, and emergency handling</w:t>
      </w:r>
    </w:p>
    <w:p>
      <w:pPr>
        <w:spacing w:before="0" w:after="20" w:line="240" w:lineRule="auto"/>
      </w:pPr>
      <w:r>
        <w:rPr>
          <w:rFonts w:ascii="Calibri" w:hAnsi="Calibri" w:eastAsia="Calibri"/>
          <w:color w:val="243447"/>
          <w:sz w:val="19"/>
        </w:rPr>
        <w:t>13. Validation and release evidence</w:t>
      </w:r>
    </w:p>
    <w:p>
      <w:pPr>
        <w:spacing w:before="0" w:after="20" w:line="240" w:lineRule="auto"/>
      </w:pPr>
      <w:r>
        <w:rPr>
          <w:rFonts w:ascii="Calibri" w:hAnsi="Calibri" w:eastAsia="Calibri"/>
          <w:color w:val="243447"/>
          <w:sz w:val="19"/>
        </w:rPr>
        <w:t>14. Performance evidence</w:t>
      </w:r>
    </w:p>
    <w:p>
      <w:pPr>
        <w:spacing w:before="0" w:after="20" w:line="240" w:lineRule="auto"/>
      </w:pPr>
      <w:r>
        <w:rPr>
          <w:rFonts w:ascii="Calibri" w:hAnsi="Calibri" w:eastAsia="Calibri"/>
          <w:color w:val="243447"/>
          <w:sz w:val="19"/>
        </w:rPr>
        <w:t>15. Security posture, limits, and external gates</w:t>
      </w:r>
    </w:p>
    <w:p>
      <w:pPr>
        <w:spacing w:before="0" w:after="20" w:line="240" w:lineRule="auto"/>
      </w:pPr>
      <w:r>
        <w:rPr>
          <w:rFonts w:ascii="Calibri" w:hAnsi="Calibri" w:eastAsia="Calibri"/>
          <w:color w:val="243447"/>
          <w:sz w:val="19"/>
        </w:rPr>
        <w:t>16. Project positioning and resume value</w:t>
      </w:r>
    </w:p>
    <w:p>
      <w:pPr>
        <w:spacing w:before="0" w:after="20" w:line="240" w:lineRule="auto"/>
      </w:pPr>
      <w:r>
        <w:rPr>
          <w:rFonts w:ascii="Calibri" w:hAnsi="Calibri" w:eastAsia="Calibri"/>
          <w:color w:val="243447"/>
          <w:sz w:val="19"/>
        </w:rPr>
        <w:t>17. Version history and changelog</w:t>
      </w:r>
    </w:p>
    <w:p>
      <w:p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v1.15.0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rPr>
          <w:color w:val="000000"/>
          <w:sz w:val="22"/>
        </w:rPr>
        <w:t xml:space="preserve">Historical v1.14 reference route: docs/releases/v1.14-security-integration.md and analysis/live-debug-2026-10-22 retain that integration's dated scope and validation. For current v1.15 implementation, validation and unresolved limits, use docs/releases/v1.15.0.md, analysis/hardening-v1.15-2026-10-30.md and the current security-flow chapter. docs/live-debug-harness.md and the Live debug and AI review chapter provide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000"/>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000"/>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000"/>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000"/>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000"/>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01"/>
        </w:numPr>
      </w:pPr>
      <w:r>
        <w:rPr>
          <w:rFonts w:ascii="Calibri" w:hAnsi="Calibri" w:eastAsia="Calibri"/>
          <w:color w:val="243447"/>
        </w:rPr>
        <w:t>Advanced Windows home-lab and self-hosted endpoint defense.</w:t>
      </w:r>
    </w:p>
    <w:p>
      <w:pPr>
        <w:numPr>
          <w:ilvl w:val="0"/>
          <w:numId w:val="1001"/>
        </w:numPr>
      </w:pPr>
      <w:r>
        <w:rPr>
          <w:rFonts w:ascii="Calibri" w:hAnsi="Calibri" w:eastAsia="Calibri"/>
          <w:color w:val="243447"/>
        </w:rPr>
        <w:t>Blue-team, SOC, DFIR, detection-engineering, and ATT&amp;CK learning.</w:t>
      </w:r>
    </w:p>
    <w:p>
      <w:pPr>
        <w:numPr>
          <w:ilvl w:val="0"/>
          <w:numId w:val="1001"/>
        </w:numPr>
      </w:pPr>
      <w:r>
        <w:rPr>
          <w:rFonts w:ascii="Calibri" w:hAnsi="Calibri" w:eastAsia="Calibri"/>
          <w:color w:val="243447"/>
        </w:rPr>
        <w:t>Safe purple-team validation with reversible defensive markers.</w:t>
      </w:r>
    </w:p>
    <w:p>
      <w:pPr>
        <w:numPr>
          <w:ilvl w:val="0"/>
          <w:numId w:val="1001"/>
        </w:numPr>
      </w:pPr>
      <w:r>
        <w:rPr>
          <w:rFonts w:ascii="Calibri" w:hAnsi="Calibri" w:eastAsia="Calibri"/>
          <w:color w:val="243447"/>
        </w:rPr>
        <w:t>Research on local AI, typed authority, signed evidence, response receipts, and recovery.</w:t>
      </w:r>
    </w:p>
    <w:p>
      <w:pPr>
        <w:numPr>
          <w:ilvl w:val="0"/>
          <w:numId w:val="1001"/>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02"/>
        </w:numPr>
      </w:pPr>
      <w:r>
        <w:rPr>
          <w:rFonts w:ascii="Calibri" w:hAnsi="Calibri" w:eastAsia="Calibri"/>
          <w:color w:val="243447"/>
        </w:rPr>
        <w:t>No offensive payloads, exploit generation, credential theft, evasion, remote scanning, attack infrastructure, or hack-back.</w:t>
      </w:r>
    </w:p>
    <w:p>
      <w:pPr>
        <w:numPr>
          <w:ilvl w:val="0"/>
          <w:numId w:val="1002"/>
        </w:numPr>
      </w:pPr>
      <w:r>
        <w:rPr>
          <w:rFonts w:ascii="Calibri" w:hAnsi="Calibri" w:eastAsia="Calibri"/>
          <w:color w:val="243447"/>
        </w:rPr>
        <w:t>No arbitrary response shell or model-authored host mutation.</w:t>
      </w:r>
    </w:p>
    <w:p>
      <w:pPr>
        <w:numPr>
          <w:ilvl w:val="0"/>
          <w:numId w:val="1002"/>
        </w:numPr>
      </w:pPr>
      <w:r>
        <w:rPr>
          <w:rFonts w:ascii="Calibri" w:hAnsi="Calibri" w:eastAsia="Calibri"/>
          <w:color w:val="243447"/>
        </w:rPr>
        <w:t>No downloaded executable skill, bulk unreviewed community artifact, insecure model pull, or unsigned kernel component.</w:t>
      </w:r>
    </w:p>
    <w:p>
      <w:pPr>
        <w:numPr>
          <w:ilvl w:val="0"/>
          <w:numId w:val="1002"/>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03"/>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03"/>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03"/>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03"/>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numPr>
          <w:ilvl w:val="0"/>
          <w:numId w:val="1004"/>
        </w:numPr>
      </w:pPr>
      <w:r>
        <w:t>Every active non-loopback physical Wi-Fi or Ethernet path starts untrusted. Private addressing, an operating-system network category, and a familiar wireless name are context, not identity.</w:t>
      </w:r>
    </w:p>
    <w:p>
      <w:pPr>
        <w:pStyle w:val="ListBullet"/>
        <w:numPr>
          <w:ilvl w:val="0"/>
          <w:numId w:val="1004"/>
        </w:numPr>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numPr>
          <w:ilvl w:val="0"/>
          <w:numId w:val="1004"/>
        </w:numPr>
      </w:pPr>
      <w:r>
        <w:t>A verified gateway labels only that exact path as gateway-attested. It never trusts applications, users, destination resources, firmware, the upstream router, or the Internet, and it grants no response authority.</w:t>
      </w:r>
    </w:p>
    <w:p>
      <w:pPr>
        <w:pStyle w:val="ListBullet"/>
        <w:numPr>
          <w:ilvl w:val="0"/>
          <w:numId w:val="1004"/>
        </w:numPr>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005"/>
        </w:numPr>
      </w:pPr>
      <w:r>
        <w:rPr>
          <w:rFonts w:ascii="Calibri" w:hAnsi="Calibri" w:eastAsia="Calibri"/>
          <w:color w:val="243447"/>
        </w:rPr>
        <w:t>Download the signed x64 full-trust MSIX and its exact SHA-256 and provenance records from the tagged release.</w:t>
      </w:r>
    </w:p>
    <w:p>
      <w:pPr>
        <w:numPr>
          <w:ilvl w:val="0"/>
          <w:numId w:val="1005"/>
        </w:numPr>
      </w:pPr>
      <w:r>
        <w:rPr>
          <w:rFonts w:ascii="Calibri" w:hAnsi="Calibri" w:eastAsia="Calibri"/>
          <w:color w:val="243447"/>
        </w:rPr>
        <w:t>Confirm the exact digest and expected Windows package publisher; refuse unsigned, unexpected-publisher, or unprovisioned builds.</w:t>
      </w:r>
    </w:p>
    <w:p>
      <w:pPr>
        <w:numPr>
          <w:ilvl w:val="0"/>
          <w:numId w:val="1005"/>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005"/>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numPr>
          <w:ilvl w:val="0"/>
          <w:numId w:val="1006"/>
        </w:numPr>
      </w:pPr>
      <w:r>
        <w:t>Host Adaptation tables sort by typed severity and numeric risk. Double-click opens the complete bounded JSON record without changing state.</w:t>
      </w:r>
    </w:p>
    <w:p>
      <w:pPr>
        <w:pStyle w:val="ListBullet"/>
        <w:numPr>
          <w:ilvl w:val="0"/>
          <w:numId w:val="1006"/>
        </w:numPr>
      </w:pPr>
      <w:r>
        <w:t>Live Alerts and event detail show available governed paths and evidence fields. A displayed path is context, not automatic permission to open, execute, delete, quarantine, or remediate it.</w:t>
      </w:r>
    </w:p>
    <w:p>
      <w:pPr>
        <w:pStyle w:val="ListBullet"/>
        <w:numPr>
          <w:ilvl w:val="0"/>
          <w:numId w:val="1006"/>
        </w:numPr>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07"/>
        </w:numPr>
      </w:pPr>
      <w:r>
        <w:rPr>
          <w:rFonts w:ascii="Calibri" w:hAnsi="Calibri" w:eastAsia="Calibri"/>
          <w:color w:val="243447"/>
        </w:rPr>
        <w:t>ETW process creation and bounded PID/name state, with live-process fallback and PID-reuse handling.</w:t>
      </w:r>
    </w:p>
    <w:p>
      <w:pPr>
        <w:numPr>
          <w:ilvl w:val="0"/>
          <w:numId w:val="1007"/>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08"/>
        </w:numPr>
      </w:pPr>
      <w:r>
        <w:rPr>
          <w:rFonts w:ascii="Calibri" w:hAnsi="Calibri" w:eastAsia="Calibri"/>
          <w:color w:val="243447"/>
        </w:rPr>
        <w:t>Windows Security, Defender, AMSI, WMI/CIM, WFP, service, driver, USB, and recovery-state sources when available and configured.</w:t>
      </w:r>
    </w:p>
    <w:p>
      <w:pPr>
        <w:numPr>
          <w:ilvl w:val="0"/>
          <w:numId w:val="1008"/>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09"/>
        </w:numPr>
      </w:pPr>
      <w:r>
        <w:rPr>
          <w:rFonts w:ascii="Calibri" w:hAnsi="Calibri" w:eastAsia="Calibri"/>
          <w:color w:val="243447"/>
        </w:rPr>
        <w:t>Community ID v1 provides deterministic five-tuple identity across native, Suricata, and Zeek records when complete tuple data exists.</w:t>
      </w:r>
    </w:p>
    <w:p>
      <w:pPr>
        <w:numPr>
          <w:ilvl w:val="0"/>
          <w:numId w:val="1009"/>
        </w:numPr>
      </w:pPr>
      <w:r>
        <w:rPr>
          <w:rFonts w:ascii="Calibri" w:hAnsi="Calibri" w:eastAsia="Calibri"/>
          <w:color w:val="243447"/>
        </w:rPr>
        <w:t>OCSF 1.8 maps supported observations, findings, and remediation activity while preserving honest unsupported or lossy fields.</w:t>
      </w:r>
    </w:p>
    <w:p>
      <w:pPr>
        <w:numPr>
          <w:ilvl w:val="0"/>
          <w:numId w:val="1009"/>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numPr>
          <w:ilvl w:val="0"/>
          <w:numId w:val="1010"/>
        </w:numPr>
      </w:pPr>
      <w:r>
        <w:t>Windows OpenSSH evidence uses fixed Admin and Operational channels and fixed event identities, with bounded retry, source reopen, recovery-tail inspection, and an honest retained warning after blind intervals.</w:t>
      </w:r>
    </w:p>
    <w:p>
      <w:pPr>
        <w:pStyle w:val="ListBullet"/>
        <w:numPr>
          <w:ilvl w:val="0"/>
          <w:numId w:val="1010"/>
        </w:numPr>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numPr>
          <w:ilvl w:val="0"/>
          <w:numId w:val="1011"/>
        </w:numPr>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numPr>
          <w:ilvl w:val="0"/>
          <w:numId w:val="1011"/>
        </w:numPr>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numPr>
          <w:ilvl w:val="0"/>
          <w:numId w:val="1012"/>
        </w:numPr>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numPr>
          <w:ilvl w:val="0"/>
          <w:numId w:val="1012"/>
        </w:numPr>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013"/>
        </w:numPr>
      </w:pPr>
      <w:r>
        <w:rPr>
          <w:rFonts w:ascii="Calibri" w:hAnsi="Calibri" w:eastAsia="Calibri"/>
          <w:color w:val="243447"/>
        </w:rPr>
        <w:t>Admission revalidates policy, event freshness, signature, exact target, allowed action, and protected boundaries.</w:t>
      </w:r>
    </w:p>
    <w:p>
      <w:pPr>
        <w:numPr>
          <w:ilvl w:val="0"/>
          <w:numId w:val="1013"/>
        </w:numPr>
      </w:pPr>
      <w:r>
        <w:rPr>
          <w:rFonts w:ascii="Calibri" w:hAnsi="Calibri" w:eastAsia="Calibri"/>
          <w:color w:val="243447"/>
        </w:rPr>
        <w:t>A durable fsynced intent is appended before the host mutation.</w:t>
      </w:r>
    </w:p>
    <w:p>
      <w:pPr>
        <w:numPr>
          <w:ilvl w:val="0"/>
          <w:numId w:val="1013"/>
        </w:numPr>
      </w:pPr>
      <w:r>
        <w:rPr>
          <w:rFonts w:ascii="Calibri" w:hAnsi="Calibri" w:eastAsia="Calibri"/>
          <w:color w:val="243447"/>
        </w:rPr>
        <w:t>The target is revalidated at the last safe point; Windows file operations pin and recheck path components.</w:t>
      </w:r>
    </w:p>
    <w:p>
      <w:pPr>
        <w:numPr>
          <w:ilvl w:val="0"/>
          <w:numId w:val="1013"/>
        </w:numPr>
      </w:pPr>
      <w:r>
        <w:rPr>
          <w:rFonts w:ascii="Calibri" w:hAnsi="Calibri" w:eastAsia="Calibri"/>
          <w:color w:val="243447"/>
        </w:rPr>
        <w:t>The action executes using a closed adapter, not arbitrary shell text.</w:t>
      </w:r>
    </w:p>
    <w:p>
      <w:pPr>
        <w:numPr>
          <w:ilvl w:val="0"/>
          <w:numId w:val="1013"/>
        </w:numPr>
      </w:pPr>
      <w:r>
        <w:rPr>
          <w:rFonts w:ascii="Calibri" w:hAnsi="Calibri" w:eastAsia="Calibri"/>
          <w:color w:val="243447"/>
        </w:rPr>
        <w:t>A postcondition is measured. Success is committed only when the expected state is observed.</w:t>
      </w:r>
    </w:p>
    <w:p>
      <w:pPr>
        <w:numPr>
          <w:ilvl w:val="0"/>
          <w:numId w:val="1013"/>
        </w:numPr>
      </w:pPr>
      <w:r>
        <w:rPr>
          <w:rFonts w:ascii="Calibri" w:hAnsi="Calibri" w:eastAsia="Calibri"/>
          <w:color w:val="243447"/>
        </w:rPr>
        <w:t>A signed receipt carries the event/action/queue identity and result. Duplicate work is idempotent.</w:t>
      </w:r>
    </w:p>
    <w:p>
      <w:pPr>
        <w:numPr>
          <w:ilvl w:val="0"/>
          <w:numId w:val="1013"/>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14"/>
        </w:numPr>
      </w:pPr>
      <w:r>
        <w:rPr>
          <w:rFonts w:ascii="Calibri" w:hAnsi="Calibri" w:eastAsia="Calibri"/>
          <w:color w:val="243447"/>
        </w:rPr>
        <w:t>Match the exact queue request ID, event/action identity, and trusted Combat producer.</w:t>
      </w:r>
    </w:p>
    <w:p>
      <w:pPr>
        <w:numPr>
          <w:ilvl w:val="0"/>
          <w:numId w:val="1014"/>
        </w:numPr>
      </w:pPr>
      <w:r>
        <w:rPr>
          <w:rFonts w:ascii="Calibri" w:hAnsi="Calibri" w:eastAsia="Calibri"/>
          <w:color w:val="243447"/>
        </w:rPr>
        <w:t>Require a valid signed receipt; unsigned lookalikes cannot close the queue.</w:t>
      </w:r>
    </w:p>
    <w:p>
      <w:pPr>
        <w:numPr>
          <w:ilvl w:val="0"/>
          <w:numId w:val="1014"/>
        </w:numPr>
      </w:pPr>
      <w:r>
        <w:rPr>
          <w:rFonts w:ascii="Calibri" w:hAnsi="Calibri" w:eastAsia="Calibri"/>
          <w:color w:val="243447"/>
        </w:rPr>
        <w:t>Preserve SUBMITTED as terminal for the submission step while separately displaying verified success, failure, or timeout.</w:t>
      </w:r>
    </w:p>
    <w:p>
      <w:pPr>
        <w:numPr>
          <w:ilvl w:val="0"/>
          <w:numId w:val="1014"/>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15"/>
        </w:numPr>
      </w:pPr>
      <w:r>
        <w:rPr>
          <w:rFonts w:ascii="Calibri" w:hAnsi="Calibri" w:eastAsia="Calibri"/>
          <w:color w:val="243447"/>
        </w:rPr>
        <w:t>ARIA uses registered typed tools and evidence-aware runbook retrieval; arbitrary shell is not a tool.</w:t>
      </w:r>
    </w:p>
    <w:p>
      <w:pPr>
        <w:numPr>
          <w:ilvl w:val="0"/>
          <w:numId w:val="1015"/>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15"/>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15"/>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numPr>
          <w:ilvl w:val="0"/>
          <w:numId w:val="1016"/>
        </w:numPr>
      </w:pPr>
      <w:r>
        <w:t>Enroll Recovery Baseline stores one exclusive, host-bound, authenticated, digest-verified complete Windows Firewall policy; it cannot silently replace the anchor.</w:t>
      </w:r>
    </w:p>
    <w:p>
      <w:pPr>
        <w:pStyle w:val="ListBullet"/>
        <w:numPr>
          <w:ilvl w:val="0"/>
          <w:numId w:val="1016"/>
        </w:numPr>
      </w:pPr>
      <w:r>
        <w:t>Restore snapshots pre-state, journals the action, verifies exact firewall state, and compensates or declares recovery-required.</w:t>
      </w:r>
    </w:p>
    <w:p>
      <w:pPr>
        <w:pStyle w:val="ListBullet"/>
        <w:numPr>
          <w:ilvl w:val="0"/>
          <w:numId w:val="1016"/>
        </w:numPr>
      </w:pPr>
      <w:r>
        <w:t>Safe automatic checkup audits once and simulates every profile without writes; it never remediates unattended.</w:t>
      </w:r>
    </w:p>
    <w:p>
      <w:pPr>
        <w:pStyle w:val="ListBullet"/>
        <w:numPr>
          <w:ilvl w:val="0"/>
          <w:numId w:val="1016"/>
        </w:numPr>
      </w:pPr>
      <w:r>
        <w:t>The baseline restores only firewall policy; hardware, services, ports, and network context remain observational.</w:t>
      </w:r>
    </w:p>
    <w:p>
      <w:pPr>
        <w:pStyle w:val="Heading2"/>
      </w:pPr>
      <w:r>
        <w:t>10.2 Resilience</w:t>
      </w:r>
    </w:p>
    <w:p>
      <w:pPr>
        <w:numPr>
          <w:ilvl w:val="0"/>
          <w:numId w:val="1017"/>
        </w:numPr>
      </w:pPr>
      <w:r>
        <w:rPr>
          <w:rFonts w:ascii="Calibri" w:hAnsi="Calibri" w:eastAsia="Calibri"/>
          <w:color w:val="243447"/>
        </w:rPr>
        <w:t>Watchdog and supervisor use bounded restart/backoff and safe mode, never uncontrolled loops.</w:t>
      </w:r>
    </w:p>
    <w:p>
      <w:pPr>
        <w:numPr>
          <w:ilvl w:val="0"/>
          <w:numId w:val="1017"/>
        </w:numPr>
      </w:pPr>
      <w:r>
        <w:rPr>
          <w:rFonts w:ascii="Calibri" w:hAnsi="Calibri" w:eastAsia="Calibri"/>
          <w:color w:val="243447"/>
        </w:rPr>
        <w:t>Event and storage lanes are bounded, batch safely, and fall back durably when queues saturate.</w:t>
      </w:r>
    </w:p>
    <w:p>
      <w:pPr>
        <w:numPr>
          <w:ilvl w:val="0"/>
          <w:numId w:val="1017"/>
        </w:numPr>
      </w:pPr>
      <w:r>
        <w:rPr>
          <w:rFonts w:ascii="Calibri" w:hAnsi="Calibri" w:eastAsia="Calibri"/>
          <w:color w:val="243447"/>
        </w:rPr>
        <w:t>Source Sandbox is inert and path-confined; it rejects installers and never hot-reloads production code.</w:t>
      </w:r>
    </w:p>
    <w:p>
      <w:pPr>
        <w:numPr>
          <w:ilvl w:val="0"/>
          <w:numId w:val="1017"/>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018"/>
        </w:numPr>
      </w:pPr>
      <w:r>
        <w:rPr>
          <w:rFonts w:ascii="Calibri" w:hAnsi="Calibri" w:eastAsia="Calibri"/>
          <w:color w:val="243447"/>
        </w:rPr>
        <w:t>Choose intensity and campaign mode, then record the run ID and starting state.</w:t>
      </w:r>
    </w:p>
    <w:p>
      <w:pPr>
        <w:numPr>
          <w:ilvl w:val="0"/>
          <w:numId w:val="1018"/>
        </w:numPr>
      </w:pPr>
      <w:r>
        <w:rPr>
          <w:rFonts w:ascii="Calibri" w:hAnsi="Calibri" w:eastAsia="Calibri"/>
          <w:color w:val="243447"/>
        </w:rPr>
        <w:t>Execute the non-destructive ATT&amp;CK stages while sensors and response paths remain active.</w:t>
      </w:r>
    </w:p>
    <w:p>
      <w:pPr>
        <w:numPr>
          <w:ilvl w:val="0"/>
          <w:numId w:val="1018"/>
        </w:numPr>
      </w:pPr>
      <w:r>
        <w:rPr>
          <w:rFonts w:ascii="Calibri" w:hAnsi="Calibri" w:eastAsia="Calibri"/>
          <w:color w:val="243447"/>
        </w:rPr>
        <w:t>Review the AAR timeline, raw catches, correlated actions, signed receipts, verified closures, and cleanup state.</w:t>
      </w:r>
    </w:p>
    <w:p>
      <w:pPr>
        <w:numPr>
          <w:ilvl w:val="0"/>
          <w:numId w:val="1018"/>
        </w:numPr>
      </w:pPr>
      <w:r>
        <w:rPr>
          <w:rFonts w:ascii="Calibri" w:hAnsi="Calibri" w:eastAsia="Calibri"/>
          <w:color w:val="243447"/>
        </w:rPr>
        <w:t>Apply only exact deterministic Purple Guard candidates or vetted genuine-host remediation.</w:t>
      </w:r>
    </w:p>
    <w:p>
      <w:pPr>
        <w:numPr>
          <w:ilvl w:val="0"/>
          <w:numId w:val="1018"/>
        </w:numPr>
      </w:pPr>
      <w:r>
        <w:rPr>
          <w:rFonts w:ascii="Calibri" w:hAnsi="Calibri" w:eastAsia="Calibri"/>
          <w:color w:val="243447"/>
        </w:rPr>
        <w:t>Run a fresh technique-bound campaign. Only fresh evidence closes a gap; a later miss reopens it.</w:t>
      </w:r>
    </w:p>
    <w:p>
      <w:pPr>
        <w:numPr>
          <w:ilvl w:val="0"/>
          <w:numId w:val="1018"/>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019"/>
        </w:numPr>
      </w:pPr>
      <w:r>
        <w:rPr>
          <w:rFonts w:ascii="Calibri" w:hAnsi="Calibri" w:eastAsia="Calibri"/>
          <w:color w:val="243447"/>
        </w:rPr>
        <w:t>Open Adversary Combat Action History and filter to verified reversible actions.</w:t>
      </w:r>
    </w:p>
    <w:p>
      <w:pPr>
        <w:numPr>
          <w:ilvl w:val="0"/>
          <w:numId w:val="1019"/>
        </w:numPr>
      </w:pPr>
      <w:r>
        <w:rPr>
          <w:rFonts w:ascii="Calibri" w:hAnsi="Calibri" w:eastAsia="Calibri"/>
          <w:color w:val="243447"/>
        </w:rPr>
        <w:t>Select one exact action or choose Undo all. Review target, action, origin, and current state.</w:t>
      </w:r>
    </w:p>
    <w:p>
      <w:pPr>
        <w:numPr>
          <w:ilvl w:val="0"/>
          <w:numId w:val="1019"/>
        </w:numPr>
      </w:pPr>
      <w:r>
        <w:rPr>
          <w:rFonts w:ascii="Calibri" w:hAnsi="Calibri" w:eastAsia="Calibri"/>
          <w:color w:val="243447"/>
        </w:rPr>
        <w:t>Submit Undo. Combat revalidates journal integrity and current target constraints before reversal.</w:t>
      </w:r>
    </w:p>
    <w:p>
      <w:pPr>
        <w:numPr>
          <w:ilvl w:val="0"/>
          <w:numId w:val="1019"/>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numPr>
          <w:ilvl w:val="0"/>
          <w:numId w:val="1020"/>
        </w:numPr>
      </w:pPr>
      <w:r>
        <w:t>Configuration and Settings changes are atomic or compensated; alert identity is stable; analysis work is bounded to two active and six queued jobs.</w:t>
      </w:r>
    </w:p>
    <w:p>
      <w:pPr>
        <w:pStyle w:val="ListBullet"/>
        <w:numPr>
          <w:ilvl w:val="0"/>
          <w:numId w:val="1020"/>
        </w:numPr>
      </w:pPr>
      <w:r>
        <w:t>Durable integration outboxes, atomic Intel Sync replacement, typed persistence completeness, and explicit cancellation preserve failure truth across restart.</w:t>
      </w:r>
    </w:p>
    <w:p>
      <w:pPr>
        <w:pStyle w:val="ListBullet"/>
        <w:numPr>
          <w:ilvl w:val="0"/>
          <w:numId w:val="1020"/>
        </w:numPr>
      </w:pPr>
      <w:r>
        <w:t>Allow/Undo is scoped and expiring, SOAR archive is recoverable, and remediation binds exact process birth, driver prior state, and firewall identity.</w:t>
      </w:r>
    </w:p>
    <w:p>
      <w:pPr>
        <w:pStyle w:val="ListBullet"/>
        <w:numPr>
          <w:ilvl w:val="0"/>
          <w:numId w:val="1020"/>
        </w:numPr>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numPr>
          <w:ilvl w:val="0"/>
          <w:numId w:val="1021"/>
        </w:numPr>
      </w:pPr>
      <w:r>
        <w:t>The authoritative serial suite passed 1,811 tests with six expected host/platform capability skips and zero failures.</w:t>
      </w:r>
    </w:p>
    <w:p>
      <w:pPr>
        <w:pStyle w:val="ListBullet"/>
        <w:numPr>
          <w:ilvl w:val="0"/>
          <w:numId w:val="1021"/>
        </w:numPr>
      </w:pPr>
      <w:r>
        <w:t>All 346 product Python files compiled. Ruff passed; 82 module files imported; 64 register hooks validated; 80 capabilities discovered with zero errors or duplicates; the inventory contains 61 unique capability codes.</w:t>
      </w:r>
    </w:p>
    <w:p>
      <w:pPr>
        <w:pStyle w:val="ListBullet"/>
        <w:numPr>
          <w:ilvl w:val="0"/>
          <w:numId w:val="1021"/>
        </w:numPr>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22"/>
        </w:numPr>
      </w:pPr>
      <w:r>
        <w:rPr>
          <w:rFonts w:ascii="Calibri" w:hAnsi="Calibri" w:eastAsia="Calibri"/>
          <w:color w:val="243447"/>
        </w:rPr>
        <w:t>Durable exporter batch commits remain proposed until crash, ordering, partial-acknowledgement, and replay equivalence are proven.</w:t>
      </w:r>
    </w:p>
    <w:p>
      <w:pPr>
        <w:numPr>
          <w:ilvl w:val="0"/>
          <w:numId w:val="1022"/>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pPr>
        <w:pStyle w:val="Normal"/>
        <w:spacing w:after="120" w:line="264" w:lineRule="auto"/>
      </w:pPr>
      <w:r>
        <w:rPr>
          <w:color w:val="000000"/>
          <w:sz w:val="22"/>
        </w:rPr>
        <w:t xml:space="preserve">Historical pre-1.15 scope: R6-03 was a defense-in-depth proposal to retain an OS process handle and bounded executable identity lease across the complete program-firewall action. That proposal is superseded by the 1.15 retained process, executable and ancestor transaction custody described in the current hardening chapter. The earlier October compensation fix retains its dated scope: unverified reversal remains in recovery. Neither change establishes original mapped-image proof, PID-bound socket admission or complete host-mutation safety.</w:t>
      </w:r>
    </w:p>
    <w:p>
      <w:pPr>
        <w:pStyle w:val="Heading2"/>
      </w:pPr>
      <w:r>
        <w:t>15.2 External acceptance gates</w:t>
      </w:r>
    </w:p>
    <w:p>
      <w:pPr>
        <w:numPr>
          <w:ilvl w:val="0"/>
          <w:numId w:val="1023"/>
        </w:numPr>
      </w:pPr>
      <w:r>
        <w:rPr>
          <w:rFonts w:ascii="Calibri" w:hAnsi="Calibri" w:eastAsia="Calibri"/>
          <w:color w:val="243447"/>
        </w:rPr>
        <w:t>Long elevated interactive soak with all sensors and Ollama enabled.</w:t>
      </w:r>
    </w:p>
    <w:p>
      <w:pPr>
        <w:numPr>
          <w:ilvl w:val="0"/>
          <w:numId w:val="1023"/>
        </w:numPr>
      </w:pPr>
      <w:r>
        <w:rPr>
          <w:rFonts w:ascii="Calibri" w:hAnsi="Calibri" w:eastAsia="Calibri"/>
          <w:color w:val="243447"/>
        </w:rPr>
        <w:t>Physical sleep/resume and power-interruption recovery exercises.</w:t>
      </w:r>
    </w:p>
    <w:p>
      <w:pPr>
        <w:numPr>
          <w:ilvl w:val="0"/>
          <w:numId w:val="1023"/>
        </w:numPr>
      </w:pPr>
      <w:r>
        <w:rPr>
          <w:rFonts w:ascii="Calibri" w:hAnsi="Calibri" w:eastAsia="Calibri"/>
          <w:color w:val="243447"/>
        </w:rPr>
        <w:t>Clean-machine install, upgrade, downgrade refusal, rollback, and uninstall matrices.</w:t>
      </w:r>
    </w:p>
    <w:p>
      <w:pPr>
        <w:numPr>
          <w:ilvl w:val="0"/>
          <w:numId w:val="1023"/>
        </w:numPr>
      </w:pPr>
      <w:r>
        <w:rPr>
          <w:rFonts w:ascii="Calibri" w:hAnsi="Calibri" w:eastAsia="Calibri"/>
          <w:color w:val="243447"/>
        </w:rPr>
        <w:t>Publisher signing/notarization and native Linux/macOS release execution.</w:t>
      </w:r>
    </w:p>
    <w:p>
      <w:pPr>
        <w:numPr>
          <w:ilvl w:val="0"/>
          <w:numId w:val="1023"/>
        </w:numPr>
      </w:pPr>
      <w:r>
        <w:rPr>
          <w:rFonts w:ascii="Calibri" w:hAnsi="Calibri" w:eastAsia="Calibri"/>
          <w:color w:val="243447"/>
        </w:rPr>
        <w:t>Fleet-scale throughput, multi-host operational testing, and third-party false-positive/efficacy evaluation.</w:t>
      </w:r>
    </w:p>
    <w:p>
      <w:pPr>
        <w:numPr>
          <w:ilvl w:val="0"/>
          <w:numId w:val="1023"/>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numPr>
          <w:ilvl w:val="0"/>
          <w:numId w:val="1024"/>
        </w:numPr>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numPr>
          <w:ilvl w:val="0"/>
          <w:numId w:val="1024"/>
        </w:numPr>
      </w:pPr>
      <w:r>
        <w:t>Built as contracts but not a deployed independent service: compact witness receipt verification and the IndependentHighWater interface with rollback, fork, clone, outage, migration, and crash tests.</w:t>
      </w:r>
    </w:p>
    <w:p>
      <w:pPr>
        <w:pStyle w:val="ListBullet"/>
        <w:numPr>
          <w:ilvl w:val="0"/>
          <w:numId w:val="1024"/>
        </w:numPr>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numPr>
          <w:ilvl w:val="0"/>
          <w:numId w:val="1024"/>
        </w:numPr>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r>
        <w:trPr>
          <w:cantSplit/>
        </w:trPr>
        <w:tc>
          <w:tcPr>
            <w:tcW w:w="2200" w:type="dxa"/>
            <w:shd w:fill="FFFFFF"/>
            <w:vAlign w:val="center"/>
          </w:tcPr>
          <w:p>
            <w:pPr>
              <w:pStyle w:val="Normal"/>
              <w:spacing w:after="120" w:line="264" w:lineRule="auto"/>
            </w:pPr>
            <w:r>
              <w:rPr>
                <w:color w:val="000000"/>
                <w:sz w:val="19"/>
              </w:rPr>
              <w:t xml:space="preserve">1.15.0</w:t>
            </w:r>
          </w:p>
        </w:tc>
        <w:tc>
          <w:tcPr>
            <w:tcW w:w="7160" w:type="dxa"/>
            <w:shd w:fill="FFFFFF"/>
            <w:vAlign w:val="center"/>
          </w:tcPr>
          <w:p>
            <w:pPr>
              <w:pStyle w:val="Normal"/>
              <w:spacing w:after="120" w:line="264" w:lineRule="auto"/>
            </w:pPr>
            <w:r>
              <w:rPr>
                <w:color w:val="000000"/>
                <w:sz w:val="19"/>
              </w:rPr>
              <w:t xml:space="preserve">Telemetry assurance and WER precursor correlation; retained containment identity; independent recorder history and freshness; installed service admission; governed driver policy; bounded servicing/TPM verification. Source validation and native/hardware deployment remain separate.</w:t>
            </w:r>
          </w:p>
        </w:tc>
      </w:tr>
    </w:tbl>
    <w:p>
      <w:pPr>
        <w:spacing w:after="40"/>
      </w:pPr>
    </w:p>
    <w:p>
      <w:pPr>
        <w:pStyle w:val="Heading2"/>
      </w:pPr>
      <w:r>
        <w:t>17.1 v1.10.2 loop disposition</w:t>
      </w:r>
    </w:p>
    <w:p>
      <w:pPr>
        <w:numPr>
          <w:ilvl w:val="0"/>
          <w:numId w:val="1025"/>
        </w:numPr>
      </w:pPr>
      <w:r>
        <w:rPr>
          <w:rFonts w:ascii="Calibri" w:hAnsi="Calibri" w:eastAsia="Calibri"/>
          <w:color w:val="243447"/>
        </w:rPr>
        <w:t>Research ranked current open-source and standards gaps without claiming parity. Built items are separated from proposals.</w:t>
      </w:r>
    </w:p>
    <w:p>
      <w:pPr>
        <w:numPr>
          <w:ilvl w:val="0"/>
          <w:numId w:val="1025"/>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25"/>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25"/>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numPr>
          <w:ilvl w:val="0"/>
          <w:numId w:val="1026"/>
        </w:numPr>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numPr>
          <w:ilvl w:val="0"/>
          <w:numId w:val="1026"/>
        </w:numPr>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numPr>
          <w:ilvl w:val="0"/>
          <w:numId w:val="1026"/>
        </w:numPr>
      </w:pPr>
      <w:r>
        <w:t>AAR correlation now prefers the exact Adversary Combat receipt with a verified postcondition over an earlier delegation wrapper. A real verified Combat receipt counts as both an applied action contract and a closure.</w:t>
      </w:r>
    </w:p>
    <w:p>
      <w:pPr>
        <w:pStyle w:val="ListBullet"/>
        <w:numPr>
          <w:ilvl w:val="0"/>
          <w:numId w:val="1026"/>
        </w:numPr>
      </w:pPr>
      <w:r>
        <w:t>The first corrected live round achieved 52/52 detection but only 51/52 response and 12/13 closure, so the validator rejected it and automatically continued.</w:t>
      </w:r>
    </w:p>
    <w:p>
      <w:pPr>
        <w:pStyle w:val="ListBullet"/>
        <w:numPr>
          <w:ilvl w:val="0"/>
          <w:numId w:val="1026"/>
        </w:numPr>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numPr>
          <w:ilvl w:val="0"/>
          <w:numId w:val="1026"/>
        </w:numPr>
      </w:pPr>
      <w:r>
        <w:t>Post-run cleanup verified 223 authenticated action records, zero active reversible actions, an empty journal error, zero recovery requirements, zero remaining drill markers, and zero tagged probe processes.</w:t>
      </w:r>
    </w:p>
    <w:p>
      <w:pPr>
        <w:pStyle w:val="ListBullet"/>
        <w:numPr>
          <w:ilvl w:val="0"/>
          <w:numId w:val="1026"/>
        </w:numPr>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numPr>
          <w:ilvl w:val="0"/>
          <w:numId w:val="1027"/>
        </w:numPr>
      </w:pPr>
      <w:r>
        <w:t>Covered tabs: Overview, Information, General, System, Adversary Combat, Enterprise, ARIA, Trusted Processes, Mobile Integration, and API Keys.</w:t>
      </w:r>
    </w:p>
    <w:p>
      <w:pPr>
        <w:pStyle w:val="ListBullet"/>
        <w:numPr>
          <w:ilvl w:val="0"/>
          <w:numId w:val="1027"/>
        </w:numPr>
      </w:pPr>
      <w:r>
        <w:t>Each sandbox includes the tab's related implementation files in a picker. For example, ARIA opens the Settings UI at _tab_aria and also exposes its assistant and configuration implementation files.</w:t>
      </w:r>
    </w:p>
    <w:p>
      <w:pPr>
        <w:pStyle w:val="ListBullet"/>
        <w:numPr>
          <w:ilvl w:val="0"/>
          <w:numId w:val="1027"/>
        </w:numPr>
      </w:pPr>
      <w:r>
        <w:t>Check Syntax, Save Sandbox Copy, Reset Current Copy, and Reset All Sandbox Changes operate only on the private working copy. Installed Angerona code and live sensors are never rewritten or hot-loaded by this editor.</w:t>
      </w:r>
    </w:p>
    <w:p>
      <w:pPr>
        <w:pStyle w:val="ListBullet"/>
        <w:numPr>
          <w:ilvl w:val="0"/>
          <w:numId w:val="1027"/>
        </w:numPr>
      </w:pPr>
      <w:r>
        <w:t>The Adversary Combat Settings topic now has a complete source mapping for its policy, action, receipt, history, and Undo implementation.</w:t>
      </w:r>
    </w:p>
    <w:p>
      <w:pPr>
        <w:pStyle w:val="ListBullet"/>
        <w:numPr>
          <w:ilvl w:val="0"/>
          <w:numId w:val="1027"/>
        </w:numPr>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numPr>
          <w:ilvl w:val="0"/>
          <w:numId w:val="1028"/>
        </w:numPr>
      </w:pPr>
      <w:r>
        <w:t>Fifteen findings were fixed across three review rounds. The final Round 3 path-addition repair authenticates pending membership and requires active unchanged confirmation across restart before promotion.</w:t>
      </w:r>
    </w:p>
    <w:p>
      <w:pPr>
        <w:pStyle w:val="ListBullet"/>
        <w:numPr>
          <w:ilvl w:val="0"/>
          <w:numId w:val="1028"/>
        </w:numPr>
      </w:pPr>
      <w:r>
        <w:t>Final automated evidence: 1,460 passed, five expected skips, zero failed from 1,465 tests across 208 files; 321 of 321 product files compiled; 71 of 71 modules discovered; Ruff and both 26 of 26 selfchecks passed.</w:t>
      </w:r>
    </w:p>
    <w:p>
      <w:pPr>
        <w:pStyle w:val="ListBullet"/>
        <w:numPr>
          <w:ilvl w:val="0"/>
          <w:numId w:val="1028"/>
        </w:numPr>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numPr>
          <w:ilvl w:val="0"/>
          <w:numId w:val="1029"/>
        </w:numPr>
      </w:pPr>
      <w:r>
        <w:t>Authenticated producer identity, schema admission, sequence/loss accounting, SSH provenance, audit-log continuity, and recovery evidence expose gaps without claiming to reconstruct erased records.</w:t>
      </w:r>
    </w:p>
    <w:p>
      <w:pPr>
        <w:pStyle w:val="ListBullet"/>
        <w:numPr>
          <w:ilvl w:val="0"/>
          <w:numId w:val="1029"/>
        </w:numPr>
      </w:pPr>
      <w:r>
        <w:t>Wi-Fi and Ethernet remain hostile-by-default. The Personal Sentinel reference authority attests an explicitly enrolled intermediate gateway path; it does not configure routers or grant endpoint, application, user, or response trust.</w:t>
      </w:r>
    </w:p>
    <w:p>
      <w:pPr>
        <w:pStyle w:val="ListBullet"/>
        <w:numPr>
          <w:ilvl w:val="0"/>
          <w:numId w:val="1029"/>
        </w:numPr>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numPr>
          <w:ilvl w:val="0"/>
          <w:numId w:val="1029"/>
        </w:numPr>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numPr>
          <w:ilvl w:val="0"/>
          <w:numId w:val="1029"/>
        </w:numPr>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numPr>
          <w:ilvl w:val="0"/>
          <w:numId w:val="1029"/>
        </w:numPr>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numPr>
          <w:ilvl w:val="0"/>
          <w:numId w:val="1030"/>
        </w:numPr>
      </w:pPr>
      <w:r>
        <w:t>Guided Auto Adapt consolidates audit, profile choice, baseline, plan, and simulation. Safe automatic checkup simulates every profile without writes; apply remains separately approved and proposal-only.</w:t>
      </w:r>
    </w:p>
    <w:p>
      <w:pPr>
        <w:pStyle w:val="ListBullet"/>
        <w:numPr>
          <w:ilvl w:val="0"/>
          <w:numId w:val="1030"/>
        </w:numPr>
      </w:pPr>
      <w:r>
        <w:t>Capability, module, adaptation, context, live activity, alert, and path surfaces provide searchable, sortable, clickable read-only detail.</w:t>
      </w:r>
    </w:p>
    <w:p>
      <w:pPr>
        <w:pStyle w:val="ListBullet"/>
        <w:numPr>
          <w:ilvl w:val="0"/>
          <w:numId w:val="1030"/>
        </w:numPr>
      </w:pPr>
      <w:r>
        <w:t>All 80 capabilities receive operational contracts and health snapshots: five native contracts and 75 explicit compatibility adapters.</w:t>
      </w:r>
    </w:p>
    <w:p>
      <w:pPr>
        <w:pStyle w:val="ListBullet"/>
        <w:numPr>
          <w:ilvl w:val="0"/>
          <w:numId w:val="1030"/>
        </w:numPr>
      </w:pPr>
      <w:r>
        <w:t>Durable outboxes, atomic Intel Sync, typed persistence completeness, exact tuner approvals, protected IPC secrets, and identity-bound remediation improve restart and failure safety.</w:t>
      </w:r>
    </w:p>
    <w:p>
      <w:pPr>
        <w:pStyle w:val="ListBullet"/>
        <w:numPr>
          <w:ilvl w:val="0"/>
          <w:numId w:val="1030"/>
        </w:numPr>
      </w:pPr>
      <w:r>
        <w:t>Standards truth is pinned to ATT&amp;CK 19.2, Navigator 5.3.2/layer 4.5, typed OCSF 1.8, and atomic Sigma admission/refusal.</w:t>
      </w:r>
    </w:p>
    <w:p>
      <w:pPr>
        <w:pStyle w:val="ListBullet"/>
        <w:numPr>
          <w:ilvl w:val="0"/>
          <w:numId w:val="1030"/>
        </w:numPr>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numPr>
          <w:ilvl w:val="0"/>
          <w:numId w:val="1031"/>
        </w:numPr>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numPr>
          <w:ilvl w:val="0"/>
          <w:numId w:val="1031"/>
        </w:numPr>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numPr>
          <w:ilvl w:val="0"/>
          <w:numId w:val="1031"/>
        </w:numPr>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numPr>
          <w:ilvl w:val="0"/>
          <w:numId w:val="1031"/>
        </w:numPr>
      </w:pPr>
      <w:r>
        <w:t>Adversarial closure: 31 initial findings (11 High, 18 Medium, 2 Low) were fixed; independent re-attacks found 15 additional bypasses, all fixed. The final bounded gates found no reopened issue.</w:t>
      </w:r>
    </w:p>
    <w:p>
      <w:pPr>
        <w:pStyle w:val="ListBullet"/>
        <w:numPr>
          <w:ilvl w:val="0"/>
          <w:numId w:val="1031"/>
        </w:numPr>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numPr>
          <w:ilvl w:val="0"/>
          <w:numId w:val="1031"/>
        </w:numPr>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numPr>
          <w:ilvl w:val="0"/>
          <w:numId w:val="1032"/>
        </w:numPr>
      </w:pPr>
      <w:r>
        <w:t>Round 1 closed repository-wide canvas exposure, legacy detection governance bypass, detached runtime ownership, multi-package eviction, and an unbound Fleet monitor. AegisPath gained immutable path/node indexes.</w:t>
      </w:r>
    </w:p>
    <w:p>
      <w:pPr>
        <w:pStyle w:val="ListBullet"/>
        <w:numPr>
          <w:ilvl w:val="0"/>
          <w:numId w:val="1032"/>
        </w:numPr>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numPr>
          <w:ilvl w:val="0"/>
          <w:numId w:val="1032"/>
        </w:numPr>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33"/>
        </w:numPr>
      </w:pPr>
      <w:r>
        <w:rPr>
          <w:rFonts w:ascii="Calibri" w:hAnsi="Calibri" w:eastAsia="Calibri"/>
          <w:color w:val="243447"/>
        </w:rPr>
        <w:t>Microsoft Sysmon events: https://learn.microsoft.com/en-us/windows/security/operating-system-security/sysmon/sysmon-events</w:t>
      </w:r>
    </w:p>
    <w:p>
      <w:pPr>
        <w:numPr>
          <w:ilvl w:val="0"/>
          <w:numId w:val="1033"/>
        </w:numPr>
      </w:pPr>
      <w:r>
        <w:rPr>
          <w:rFonts w:ascii="Calibri" w:hAnsi="Calibri" w:eastAsia="Calibri"/>
          <w:color w:val="243447"/>
        </w:rPr>
        <w:t>Microsoft Event Log bookmarks: https://learn.microsoft.com/en-us/windows/win32/wes/bookmarking-events</w:t>
      </w:r>
    </w:p>
    <w:p>
      <w:pPr>
        <w:numPr>
          <w:ilvl w:val="0"/>
          <w:numId w:val="1033"/>
        </w:numPr>
      </w:pPr>
      <w:r>
        <w:rPr>
          <w:rFonts w:ascii="Calibri" w:hAnsi="Calibri" w:eastAsia="Calibri"/>
          <w:color w:val="243447"/>
        </w:rPr>
        <w:t>OCSF schema: https://github.com/ocsf/ocsf-schema</w:t>
      </w:r>
    </w:p>
    <w:p>
      <w:pPr>
        <w:numPr>
          <w:ilvl w:val="0"/>
          <w:numId w:val="1033"/>
        </w:numPr>
      </w:pPr>
      <w:r>
        <w:rPr>
          <w:rFonts w:ascii="Calibri" w:hAnsi="Calibri" w:eastAsia="Calibri"/>
          <w:color w:val="243447"/>
        </w:rPr>
        <w:t>Sigma specification: https://sigmahq.io/sigma-specification/</w:t>
      </w:r>
    </w:p>
    <w:p>
      <w:pPr>
        <w:numPr>
          <w:ilvl w:val="0"/>
          <w:numId w:val="1033"/>
        </w:numPr>
      </w:pPr>
      <w:r>
        <w:rPr>
          <w:rFonts w:ascii="Calibri" w:hAnsi="Calibri" w:eastAsia="Calibri"/>
          <w:color w:val="243447"/>
        </w:rPr>
        <w:t>Ollama API and model documentation: https://docs.ollama.com/</w:t>
      </w:r>
    </w:p>
    <w:p>
      <w:pPr>
        <w:numPr>
          <w:ilvl w:val="0"/>
          <w:numId w:val="1033"/>
        </w:numPr>
      </w:pPr>
      <w:r>
        <w:rPr>
          <w:rFonts w:ascii="Calibri" w:hAnsi="Calibri" w:eastAsia="Calibri"/>
          <w:color w:val="243447"/>
        </w:rPr>
        <w:t>SLSA artifact verification: https://slsa.dev/spec/v1.2/verifying-artifacts</w:t>
      </w:r>
    </w:p>
    <w:p>
      <w:pPr>
        <w:numPr>
          <w:ilvl w:val="0"/>
          <w:numId w:val="1033"/>
        </w:numPr>
      </w:pPr>
      <w:r>
        <w:rPr>
          <w:rFonts w:ascii="Calibri" w:hAnsi="Calibri" w:eastAsia="Calibri"/>
          <w:color w:val="243447"/>
        </w:rPr>
        <w:t>MITRE ATT&amp;CK: https://attack.mitre.org/</w:t>
      </w:r>
    </w:p>
    <w:p>
      <w:pPr>
        <w:numPr>
          <w:ilvl w:val="0"/>
          <w:numId w:val="1033"/>
        </w:numPr>
      </w:pPr>
      <w:r>
        <w:rPr>
          <w:rFonts w:ascii="Calibri" w:hAnsi="Calibri" w:eastAsia="Calibri"/>
          <w:color w:val="243447"/>
        </w:rPr>
        <w:t>NIST incident response and continuous monitoring publications: https://csrc.nist.gov/publications</w:t>
      </w:r>
    </w:p>
    <w:p>
      <w:pPr>
        <w:numPr>
          <w:ilvl w:val="0"/>
          <w:numId w:val="1033"/>
        </w:numPr>
      </w:pPr>
      <w:r>
        <w:rPr>
          <w:rFonts w:ascii="Calibri" w:hAnsi="Calibri" w:eastAsia="Calibri"/>
          <w:color w:val="243447"/>
        </w:rPr>
        <w:t>OASIS STIX/TAXII: https://oasis-open.github.io/cti-documentation/</w:t>
      </w:r>
    </w:p>
    <w:p>
      <w:pPr>
        <w:numPr>
          <w:ilvl w:val="0"/>
          <w:numId w:val="1033"/>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rPr>
          <w:color w:val="000000"/>
          <w:sz w:val="22"/>
        </w:rPr>
        <w:t xml:space="preserve">Historical v1.14 integration scope: the installed response-service boundary is separate from the ordinary-user desktop and sensor graph. Its native pipe authenticates the actual Windows peer token and verifies the installed service before requests. Source Python, a caller-supplied name or a same-user bearer secret does not become privileged authority. Immutable publisher/package pins, protected state and a restricted SCM identity require independent provisioning. The initial/default v1 profile remains diagnostic-only. Current 1.15 adds a separately enrolled, pinned v2 managed driver-policy executor; its unsigned policy and deployment limits are described in the current hardening chapter. Native PID-bound process-egress enforcement remains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30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Normal"/>
        <w:spacing w:after="120" w:line="264" w:lineRule="auto"/>
      </w:pPr>
      <w:r>
        <w:rPr>
          <w:color w:val="000000"/>
          <w:sz w:val="22"/>
        </w:rPr>
        <w:t xml:space="preserve">Request-bound progress describes each selected check, its current task or observed file, elapsed time and available estimates. The toolkit worker publishes only a bounded latest snapshot under its owned job. Paths and activity text are untrusted display data; neither progress nor resource samples grant response authority. Timeout, incomplete coverage and native cancellation remain visible until the corresponding owner has settled.</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Next step</w:t>
            </w:r>
          </w:p>
        </w:tc>
        <w:tc>
          <w:tcPr>
            <w:tcW w:w="7160" w:type="dxa"/>
            <w:shd w:fill="DCE7F0"/>
            <w:vAlign w:val="center"/>
          </w:tcPr>
          <w:p>
            <w:pPr>
              <w:pStyle w:val="Normal"/>
              <w:keepNext/>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Path</w:t>
            </w:r>
          </w:p>
        </w:tc>
        <w:tc>
          <w:tcPr>
            <w:tcW w:w="7160" w:type="dxa"/>
            <w:shd w:fill="DCE7F0"/>
            <w:vAlign w:val="center"/>
          </w:tcPr>
          <w:p>
            <w:pPr>
              <w:pStyle w:val="Normal"/>
              <w:keepNext/>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10 Version 1.15 hardening layers</w:t>
      </w:r>
    </w:p>
    <w:p>
      <w:pPr>
        <w:keepNext/>
        <w:spacing w:after="120"/>
      </w:pPr>
      <w:r>
        <w:drawing>
          <wp:inline xmlns:wp="http://schemas.openxmlformats.org/drawingml/2006/wordprocessingDrawing" distT="0" distB="0" distL="0" distR="0">
            <wp:extent cx="5943600" cy="4331398"/>
            <wp:docPr id="9006" name="security-flow-hardening.png" descr="security flow hardening"/>
            <a:graphic xmlns:a="http://schemas.openxmlformats.org/drawingml/2006/main">
              <a:graphicData uri="http://schemas.openxmlformats.org/drawingml/2006/picture">
                <pic:pic xmlns:pic="http://schemas.openxmlformats.org/drawingml/2006/picture">
                  <pic:nvPicPr>
                    <pic:cNvPr id="0" name="security-flow-hardening.png"/>
                    <pic:cNvPicPr/>
                  </pic:nvPicPr>
                  <pic:blipFill>
                    <a:blip r:embed="rIdAngeronaSecurityFlow6"/>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6 hardening flow</w:t>
      </w:r>
    </w:p>
    <w:p>
      <w:pPr>
        <w:pStyle w:val="Normal"/>
        <w:spacing w:after="120" w:line="264" w:lineRule="auto"/>
      </w:pPr>
      <w:r>
        <w:rPr>
          <w:color w:val="000000"/>
          <w:sz w:val="22"/>
        </w:rPr>
        <w:t xml:space="preserve">The source implementation adds the layers below. Installed and independent paths require their own enrollment; they do not silently become active because the source version changes. Release notes and the sanitized Full-mode review retain the focused checks, observed limits and unresolved work.</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Attack surface</w:t>
            </w:r>
          </w:p>
        </w:tc>
        <w:tc>
          <w:tcPr>
            <w:tcW w:w="3480" w:type="dxa"/>
            <w:shd w:fill="DCE7F0"/>
            <w:vAlign w:val="center"/>
          </w:tcPr>
          <w:p>
            <w:pPr>
              <w:pStyle w:val="Normal"/>
              <w:keepNext/>
              <w:spacing w:after="120" w:line="264" w:lineRule="auto"/>
            </w:pPr>
            <w:r>
              <w:rPr>
                <w:b/>
                <w:color w:val="000000"/>
                <w:sz w:val="19"/>
              </w:rPr>
              <w:t xml:space="preserve">Implemented layer</w:t>
            </w:r>
          </w:p>
        </w:tc>
        <w:tc>
          <w:tcPr>
            <w:tcW w:w="3480" w:type="dxa"/>
            <w:shd w:fill="DCE7F0"/>
            <w:vAlign w:val="center"/>
          </w:tcPr>
          <w:p>
            <w:pPr>
              <w:pStyle w:val="Normal"/>
              <w:keepNext/>
              <w:spacing w:after="120" w:line="264" w:lineRule="auto"/>
            </w:pPr>
            <w:r>
              <w:rPr>
                <w:b/>
                <w:color w:val="000000"/>
                <w:sz w:val="19"/>
              </w:rPr>
              <w:t xml:space="preserve">Remaining boundary</w:t>
            </w:r>
          </w:p>
        </w:tc>
      </w:tr>
      <w:tr>
        <w:trPr>
          <w:cantSplit/>
        </w:trPr>
        <w:tc>
          <w:tcPr>
            <w:tcW w:w="2400" w:type="dxa"/>
            <w:shd w:fill="FFFFFF"/>
            <w:vAlign w:val="center"/>
          </w:tcPr>
          <w:p>
            <w:pPr>
              <w:pStyle w:val="Normal"/>
              <w:spacing w:after="120" w:line="264" w:lineRule="auto"/>
            </w:pPr>
            <w:r>
              <w:rPr>
                <w:color w:val="000000"/>
                <w:sz w:val="19"/>
              </w:rPr>
              <w:t xml:space="preserve">Alive but blind sensor process</w:t>
            </w:r>
          </w:p>
        </w:tc>
        <w:tc>
          <w:tcPr>
            <w:tcW w:w="3480" w:type="dxa"/>
            <w:shd w:fill="FFFFFF"/>
            <w:vAlign w:val="center"/>
          </w:tcPr>
          <w:p>
            <w:pPr>
              <w:pStyle w:val="Normal"/>
              <w:spacing w:after="120" w:line="264" w:lineRule="auto"/>
            </w:pPr>
            <w:r>
              <w:rPr>
                <w:color w:val="000000"/>
                <w:sz w:val="19"/>
              </w:rPr>
              <w:t xml:space="preserve">Separate native ETW/Sysmon canary provenance, generation, benign probe and recorder acknowledgment; missing receipts remain explicit.</w:t>
            </w:r>
          </w:p>
        </w:tc>
        <w:tc>
          <w:tcPr>
            <w:tcW w:w="3480" w:type="dxa"/>
            <w:shd w:fill="FFFFFF"/>
            <w:vAlign w:val="center"/>
          </w:tcPr>
          <w:p>
            <w:pPr>
              <w:pStyle w:val="Normal"/>
              <w:spacing w:after="120" w:line="264" w:lineRule="auto"/>
            </w:pPr>
            <w:r>
              <w:rPr>
                <w:color w:val="000000"/>
                <w:sz w:val="19"/>
              </w:rPr>
              <w:t xml:space="preserve">Userspace echoes and EKG liveness do not establish intact callbacks. Unavailable native collectors are unavailable, not a confirmed attack.</w:t>
            </w:r>
          </w:p>
        </w:tc>
      </w:tr>
      <w:tr>
        <w:trPr>
          <w:cantSplit/>
        </w:trPr>
        <w:tc>
          <w:tcPr>
            <w:tcW w:w="2400" w:type="dxa"/>
            <w:shd w:fill="F4F6F8"/>
            <w:vAlign w:val="center"/>
          </w:tcPr>
          <w:p>
            <w:pPr>
              <w:pStyle w:val="Normal"/>
              <w:spacing w:after="120" w:line="264" w:lineRule="auto"/>
            </w:pPr>
            <w:r>
              <w:rPr>
                <w:color w:val="000000"/>
                <w:sz w:val="19"/>
              </w:rPr>
              <w:t xml:space="preserve">WER dump/suspend precursor</w:t>
            </w:r>
          </w:p>
        </w:tc>
        <w:tc>
          <w:tcPr>
            <w:tcW w:w="3480" w:type="dxa"/>
            <w:shd w:fill="F4F6F8"/>
            <w:vAlign w:val="center"/>
          </w:tcPr>
          <w:p>
            <w:pPr>
              <w:pStyle w:val="Normal"/>
              <w:spacing w:after="120" w:line="264" w:lineRule="auto"/>
            </w:pPr>
            <w:r>
              <w:rPr>
                <w:color w:val="000000"/>
                <w:sz w:val="19"/>
              </w:rPr>
              <w:t xml:space="preserve">Acquire cached native ownership before its shared admission/correlation clock; retain exact birth/GUID requirements and typed unavailable reasons.</w:t>
            </w:r>
          </w:p>
        </w:tc>
        <w:tc>
          <w:tcPr>
            <w:tcW w:w="3480" w:type="dxa"/>
            <w:shd w:fill="F4F6F8"/>
            <w:vAlign w:val="center"/>
          </w:tcPr>
          <w:p>
            <w:pPr>
              <w:pStyle w:val="Normal"/>
              <w:spacing w:after="120" w:line="264" w:lineRule="auto"/>
            </w:pPr>
            <w:r>
              <w:rPr>
                <w:color w:val="000000"/>
                <w:sz w:val="19"/>
              </w:rPr>
              <w:t xml:space="preserve">Post-event observation cannot guarantee pre-dump blocking. Certified ELAM/PPL deployment is not supplied.</w:t>
            </w:r>
          </w:p>
        </w:tc>
      </w:tr>
      <w:tr>
        <w:trPr>
          <w:cantSplit/>
        </w:trPr>
        <w:tc>
          <w:tcPr>
            <w:tcW w:w="2400" w:type="dxa"/>
            <w:shd w:fill="FFFFFF"/>
            <w:vAlign w:val="center"/>
          </w:tcPr>
          <w:p>
            <w:pPr>
              <w:pStyle w:val="Normal"/>
              <w:spacing w:after="120" w:line="264" w:lineRule="auto"/>
            </w:pPr>
            <w:r>
              <w:rPr>
                <w:color w:val="000000"/>
                <w:sz w:val="19"/>
              </w:rPr>
              <w:t xml:space="preserve">Executable/path replacement during containment</w:t>
            </w:r>
          </w:p>
        </w:tc>
        <w:tc>
          <w:tcPr>
            <w:tcW w:w="3480" w:type="dxa"/>
            <w:shd w:fill="FFFFFF"/>
            <w:vAlign w:val="center"/>
          </w:tcPr>
          <w:p>
            <w:pPr>
              <w:pStyle w:val="Normal"/>
              <w:spacing w:after="120" w:line="264" w:lineRule="auto"/>
            </w:pPr>
            <w:r>
              <w:rPr>
                <w:color w:val="000000"/>
                <w:sz w:val="19"/>
              </w:rPr>
              <w:t xml:space="preserve">Retained OS process, executable and ancestor leases through durable transaction outcomes and managed compensation.</w:t>
            </w:r>
          </w:p>
        </w:tc>
        <w:tc>
          <w:tcPr>
            <w:tcW w:w="3480" w:type="dxa"/>
            <w:shd w:fill="FFFFFF"/>
            <w:vAlign w:val="center"/>
          </w:tcPr>
          <w:p>
            <w:pPr>
              <w:pStyle w:val="Normal"/>
              <w:spacing w:after="120" w:line="264" w:lineRule="auto"/>
            </w:pPr>
            <w:r>
              <w:rPr>
                <w:color w:val="000000"/>
                <w:sz w:val="19"/>
              </w:rPr>
              <w:t xml:space="preserve">The acquired file is not original mapped-image proof. PID-bound ALE admission, socket inheritance and established-flow teardown need a native backend.</w:t>
            </w:r>
          </w:p>
        </w:tc>
      </w:tr>
      <w:tr>
        <w:trPr>
          <w:cantSplit/>
        </w:trPr>
        <w:tc>
          <w:tcPr>
            <w:tcW w:w="2400" w:type="dxa"/>
            <w:shd w:fill="F4F6F8"/>
            <w:vAlign w:val="center"/>
          </w:tcPr>
          <w:p>
            <w:pPr>
              <w:pStyle w:val="Normal"/>
              <w:spacing w:after="120" w:line="264" w:lineRule="auto"/>
            </w:pPr>
            <w:r>
              <w:rPr>
                <w:color w:val="000000"/>
                <w:sz w:val="19"/>
              </w:rPr>
              <w:t xml:space="preserve">OS or whole-root rollback</w:t>
            </w:r>
          </w:p>
        </w:tc>
        <w:tc>
          <w:tcPr>
            <w:tcW w:w="3480" w:type="dxa"/>
            <w:shd w:fill="F4F6F8"/>
            <w:vAlign w:val="center"/>
          </w:tcPr>
          <w:p>
            <w:pPr>
              <w:pStyle w:val="Normal"/>
              <w:spacing w:after="120" w:line="264" w:lineRule="auto"/>
            </w:pPr>
            <w:r>
              <w:rPr>
                <w:color w:val="000000"/>
                <w:sz w:val="19"/>
              </w:rPr>
              <w:t xml:space="preserve">Bounded recognized servicing operations, independent freshness composition and issuer-pinned TPM certification/policy-plan code.</w:t>
            </w:r>
          </w:p>
        </w:tc>
        <w:tc>
          <w:tcPr>
            <w:tcW w:w="3480" w:type="dxa"/>
            <w:shd w:fill="F4F6F8"/>
            <w:vAlign w:val="center"/>
          </w:tcPr>
          <w:p>
            <w:pPr>
              <w:pStyle w:val="Normal"/>
              <w:spacing w:after="120" w:line="264" w:lineRule="auto"/>
            </w:pPr>
            <w:r>
              <w:rPr>
                <w:color w:val="000000"/>
                <w:sz w:val="19"/>
              </w:rPr>
              <w:t xml:space="preserve">Disk VERSIONINFO is not loaded-image or patch truth. Physical enrollment, protected serialized writes and vendor mitigations remain separate.</w:t>
            </w:r>
          </w:p>
        </w:tc>
      </w:tr>
      <w:tr>
        <w:trPr>
          <w:cantSplit/>
        </w:trPr>
        <w:tc>
          <w:tcPr>
            <w:tcW w:w="2400" w:type="dxa"/>
            <w:shd w:fill="FFFFFF"/>
            <w:vAlign w:val="center"/>
          </w:tcPr>
          <w:p>
            <w:pPr>
              <w:pStyle w:val="Normal"/>
              <w:spacing w:after="120" w:line="264" w:lineRule="auto"/>
            </w:pPr>
            <w:r>
              <w:rPr>
                <w:color w:val="000000"/>
                <w:sz w:val="19"/>
              </w:rPr>
              <w:t xml:space="preserve">Same-user history forgery</w:t>
            </w:r>
          </w:p>
        </w:tc>
        <w:tc>
          <w:tcPr>
            <w:tcW w:w="3480" w:type="dxa"/>
            <w:shd w:fill="FFFFFF"/>
            <w:vAlign w:val="center"/>
          </w:tcPr>
          <w:p>
            <w:pPr>
              <w:pStyle w:val="Normal"/>
              <w:spacing w:after="120" w:line="264" w:lineRule="auto"/>
            </w:pPr>
            <w:r>
              <w:rPr>
                <w:color w:val="000000"/>
                <w:sz w:val="19"/>
              </w:rPr>
              <w:t xml:space="preserve">Optional remote signatures commit exact recorder row bytes; service-private engine admission separates installed key/storage custody.</w:t>
            </w:r>
          </w:p>
        </w:tc>
        <w:tc>
          <w:tcPr>
            <w:tcW w:w="3480" w:type="dxa"/>
            <w:shd w:fill="FFFFFF"/>
            <w:vAlign w:val="center"/>
          </w:tcPr>
          <w:p>
            <w:pPr>
              <w:pStyle w:val="Normal"/>
              <w:spacing w:after="120" w:line="264" w:lineRule="auto"/>
            </w:pPr>
            <w:r>
              <w:rPr>
                <w:color w:val="000000"/>
                <w:sz w:val="19"/>
              </w:rPr>
              <w:t xml:space="preserve">Source Observe shares the user's failure domain. A compromised authority, whole-authority rollback and physical independence need separate controls.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Native AMD64 Windows with reviewed psutil 7.2.2 can bracket advisory metadata with two fresh raw birth maps, retaining two fresh process objects and bounded partial/loss evidence. Maps neither establish executable custody nor authorize response. The inventory/WER follow-up separates a held paired comparison from candidate-only requests and later lifecycle acceptance; WER live typed availability remains unmeasured.</w:t>
      </w:r>
    </w:p>
    <w:p>
      <w:pPr>
        <w:pStyle w:val="Heading3"/>
        <w:keepNext/>
        <w:spacing w:after="120" w:line="264" w:lineRule="auto"/>
      </w:pPr>
      <w:r>
        <w:rPr>
          <w:color w:val="000000"/>
        </w:rPr>
        <w:t xml:space="preserve">Independent recorder history and storage</w:t>
      </w:r>
    </w:p>
    <w:p>
      <w:pPr>
        <w:pStyle w:val="Normal"/>
        <w:spacing w:after="120" w:line="264" w:lineRule="auto"/>
      </w:pPr>
      <w:r>
        <w:rPr>
          <w:color w:val="000000"/>
          <w:sz w:val="22"/>
        </w:rPr>
        <w:t xml:space="preserve">Independent recorder integrity is off by default. Enrollment uses the protected runtime request identity, pinned private HTTPS, mTLS, distinct authority signing keys and fresh signed head replies. The authority admits only the next epoch/predecessor/nonoverlapping row range. A durable pending claim supports exact reply-loss reconciliation; missing and changed history are separate outcomes. It does not rotate or claim secure erasure of Python keys.</w:t>
      </w:r>
    </w:p>
    <w:p>
      <w:pPr>
        <w:pStyle w:val="Normal"/>
        <w:spacing w:after="120" w:line="264" w:lineRule="auto"/>
      </w:pPr>
      <w:r>
        <w:rPr>
          <w:color w:val="000000"/>
          <w:sz w:val="22"/>
        </w:rPr>
        <w:t xml:space="preserve">The archive defaults to 16 MiB and 128 epochs, with a 4–64 MiB setting. At the 60-second cadence the count limit can fill in roughly two hours of new data. Existing receipts are preserved and sealing pauses; there is no silent rollover or protection-startup block. Historical SQL work uses freshly proved indexed row identity, at most ten ranges per cycle and a five-second cooperative budget. STOP drains the retained reader and enrollment owner before SQLite release.</w:t>
      </w:r>
    </w:p>
    <w:p>
      <w:pPr>
        <w:pStyle w:val="Heading3"/>
        <w:keepNext/>
        <w:spacing w:after="120" w:line="264" w:lineRule="auto"/>
      </w:pPr>
      <w:r>
        <w:rPr>
          <w:color w:val="000000"/>
        </w:rPr>
        <w:t xml:space="preserve">Installed service and driver-policy authority</w:t>
      </w:r>
    </w:p>
    <w:p>
      <w:pPr>
        <w:pStyle w:val="Normal"/>
        <w:spacing w:after="120" w:line="264" w:lineRule="auto"/>
      </w:pPr>
      <w:r>
        <w:rPr>
          <w:color w:val="000000"/>
          <w:sz w:val="22"/>
        </w:rPr>
        <w:t xml:space="preserve">The isolated engine validates the actual NT SERVICE\AngeronaProtection virtual account, SCM own-process registration, restricted service token, package and native ProgramData root before loading configuration, keys or sensors. A separate enrolled desktop viewer receives bounded status only, with no key/settings mutation or fallback local engine. Lifecycle counts do not attest detector coverage. Actual signed installer provisioning and clean-VM acceptance remain required.</w:t>
      </w:r>
    </w:p>
    <w:p>
      <w:pPr>
        <w:pStyle w:val="Normal"/>
        <w:spacing w:after="120" w:line="264" w:lineRule="auto"/>
      </w:pPr>
      <w:r>
        <w:rPr>
          <w:color w:val="000000"/>
          <w:sz w:val="22"/>
        </w:rPr>
        <w:t xml:space="preserve">Managed driver policy is diagnostic-only in default v1. Only an explicitly pinned installed v2 own-unsigned-multiple-policy profile registers its executor. Server-owned plans, two independent OS-bound non-requester approvals, durable single-use capabilities, fixed reviewed local materials and native readback govern each operation. Bounded asynchronous jobs retain native custody through STOP. Uncertain completion holds rather than retrying stale handle numbers. Its unsigned removable policy, admin tampering, boot fallback/reboot and already-loaded-driver limits remain explicit; kernel_prevention_verified stays false.</w:t>
      </w:r>
    </w:p>
    <w:p>
      <w:pPr>
        <w:pStyle w:val="Heading3"/>
        <w:keepNext/>
        <w:spacing w:after="120" w:line="264" w:lineRule="auto"/>
      </w:pPr>
      <w:r>
        <w:rPr>
          <w:color w:val="000000"/>
        </w:rPr>
        <w:t xml:space="preserve">Observation and version history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Version</w:t>
            </w:r>
          </w:p>
        </w:tc>
        <w:tc>
          <w:tcPr>
            <w:tcW w:w="3480" w:type="dxa"/>
            <w:shd w:fill="DCE7F0"/>
            <w:vAlign w:val="center"/>
          </w:tcPr>
          <w:p>
            <w:pPr>
              <w:pStyle w:val="Normal"/>
              <w:keepNext/>
              <w:spacing w:after="120" w:line="264" w:lineRule="auto"/>
            </w:pPr>
            <w:r>
              <w:rPr>
                <w:b/>
                <w:color w:val="000000"/>
                <w:sz w:val="19"/>
              </w:rPr>
              <w:t xml:space="preserve">Change</w:t>
            </w:r>
          </w:p>
        </w:tc>
        <w:tc>
          <w:tcPr>
            <w:tcW w:w="3480" w:type="dxa"/>
            <w:shd w:fill="DCE7F0"/>
            <w:vAlign w:val="center"/>
          </w:tcPr>
          <w:p>
            <w:pPr>
              <w:pStyle w:val="Normal"/>
              <w:keepNext/>
              <w:spacing w:after="120" w:line="264" w:lineRule="auto"/>
            </w:pPr>
            <w:r>
              <w:rPr>
                <w:b/>
                <w:color w:val="000000"/>
                <w:sz w:val="19"/>
              </w:rPr>
              <w:t xml:space="preserve">Evidence</w:t>
            </w:r>
          </w:p>
        </w:tc>
      </w:tr>
      <w:tr>
        <w:trPr>
          <w:cantSplit/>
        </w:trPr>
        <w:tc>
          <w:tcPr>
            <w:tcW w:w="2400" w:type="dxa"/>
            <w:shd w:fill="FFFFFF"/>
            <w:vAlign w:val="center"/>
          </w:tcPr>
          <w:p>
            <w:pPr>
              <w:pStyle w:val="Normal"/>
              <w:spacing w:after="120" w:line="264" w:lineRule="auto"/>
            </w:pPr>
            <w:r>
              <w:rPr>
                <w:color w:val="000000"/>
                <w:sz w:val="19"/>
              </w:rPr>
              <w:t xml:space="preserve">1.15.0</w:t>
            </w:r>
          </w:p>
        </w:tc>
        <w:tc>
          <w:tcPr>
            <w:tcW w:w="3480" w:type="dxa"/>
            <w:shd w:fill="FFFFFF"/>
            <w:vAlign w:val="center"/>
          </w:tcPr>
          <w:p>
            <w:pPr>
              <w:pStyle w:val="Normal"/>
              <w:spacing w:after="120" w:line="264" w:lineRule="auto"/>
            </w:pPr>
            <w:r>
              <w:rPr>
                <w:color w:val="000000"/>
                <w:sz w:val="19"/>
              </w:rPr>
              <w:t xml:space="preserve">Telemetry assurance, transaction custody, independent recorder history, installed service admission, governed driver policy and bounded rollback review.</w:t>
            </w:r>
          </w:p>
        </w:tc>
        <w:tc>
          <w:tcPr>
            <w:tcW w:w="3480" w:type="dxa"/>
            <w:shd w:fill="FFFFFF"/>
            <w:vAlign w:val="center"/>
          </w:tcPr>
          <w:p>
            <w:pPr>
              <w:pStyle w:val="Normal"/>
              <w:spacing w:after="120" w:line="264" w:lineRule="auto"/>
            </w:pPr>
            <w:r>
              <w:rPr>
                <w:color w:val="000000"/>
                <w:sz w:val="19"/>
              </w:rPr>
              <w:t xml:space="preserve">Focused offline cohorts and a fresh 180-second Full observation, with coverage and CPU/UI follow-ups retained; signed/hardware acceptance remains separate.</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Full observation ran 75/75 enabled workers but kept native ETW/Sysmon gaps, six intermittent WER-owned-cache warnings and an initial 4,446-record retention gap. No confirmed breach was established. Core/inventory CPU cost and occasional UI delays remain unresolved. The broad selfcheck retains its host Ollama listener-attestation failure. A later focused Watchdog wording fix describes worker lifecycle/deadlines without overriding detector health or coverage. Counter-Agentic's later focused presentation fix includes bounded socket state, endpoints and role; a port observation alone does not imply a listener, hijack or connection initiator. Both fixes have offline gates and preserve detection and response policy; the 180-second capture predates the changed wording.</w:t>
      </w:r>
    </w:p>
    <w:p>
      <w:pPr>
        <w:pStyle w:val="Heading3"/>
        <w:keepNext/>
        <w:spacing w:after="120" w:line="264" w:lineRule="auto"/>
      </w:pPr>
      <w:r>
        <w:rPr>
          <w:color w:val="000000"/>
        </w:rPr>
        <w:t xml:space="preserve">Availability and evidence continuity</w:t>
      </w:r>
    </w:p>
    <w:p>
      <w:pPr>
        <w:pStyle w:val="Normal"/>
        <w:spacing w:after="120" w:line="264" w:lineRule="auto"/>
      </w:pPr>
      <w:r>
        <w:rPr>
          <w:color w:val="000000"/>
          <w:sz w:val="22"/>
        </w:rPr>
        <w:t xml:space="preserve">An earlier 120-second follow-up session ended with a confirmed native PySide access violation after STOP. Static saved-dump unwinding included QObject/widget destruction and event dispatch, but the exact cause is unknown. This remains an unresolved P0 availability finding. The final logging-enabled 120-second session exited natively with zero and retired retained generations with source and preferences unchanged; that does not establish a crash fix. Its observation was not accepted because a bounded inventory guard fired twice, with count versus deadline cause unknown. It retained an initial 2,898-record gap, native ETW/Sysmon unavailability and 69 unknown collector states despite 75/75 running workers. No confirmed breach was established.</w:t>
      </w:r>
    </w:p>
    <w:p>
      <w:pPr>
        <w:pStyle w:val="Normal"/>
        <w:spacing w:after="120" w:line="264" w:lineRule="auto"/>
      </w:pPr>
      <w:r>
        <w:rPr>
          <w:color w:val="000000"/>
          <w:sz w:val="22"/>
        </w:rPr>
        <w:t xml:space="preserve">Crash logging now reports both configured STARTUP writes, Python/thread/Qt hook arming and one native-fault destination, with partial/unavailable states that do not block startup. Its 55-pass observability gate is separate from native availability. Both named crash logs were later absent for an unproved reason; captured diagnostic text is preserved privately. A logged COM exception preceded continued events and was not the process exit failure. Missing logs are not attributed to an attacker, source cleanup or an external cleaner.</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keepNext/>
              <w:spacing w:after="120" w:line="264" w:lineRule="auto"/>
            </w:pPr>
            <w:r>
              <w:rPr>
                <w:b/>
                <w:color w:val="000000"/>
                <w:sz w:val="19"/>
              </w:rPr>
              <w:t xml:space="preserve">Surface and failure</w:t>
            </w:r>
          </w:p>
        </w:tc>
        <w:tc>
          <w:tcPr>
            <w:tcW w:w="2600" w:type="dxa"/>
            <w:shd w:fill="DCE7F0"/>
            <w:vAlign w:val="center"/>
          </w:tcPr>
          <w:p>
            <w:pPr>
              <w:pStyle w:val="Normal"/>
              <w:keepNext/>
              <w:spacing w:after="120" w:line="264" w:lineRule="auto"/>
            </w:pPr>
            <w:r>
              <w:rPr>
                <w:b/>
                <w:color w:val="000000"/>
                <w:sz w:val="19"/>
              </w:rPr>
              <w:t xml:space="preserve">Main code</w:t>
            </w:r>
          </w:p>
        </w:tc>
        <w:tc>
          <w:tcPr>
            <w:tcW w:w="2400" w:type="dxa"/>
            <w:shd w:fill="DCE7F0"/>
            <w:vAlign w:val="center"/>
          </w:tcPr>
          <w:p>
            <w:pPr>
              <w:pStyle w:val="Normal"/>
              <w:keepNext/>
              <w:spacing w:after="120" w:line="264" w:lineRule="auto"/>
            </w:pPr>
            <w:r>
              <w:rPr>
                <w:b/>
                <w:color w:val="000000"/>
                <w:sz w:val="19"/>
              </w:rPr>
              <w:t xml:space="preserve">Regression entry points</w:t>
            </w:r>
          </w:p>
        </w:tc>
        <w:tc>
          <w:tcPr>
            <w:tcW w:w="2360" w:type="dxa"/>
            <w:shd w:fill="DCE7F0"/>
            <w:vAlign w:val="center"/>
          </w:tcPr>
          <w:p>
            <w:pPr>
              <w:pStyle w:val="Normal"/>
              <w:keepNext/>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Capability</w:t>
            </w:r>
          </w:p>
        </w:tc>
        <w:tc>
          <w:tcPr>
            <w:tcW w:w="7160" w:type="dxa"/>
            <w:shd w:fill="DCE7F0"/>
            <w:vAlign w:val="center"/>
          </w:tcPr>
          <w:p>
            <w:pPr>
              <w:pStyle w:val="Normal"/>
              <w:keepNext/>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keepLines/>
        <w:spacing w:after="120" w:line="264" w:lineRule="auto"/>
      </w:pPr>
      <w:r>
        <w:rPr>
          <w:color w:val="000000"/>
          <w:sz w:val="22"/>
        </w:rPr>
        <w:t xml:space="preserve">• AndroidQF acquisition is separate from examining an existing collection. It 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Managed data</w:t>
            </w:r>
          </w:p>
        </w:tc>
        <w:tc>
          <w:tcPr>
            <w:tcW w:w="7160" w:type="dxa"/>
            <w:shd w:fill="DCE7F0"/>
            <w:vAlign w:val="center"/>
          </w:tcPr>
          <w:p>
            <w:pPr>
              <w:pStyle w:val="Normal"/>
              <w:keepNext/>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the latest available toolkit-process CPU, RAM and I/O samples, process liveness and current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Each selected scanner retains its own check rows with state, progress, current task, observed file or item, elapsed time and estimated time remaining. Known work counts advance that check's percentage; unknown totals remain explicit. An estimated time is shown only when measurements support it; otherwise the display says Calculating. The configured time budget is separate from that estimate. Overall progress combines the selected checks and remains below 100% while work or cancellation is still active. A percentage describes the requested workflow, not every file on the PC or a clean-host verdict.</w:t>
      </w:r>
    </w:p>
    <w:p>
      <w:pPr>
        <w:pStyle w:val="Normal"/>
        <w:spacing w:after="120" w:line="264" w:lineRule="auto"/>
      </w:pPr>
      <w:r>
        <w:rPr>
          <w:color w:val="000000"/>
          <w:sz w:val="22"/>
        </w:rPr>
        <w:t xml:space="preserve">The latest activity and exact failure or timeout reason stay visible. Failed or cancelled checks retain their last progress and partial coverage. Stopping means the owned work is still draining; it does not mean retirement was proved. Native SpywareGuard's continuous monitoring status is separate from the requested priority scan. A stopped toolkit does not establish that every selected native check has stopped. A new request waits for its prior owner to settle.</w:t>
      </w:r>
    </w:p>
    <w:p>
      <w:pPr>
        <w:pStyle w:val="Normal"/>
        <w:spacing w:after="120" w:line="264" w:lineRule="auto"/>
      </w:pPr>
      <w:r>
        <w:rPr>
          <w:color w:val="000000"/>
          <w:sz w:val="22"/>
        </w:rPr>
        <w:t xml:space="preserve">Large browser profiles can exceed a short time budget. Adjust the per-run budget and retry when appropriate; this does not silently overwrite saved preferences. Saved budgets above five minutes must reach the operation owner rather than being clamped to a five-minute constructor default. Deadline expiry remains incomplete coverage, with preserved diagnostics. Animation follows active visible work and respects reduced-motion preferences. Expand What's happening now for collection limits, report handling and next steps; live refreshes retain the review position.</w:t>
      </w:r>
    </w:p>
    <w:p>
      <w:pPr>
        <w:pStyle w:val="Normal"/>
        <w:spacing w:after="120" w:line="264" w:lineRule="auto"/>
      </w:pPr>
      <w:r>
        <w:rPr>
          <w:color w:val="000000"/>
          <w:sz w:val="22"/>
        </w:rPr>
        <w:t xml:space="preserve">Toolkit progress crosses a bounded, job-bound latest-snapshot channel from the separate worker. It does not create a growing per-file log. Current file names and toolkit activity text are untrusted display data; they cannot grant trust, change a baseline or authorize response. The pinned upstream engine and license bytes remain unchanged.</w:t>
      </w:r>
    </w:p>
    <w:p>
      <w:pPr>
        <w:pStyle w:val="Normal"/>
        <w:spacing w:after="120" w:line="264" w:lineRule="auto"/>
      </w:pPr>
      <w:r>
        <w:rPr>
          <w:color w:val="000000"/>
          <w:sz w:val="22"/>
        </w:rPr>
        <w:t xml:space="preserve">After the requested scan finishes and both selected scanners have stopped, one after-action report opens automatically. It includes completed, cancelled, failed and incomplete outcomes with their retained findings and coverage gaps. Investigate and Trace reopen the same review; dismissing it does not repeat the scan. External-tool findings remain leads and do not authorize containment.</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Component</w:t>
            </w:r>
          </w:p>
        </w:tc>
        <w:tc>
          <w:tcPr>
            <w:tcW w:w="3480" w:type="dxa"/>
            <w:shd w:fill="DCE7F0"/>
            <w:vAlign w:val="center"/>
          </w:tcPr>
          <w:p>
            <w:pPr>
              <w:pStyle w:val="Normal"/>
              <w:keepNext/>
              <w:spacing w:after="120" w:line="264" w:lineRule="auto"/>
            </w:pPr>
            <w:r>
              <w:rPr>
                <w:b/>
                <w:color w:val="000000"/>
                <w:sz w:val="19"/>
              </w:rPr>
              <w:t xml:space="preserve">Author / source</w:t>
            </w:r>
          </w:p>
        </w:tc>
        <w:tc>
          <w:tcPr>
            <w:tcW w:w="3480" w:type="dxa"/>
            <w:shd w:fill="DCE7F0"/>
            <w:vAlign w:val="center"/>
          </w:tcPr>
          <w:p>
            <w:pPr>
              <w:pStyle w:val="Normal"/>
              <w:keepNext/>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Data</w:t>
            </w:r>
          </w:p>
        </w:tc>
        <w:tc>
          <w:tcPr>
            <w:tcW w:w="7160" w:type="dxa"/>
            <w:shd w:fill="DCE7F0"/>
            <w:vAlign w:val="center"/>
          </w:tcPr>
          <w:p>
            <w:pPr>
              <w:pStyle w:val="Normal"/>
              <w:keepNext/>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Independent recorder integrity</w:t>
      </w:r>
    </w:p>
    <w:p>
      <w:pPr>
        <w:pStyle w:val="Normal"/>
        <w:spacing w:after="120" w:line="264" w:lineRule="auto"/>
      </w:pPr>
      <w:r>
        <w:rPr>
          <w:color w:val="000000"/>
          <w:sz w:val="22"/>
        </w:rPr>
        <w:t xml:space="preserve">Angerona 1.15 can ask a separately administered authority to sign commitments to committed Flight Recorder rows. This option is off by default. Local collection and the dashboard continue if the authority, enrollment or archive is unavailable. A signature commits bytes; it does not verify the truth of an event, sensor coverage, an uncompromised kernel or the physical independence of the authority.</w:t>
      </w:r>
    </w:p>
    <w:p>
      <w:pPr>
        <w:pStyle w:val="Normal"/>
        <w:spacing w:after="120" w:line="264" w:lineRule="auto"/>
      </w:pPr>
      <w:r>
        <w:rPr>
          <w:color w:val="000000"/>
          <w:sz w:val="22"/>
        </w:rPr>
        <w:t xml:space="preserve">The image is an offline demonstration. Its receipt, counts and connection state are synthetic; no host key, witness or service was accessed to create it.</w:t>
      </w:r>
    </w:p>
    <w:p>
      <w:pPr>
        <w:pStyle w:val="Heading3"/>
        <w:keepNext/>
        <w:spacing w:after="120" w:line="264" w:lineRule="auto"/>
      </w:pPr>
      <w:r>
        <w:rPr>
          <w:color w:val="000000"/>
        </w:rPr>
        <w:t xml:space="preserve">What it changes</w:t>
      </w:r>
    </w:p>
    <w:p>
      <w:pPr>
        <w:pStyle w:val="Normal"/>
        <w:spacing w:after="120" w:line="264" w:lineRule="auto"/>
      </w:pPr>
      <w:r>
        <w:rPr>
          <w:color w:val="000000"/>
          <w:sz w:val="22"/>
        </w:rPr>
        <w:t xml:space="preserve">The authority has a dedicated append operation. It checks each epoch's exact predecessor, next epoch number and increasing, nonoverlapping row range before signing. The host's request key and the authority's Ed25519 signing key must have different raw public-key material, even when their labels differ. The authority's signing private key remains on the independent machine.</w:t>
      </w:r>
    </w:p>
    <w:p>
      <w:pPr>
        <w:pStyle w:val="Normal"/>
        <w:spacing w:after="120" w:line="264" w:lineRule="auto"/>
      </w:pPr>
      <w:r>
        <w:rPr>
          <w:color w:val="000000"/>
          <w:sz w:val="22"/>
        </w:rPr>
        <w:t xml:space="preserve">Each archived receipt commits an ordered index of per-row SHA-256 commitments, including the original stored timestamp, module, severity, message, details text and HMAC. Rewriting an older row and recomputing a valid host HMAC cannot produce a matching independent receipt. Missing rows, including holes caused by severity-based retention, remain unavailable evidence. Angerona does not attribute that loss to an attacker or silently call it successful verification.</w:t>
      </w:r>
    </w:p>
    <w:p>
      <w:pPr>
        <w:pStyle w:val="Normal"/>
        <w:spacing w:after="120" w:line="264" w:lineRule="auto"/>
      </w:pPr>
      <w:r>
        <w:rPr>
          <w:color w:val="000000"/>
          <w:sz w:val="22"/>
        </w:rPr>
        <w:t xml:space="preserve">This design avoids claiming secure erasure of Python objects or rotating the existing recorder key. Possession of the current host request credential can authorize new append requests; it does not authorize replacement of already sealed ranges. Compromise of the authority or its signing key is a separate failure boundary.</w:t>
      </w:r>
    </w:p>
    <w:p>
      <w:pPr>
        <w:pStyle w:val="Normal"/>
        <w:spacing w:after="120" w:line="264" w:lineRule="auto"/>
      </w:pPr>
      <w:r>
        <w:rPr>
          <w:color w:val="000000"/>
          <w:sz w:val="22"/>
        </w:rPr>
        <w:t xml:space="preserve">The online guide includes this workflow diagram; Figure 6 shows the combined 1.15 hardening layers.</w:t>
      </w:r>
    </w:p>
    <w:p>
      <w:pPr>
        <w:pStyle w:val="Heading3"/>
        <w:keepNext/>
        <w:spacing w:after="120" w:line="264" w:lineRule="auto"/>
      </w:pPr>
      <w:r>
        <w:rPr>
          <w:color w:val="000000"/>
        </w:rPr>
        <w:t xml:space="preserve">Enrollment</w:t>
      </w:r>
    </w:p>
    <w:p>
      <w:pPr>
        <w:pStyle w:val="Normal"/>
        <w:spacing w:after="120" w:line="264" w:lineRule="auto"/>
      </w:pPr>
      <w:r>
        <w:rPr>
          <w:color w:val="000000"/>
          <w:sz w:val="22"/>
        </w:rPr>
        <w:t xml:space="preserve">1. Prepare an authority on another independently administered machine, outside the monitored host's disk snapshots and restore jobs. The supplied authority server requires protected state and keys, mutual TLS, a private bind address, separate client-public and authority-private Ed25519 keys, and the matching installation/client IDs. Enable both --enable-recorder-epochs and --enable-client-response-floors. Protection against rollback of the authority's own entire state requires a separately supplied generation floor or accepted hardware binding.</w:t>
      </w:r>
    </w:p>
    <w:p>
      <w:pPr>
        <w:pStyle w:val="Normal"/>
        <w:spacing w:after="120" w:line="264" w:lineRule="auto"/>
      </w:pPr>
      <w:r>
        <w:rPr>
          <w:color w:val="000000"/>
          <w:sz w:val="22"/>
        </w:rPr>
        <w:t xml:space="preserve">2. In Settings &gt; General &gt; Independent recorder integrity, expand Remote witness enrollment and storage. Use Create or show this host's public enrollment key to resolve the profile's protected request identity on a retained worker. Enroll that public key and the displayed IDs on the authority. Existing malformed or unavailable private identities are held, rather than automatically replaced. No private request key is displayed.</w:t>
      </w:r>
    </w:p>
    <w:p>
      <w:pPr>
        <w:pStyle w:val="Normal"/>
        <w:spacing w:after="120" w:line="264" w:lineRule="auto"/>
      </w:pPr>
      <w:r>
        <w:rPr>
          <w:color w:val="000000"/>
          <w:sz w:val="22"/>
        </w:rPr>
        <w:t xml:space="preserve">3. Enter the authority's private HTTPS IP address ending in /v1/authority, TLS certificate SHA-256 pin, authority Ed25519 public PEM, matching IDs, and absolute local client-certificate/key paths. An optional CA file can supply the authority's PKI chain. TLS validation and the pin are both required. Public, loopback, metadata and DNS-discovered endpoints are not accepted by this enrollment profile.</w:t>
      </w:r>
    </w:p>
    <w:p>
      <w:pPr>
        <w:pStyle w:val="Normal"/>
        <w:spacing w:after="120" w:line="264" w:lineRule="auto"/>
      </w:pPr>
      <w:r>
        <w:rPr>
          <w:color w:val="000000"/>
          <w:sz w:val="22"/>
        </w:rPr>
        <w:t xml:space="preserve">4. Confirm independent administration, choose the storage limit, enable the option, save and restart. The declaration is an operator assertion, not physical-host attestation. Settings contains public enrollment metadata and TLS file paths; the request private key belongs to the OS credential store.</w:t>
      </w:r>
    </w:p>
    <w:p>
      <w:pPr>
        <w:pStyle w:val="Normal"/>
        <w:spacing w:after="120" w:line="264" w:lineRule="auto"/>
      </w:pPr>
      <w:r>
        <w:rPr>
          <w:color w:val="000000"/>
          <w:sz w:val="22"/>
        </w:rPr>
        <w:t xml:space="preserve">The GUI-generated identity belongs to the current runtime profile. An isolated NT SERVICE\AngeronaProtection installation requires credentials provisioned under that actual service account and its protected data root. An interactive user's identity does not automatically enroll the service. The status-only protection console has no key or settings mutation endpoint.</w:t>
      </w:r>
    </w:p>
    <w:p>
      <w:pPr>
        <w:pStyle w:val="Normal"/>
        <w:spacing w:after="120" w:line="264" w:lineRule="auto"/>
      </w:pPr>
      <w:r>
        <w:rPr>
          <w:color w:val="000000"/>
          <w:sz w:val="22"/>
        </w:rPr>
        <w:t xml:space="preserve">Full Setup also exposes these eleven public enrollment/storage settings and points to the running-dashboard controls above for protected host identity enrollment. Setup does not generate a request identity, collect private PEM contents or contact the authority. A client TLS key setting is a local file path, not the private key's contents. Profiles keep witnessing disabled; a missing witness or credential holds this optional feature while local protection continues.</w:t>
      </w:r>
    </w:p>
    <w:p>
      <w:pPr>
        <w:pStyle w:val="Heading3"/>
        <w:keepNext/>
        <w:spacing w:after="120" w:line="264" w:lineRule="auto"/>
      </w:pPr>
      <w:r>
        <w:rPr>
          <w:color w:val="000000"/>
        </w:rPr>
        <w:t xml:space="preserve">Windows metadata custody</w:t>
      </w:r>
    </w:p>
    <w:p>
      <w:pPr>
        <w:pStyle w:val="Normal"/>
        <w:spacing w:after="120" w:line="264" w:lineRule="auto"/>
      </w:pPr>
      <w:r>
        <w:rPr>
          <w:color w:val="000000"/>
          <w:sz w:val="22"/>
        </w:rPr>
        <w:t xml:space="preserve">New pending, write-scratch and writer-lock files are created with the actual current token user's owner SID and a protected DACL for that user, SYSTEM and Administrators before bytes are written. Admission checks the opened object's security descriptor, file identity and single-link state. Existing inherited private files can be admitted; nonprivate, aliased or multilink objects are preserved and held rather than repaired, deleted or overwritten automatically.</w:t>
      </w:r>
    </w:p>
    <w:p>
      <w:pPr>
        <w:pStyle w:val="Normal"/>
        <w:spacing w:after="120" w:line="264" w:lineRule="auto"/>
      </w:pPr>
      <w:r>
        <w:rPr>
          <w:color w:val="000000"/>
          <w:sz w:val="22"/>
        </w:rPr>
        <w:t xml:space="preserve">The native file handle has one owner across transfer to the CRT descriptor. Uncertain creation, transfer or auxiliary/file/descriptor cleanup retains tracked custody and prevents optional-worker replacement. Numeric handles are not blindly retried after an ambiguous close. The SQLite protection writer remains usable, and ordinary file-lease callers and POSIX mode 0600 keep their existing behavior. Parent-directory checks are path checks, not retained directory leases. Private files in source mode remain inside the same-user, administrator and kernel trust boundaries; these DACLs do not establish a new independent security principal.</w:t>
      </w:r>
    </w:p>
    <w:p>
      <w:pPr>
        <w:pStyle w:val="Normal"/>
        <w:spacing w:after="120" w:line="264" w:lineRule="auto"/>
      </w:pPr>
      <w:r>
        <w:rPr>
          <w:color w:val="000000"/>
          <w:sz w:val="22"/>
        </w:rPr>
        <w:t xml:space="preserve">An ordinary-user probe accepted inherited private fixtures and observed token owner equal to token user. It did not reproduce the proposed elevated-CI Administrators-owner explanation. Focused checks covered 82 distinct cases across a 79-pass/three-fixture-failure run and a corrected three-pass rerun with unchanged product bytes. This is not a single all-pass cohort or signed-service deployment acceptance. See the sanitized follow-up.</w:t>
      </w:r>
    </w:p>
    <w:p>
      <w:pPr>
        <w:pStyle w:val="Normal"/>
        <w:spacing w:after="120" w:line="264" w:lineRule="auto"/>
      </w:pPr>
      <w:r>
        <w:rPr>
          <w:color w:val="000000"/>
          <w:sz w:val="22"/>
        </w:rPr>
        <w:t xml:space="preserve">The final changed-source Full/STOP observation met bounded lifecycle acceptance and retired all observed generations with unchanged source/preferences. It did not enroll a witness or prove complete sensor coverage. Critical/degraded and unknown states, a fresh-status settling delay and the earlier unresolved native shutdown crash remain separate limitations in the follow-up record.</w:t>
      </w:r>
    </w:p>
    <w:p>
      <w:pPr>
        <w:pStyle w:val="Heading3"/>
        <w:keepNext/>
        <w:spacing w:after="120" w:line="264" w:lineRule="auto"/>
      </w:pPr>
      <w:r>
        <w:rPr>
          <w:color w:val="000000"/>
        </w:rPr>
        <w:t xml:space="preserve">Storage, progress and recovery</w:t>
      </w:r>
    </w:p>
    <w:p>
      <w:pPr>
        <w:pStyle w:val="Normal"/>
        <w:spacing w:after="120" w:line="264" w:lineRule="auto"/>
      </w:pPr>
      <w:r>
        <w:rPr>
          <w:color w:val="000000"/>
          <w:sz w:val="22"/>
        </w:rPr>
        <w:t xml:space="preserve">The default receipt archive budget is 16 MiB, configurable from 4–64 MiB, with at most 128 sealed epochs. The admission budget includes archived, pending and write-scratch bytes, and reserves room before a remote append. Metadata has its own 1 MiB per-file bound. These are application admission limits, not an OS disk quota or protection against unrelated writers.</w:t>
      </w:r>
    </w:p>
    <w:p>
      <w:pPr>
        <w:pStyle w:val="Normal"/>
        <w:spacing w:after="120" w:line="264" w:lineRule="auto"/>
      </w:pPr>
      <w:r>
        <w:rPr>
          <w:color w:val="000000"/>
          <w:sz w:val="22"/>
        </w:rPr>
        <w:t xml:space="preserve">At the default 60-second cadence, continuous new rows may reach the epoch-count limit in roughly two hours, earlier if the byte limit is reached. The worker preserves existing receipts, pauses sealing and reports the hold. It does not delete originals, silently start a new history or block protection startup. Review/export and controlled archive lifecycle management require explicit operator handling; automatic long-term rollover is not provided in this version.</w:t>
      </w:r>
    </w:p>
    <w:p>
      <w:pPr>
        <w:pStyle w:val="Normal"/>
        <w:spacing w:after="120" w:line="264" w:lineRule="auto"/>
      </w:pPr>
      <w:r>
        <w:rPr>
          <w:color w:val="000000"/>
          <w:sz w:val="22"/>
        </w:rPr>
        <w:t xml:space="preserve">Each capture is limited to 4,096 rows and 16 MiB of row data; larger valid batches are split into bounded prefixes. Historical verification checks up to 10 ranges per cycle with a cooperative five-second local-work budget. Cached status shows the sealed tip, archive use, pending commit, verification backlog, known missing rows and latest changed rows. A completed cycle does not mean every historic row was checked during that cycle. Supplementary SQLite runtime limits are used where available; mandatory bounded SQL projections also apply on supported Python versions without that API.</w:t>
      </w:r>
    </w:p>
    <w:p>
      <w:pPr>
        <w:pStyle w:val="Normal"/>
        <w:spacing w:after="120" w:line="264" w:lineRule="auto"/>
      </w:pPr>
      <w:r>
        <w:rPr>
          <w:color w:val="000000"/>
          <w:sz w:val="22"/>
        </w:rPr>
        <w:t xml:space="preserve">A durable pending claim precedes the remote append. On reply loss or failed local finalization, restart reconciles only that exact claim with a fresh signed authority head. Unexpected ahead/behind/forked state, missing archives, corrupt metadata and unexplained scratch are preserved and held for review. There is no automatic baseline reset, key replacement or evidence repair.</w:t>
      </w:r>
    </w:p>
    <w:p>
      <w:pPr>
        <w:pStyle w:val="Normal"/>
        <w:spacing w:after="120" w:line="264" w:lineRule="auto"/>
      </w:pPr>
      <w:r>
        <w:rPr>
          <w:color w:val="000000"/>
          <w:sz w:val="22"/>
        </w:rPr>
        <w:t xml:space="preserve">Closing Settings detaches its view. The runtime still owns an admitted credential task and drains it on STOP. Both that task and the recorder reader must actually retire before their storage/custody is released. Uncertain native cleanup retains its owner and cannot claim successful replacement.</w:t>
      </w:r>
    </w:p>
    <w:p>
      <w:pPr>
        <w:pStyle w:val="Heading3"/>
        <w:keepNext/>
        <w:spacing w:after="120" w:line="264" w:lineRule="auto"/>
      </w:pPr>
      <w:r>
        <w:rPr>
          <w:color w:val="000000"/>
        </w:rPr>
        <w:t xml:space="preserve">Freshness limits</w:t>
      </w:r>
    </w:p>
    <w:p>
      <w:pPr>
        <w:pStyle w:val="Normal"/>
        <w:spacing w:after="120" w:line="264" w:lineRule="auto"/>
      </w:pPr>
      <w:r>
        <w:rPr>
          <w:color w:val="000000"/>
          <w:sz w:val="22"/>
        </w:rPr>
        <w:t xml:space="preserve">Archived signatures alone are historical authenticity, not proof of the current authority head. Production requests require pinned HTTPS, fresh signed nonce-bound responses and a remote response continuity floor. That floor is outside the monitored host's snapshot boundary; it is not a local counter file. Rollback of the authority's own entire trusted root still needs independent generation-floor or hardware protection. A response sequence floor alone is not a permanent incident latch or proof against every authority rollback.</w:t>
      </w:r>
    </w:p>
    <w:p>
      <w:pPr>
        <w:pStyle w:val="Normal"/>
        <w:spacing w:after="120" w:line="264" w:lineRule="auto"/>
      </w:pPr>
      <w:r>
        <w:rPr>
          <w:color w:val="000000"/>
          <w:sz w:val="22"/>
        </w:rPr>
        <w:t xml:space="preserve">The separate TPM verification library requires authenticated physical-device enrollment and a protected external writer. It is not automatically deployed or substituted for a missing witness. See the 1.15 release scope for the other hardening layers and their remaining deployment requirements.</w:t>
      </w:r>
    </w:p>
    <w:p>
      <w:pPr>
        <w:pStyle w:val="Heading2"/>
        <w:keepNext/>
        <w:spacing w:after="120" w:line="264" w:lineRule="auto"/>
      </w:pPr>
      <w:r>
        <w:rPr>
          <w:color w:val="000000"/>
        </w:rPr>
        <w:t xml:space="preserve">Managed vulnerable-driver policy</w:t>
      </w:r>
    </w:p>
    <w:p>
      <w:pPr>
        <w:pStyle w:val="Normal"/>
        <w:spacing w:after="120" w:line="264" w:lineRule="auto"/>
      </w:pPr>
      <w:r>
        <w:rPr>
          <w:color w:val="000000"/>
          <w:sz w:val="22"/>
        </w:rPr>
        <w:t xml:space="preserve">Angerona 1.15 includes an installed-service path for preparing, approving and applying a reviewed driver deny policy. Source Observe has no enrollment or elevation shortcut. The default response-service v1 provisioning remains diagnostic-only. Only an explicitly provisioned v2 profile can register the native policy executor.</w:t>
      </w:r>
    </w:p>
    <w:p>
      <w:pPr>
        <w:pStyle w:val="Normal"/>
        <w:spacing w:after="120" w:line="264" w:lineRule="auto"/>
      </w:pPr>
      <w:r>
        <w:rPr>
          <w:color w:val="000000"/>
          <w:sz w:val="22"/>
        </w:rPr>
        <w:t xml:space="preserve">The implemented profile is an unsigned, removable multiple-policy base deny policy. Its checks constrain kernel driver denials while preserving the required user-mode allow rules. It does not activate HVCI, change Secure Boot, install a kernel driver or remove arbitrary Windows policies. Local administrators can tamper with an unsigned policy; boot audit fallback and reboot requirements remain part of deployment review.</w:t>
      </w:r>
    </w:p>
    <w:p>
      <w:pPr>
        <w:pStyle w:val="Heading3"/>
        <w:keepNext/>
        <w:spacing w:after="120" w:line="264" w:lineRule="auto"/>
      </w:pPr>
      <w:r>
        <w:rPr>
          <w:color w:val="000000"/>
        </w:rPr>
        <w:t xml:space="preserve">Fixed enrollment</w:t>
      </w:r>
    </w:p>
    <w:p>
      <w:pPr>
        <w:pStyle w:val="Normal"/>
        <w:spacing w:after="120" w:line="264" w:lineRule="auto"/>
      </w:pPr>
      <w:r>
        <w:rPr>
          <w:color w:val="000000"/>
          <w:sz w:val="22"/>
        </w:rPr>
        <w:t xml:space="preserve">A signed installed package, immutable publisher pins, actual SCM registration, restricted service token, native administration rights and protected data/key custody are prerequisites. Installation must supply exact angerona.response-service.provisioning.v2 provisioning with the own-unsigned-multiple-policy profile and its pinned manifest hash.</w:t>
      </w:r>
    </w:p>
    <w:p>
      <w:pPr>
        <w:pStyle w:val="Normal"/>
        <w:spacing w:after="120" w:line="264" w:lineRule="auto"/>
      </w:pPr>
      <w:r>
        <w:rPr>
          <w:color w:val="000000"/>
          <w:sz w:val="22"/>
        </w:rPr>
        <w:t xml:space="preserve">The fixed service root is native ProgramData's Angerona/ResponseBroker/DriverPolicy. The profile references reviewed local material IDs and pinned artifacts: the manifest, catalog, XML, compiled CIP, compatibility reports and fixed native-tool hashes/publishers. Separate private broker, journal, capability and transport keys stay under service custody. Downloaded blocklists, arbitrary caller paths, script text and GUI claims do not enroll authority. Review the actual service composition and host admission.</w:t>
      </w:r>
    </w:p>
    <w:p>
      <w:pPr>
        <w:pStyle w:val="Heading3"/>
        <w:keepNext/>
        <w:spacing w:after="120" w:line="264" w:lineRule="auto"/>
      </w:pPr>
      <w:r>
        <w:rPr>
          <w:color w:val="000000"/>
        </w:rPr>
        <w:t xml:space="preserve">Audit, approval, enforcement and removal</w:t>
      </w:r>
    </w:p>
    <w:p>
      <w:pPr>
        <w:pStyle w:val="Normal"/>
        <w:spacing w:after="120" w:line="264" w:lineRule="auto"/>
      </w:pPr>
      <w:r>
        <w:rPr>
          <w:color w:val="000000"/>
          <w:sz w:val="22"/>
        </w:rPr>
        <w:t xml:space="preserve">The online guide includes this workflow diagram; Figure 6 shows the combined 1.15 hardening layers.</w:t>
      </w:r>
    </w:p>
    <w:p>
      <w:pPr>
        <w:pStyle w:val="Normal"/>
        <w:spacing w:after="120" w:line="264" w:lineRule="auto"/>
      </w:pPr>
      <w:r>
        <w:rPr>
          <w:color w:val="000000"/>
          <w:sz w:val="22"/>
        </w:rPr>
        <w:t xml:space="preserve">The requester prepares a server-owned plan and receives its proposal digest. Two other enrolled OS users independently sign the exact approval purpose. The requester can then request execution. Enforce mode requires the previous audit evidence, elapsed review window and separately pinned compatibility and recovery review. Removal requires its own approved plan and proof of the exact owned unsigned policy. Signed/UEFI-locked policy removal is unavailable.</w:t>
      </w:r>
    </w:p>
    <w:p>
      <w:pPr>
        <w:pStyle w:val="Normal"/>
        <w:spacing w:after="120" w:line="264" w:lineRule="auto"/>
      </w:pPr>
      <w:r>
        <w:rPr>
          <w:color w:val="000000"/>
          <w:sz w:val="22"/>
        </w:rPr>
        <w:t xml:space="preserve">The closed IPC operations are driver.status, driver.prepare, driver.approve, driver.execute, driver.poll and driver.cancel. Prepare/approve/execute queue onto one retained service worker and immediately return opaque job IDs; polling reads bounded cached results. The native pipe captures the Windows peer identity. Requests cannot supply a replacement peer, executor, credential verifier, native guard or raw policy. Each request, including polling/cancellation, rechecks the pinned provisioning generation and current enrollment. A changed profile requires controlled service review and restart, rather than silent authority replacement.</w:t>
      </w:r>
    </w:p>
    <w:p>
      <w:pPr>
        <w:pStyle w:val="Normal"/>
        <w:spacing w:after="120" w:line="264" w:lineRule="auto"/>
      </w:pPr>
      <w:r>
        <w:rPr>
          <w:color w:val="000000"/>
          <w:sz w:val="22"/>
        </w:rPr>
        <w:t xml:space="preserve">Cancellation fences future work. It cannot undo a native change that already committed. An interrupted or uncertain operation requires reconciliation with the durable intent journal and actual native configuration before retrying. The runtime bounds its plan and job caches to 64 entries each; capacity holds require operator review rather than unbounded cache growth.</w:t>
      </w:r>
    </w:p>
    <w:p>
      <w:pPr>
        <w:pStyle w:val="Heading3"/>
        <w:keepNext/>
        <w:spacing w:after="120" w:line="264" w:lineRule="auto"/>
      </w:pPr>
      <w:r>
        <w:rPr>
          <w:color w:val="000000"/>
        </w:rPr>
        <w:t xml:space="preserve">Configuration receipts and remaining acceptance</w:t>
      </w:r>
    </w:p>
    <w:p>
      <w:pPr>
        <w:pStyle w:val="Normal"/>
        <w:spacing w:after="120" w:line="264" w:lineRule="auto"/>
      </w:pPr>
      <w:r>
        <w:rPr>
          <w:color w:val="000000"/>
          <w:sz w:val="22"/>
        </w:rPr>
        <w:t xml:space="preserve">configured means the admitted backend or an exact native configuration postcondition was observed in its stated scope. The service always reports kernel_prevention_verified: false. Configuration readback alone does not prove a driver was blocked, remove an already loaded driver, restore stripped callbacks, verify telemetry, or prove reboot compatibility. Actual Windows build-specific audit/enforce/reboot/removal testing belongs in a disposable signed-installation acceptance environment.</w:t>
      </w:r>
    </w:p>
    <w:p>
      <w:pPr>
        <w:pStyle w:val="Normal"/>
        <w:spacing w:after="120" w:line="264" w:lineRule="auto"/>
      </w:pPr>
      <w:r>
        <w:rPr>
          <w:color w:val="000000"/>
          <w:sz w:val="22"/>
        </w:rPr>
        <w:t xml:space="preserve">The native paths retain process/job, file, pipe, OVERLAPPED, event, buffer and peer/token/SCM handle owners. STOP cancels queued work and requires real retirement before releasing custody. Unknown completion or close results keep their owners and fence replacement; they cannot become successful cleanup receipts. This implementation does not grant ELAM/PPL protection or immunity to an administrator or kernel compromise.</w:t>
      </w:r>
    </w:p>
    <w:p>
      <w:pPr>
        <w:pStyle w:val="Normal"/>
        <w:spacing w:after="120" w:line="264" w:lineRule="auto"/>
      </w:pPr>
      <w:r>
        <w:rPr>
          <w:color w:val="000000"/>
          <w:sz w:val="22"/>
        </w:rPr>
        <w:t xml:space="preserve">Source updates do not activate host enforcement. Signed installation, native rights, enrollment, ConfigCI availability, independent approvals and clean-VM acceptance remain required.</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v1.15.0  |  30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 ANGERONA_LIST_ABSTRACTS_START -->
  <!-- ANGERONA_BULLET_SOURCE 1000 9 -->
  <w:abstractNum xmlns:w="http://schemas.openxmlformats.org/wordprocessingml/2006/main" w:abstractNumId="1000">
    <w:multiLevelType w:val="singleLevel"/>
    <w:lvl w:ilvl="0">
      <w:start w:val="1"/>
      <w:numFmt w:val="bullet"/>
      <w:lvlText w:val="•"/>
      <w:lvlJc w:val="left"/>
      <w:pPr>
        <w:tabs>
          <w:tab w:val="num" w:pos="540"/>
        </w:tabs>
        <w:ind w:left="540" w:hanging="270"/>
        <w:spacing w:after="80" w:line="300" w:lineRule="auto"/>
      </w:pPr>
      <w:rPr>
        <w:rFonts w:ascii="Calibri" w:hAnsi="Calibri" w:eastAsia="Calibri" w:cs="Calibri"/>
      </w:rPr>
    </w:lvl>
  </w:abstractNum>
  <!-- ANGERONA_BULLET_SOURCE 1001 8 -->
  <w:abstractNum xmlns:w="http://schemas.openxmlformats.org/wordprocessingml/2006/main" w:abstractNumId="1001">
    <w:nsid w:val="FFFFFF89"/>
    <w:multiLevelType w:val="singleLevel"/>
    <w:tmpl w:val="29761A62"/>
    <w:lvl w:ilvl="0">
      <w:start w:val="1"/>
      <w:numFmt w:val="bullet"/>
      <w:pStyle w:val="ListBullet"/>
      <w:lvlText w:val="•"/>
      <w:lvlJc w:val="left"/>
      <w:pPr>
        <w:tabs>
          <w:tab w:val="num" w:pos="360"/>
        </w:tabs>
        <w:ind w:left="360" w:hanging="360"/>
      </w:pPr>
      <w:rPr>
        <w:rFonts w:ascii="Calibri" w:hAnsi="Calibri" w:hint="default" w:eastAsia="Calibri" w:cs="Calibri"/>
      </w:rPr>
    </w:lvl>
  </w:abstractNum>
  <!-- ANGERONA_LIST_ABSTRACTS_END -->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 ANGERONA_LIST_RESTARTS_START -->
  <!-- ANGERONA_LIST_FORMAT_V3 -->
  <w:num xmlns:w="http://schemas.openxmlformats.org/wordprocessingml/2006/main" w:numId="1000">
    <w:abstractNumId w:val="10"/>
    <w:lvlOverride w:ilvl="0">
      <w:startOverride w:val="1"/>
    </w:lvlOverride>
  </w:num>
  <w:num xmlns:w="http://schemas.openxmlformats.org/wordprocessingml/2006/main" w:numId="1001">
    <w:abstractNumId w:val="1000"/>
    <w:lvlOverride w:ilvl="0">
      <w:startOverride w:val="1"/>
    </w:lvlOverride>
  </w:num>
  <w:num xmlns:w="http://schemas.openxmlformats.org/wordprocessingml/2006/main" w:numId="1002">
    <w:abstractNumId w:val="1000"/>
    <w:lvlOverride w:ilvl="0">
      <w:startOverride w:val="1"/>
    </w:lvlOverride>
  </w:num>
  <w:num xmlns:w="http://schemas.openxmlformats.org/wordprocessingml/2006/main" w:numId="1003">
    <w:abstractNumId w:val="1000"/>
    <w:lvlOverride w:ilvl="0">
      <w:startOverride w:val="1"/>
    </w:lvlOverride>
  </w:num>
  <w:num xmlns:w="http://schemas.openxmlformats.org/wordprocessingml/2006/main" w:numId="1004">
    <w:abstractNumId w:val="1001"/>
    <w:lvlOverride w:ilvl="0">
      <w:startOverride w:val="1"/>
    </w:lvlOverride>
  </w:num>
  <w:num xmlns:w="http://schemas.openxmlformats.org/wordprocessingml/2006/main" w:numId="1005">
    <w:abstractNumId w:val="10"/>
    <w:lvlOverride w:ilvl="0">
      <w:startOverride w:val="1"/>
    </w:lvlOverride>
  </w:num>
  <w:num xmlns:w="http://schemas.openxmlformats.org/wordprocessingml/2006/main" w:numId="1006">
    <w:abstractNumId w:val="1001"/>
    <w:lvlOverride w:ilvl="0">
      <w:startOverride w:val="1"/>
    </w:lvlOverride>
  </w:num>
  <w:num xmlns:w="http://schemas.openxmlformats.org/wordprocessingml/2006/main" w:numId="1007">
    <w:abstractNumId w:val="1000"/>
    <w:lvlOverride w:ilvl="0">
      <w:startOverride w:val="1"/>
    </w:lvlOverride>
  </w:num>
  <w:num xmlns:w="http://schemas.openxmlformats.org/wordprocessingml/2006/main" w:numId="1008">
    <w:abstractNumId w:val="1000"/>
    <w:lvlOverride w:ilvl="0">
      <w:startOverride w:val="1"/>
    </w:lvlOverride>
  </w:num>
  <w:num xmlns:w="http://schemas.openxmlformats.org/wordprocessingml/2006/main" w:numId="1009">
    <w:abstractNumId w:val="1000"/>
    <w:lvlOverride w:ilvl="0">
      <w:startOverride w:val="1"/>
    </w:lvlOverride>
  </w:num>
  <w:num xmlns:w="http://schemas.openxmlformats.org/wordprocessingml/2006/main" w:numId="1010">
    <w:abstractNumId w:val="1001"/>
    <w:lvlOverride w:ilvl="0">
      <w:startOverride w:val="1"/>
    </w:lvlOverride>
  </w:num>
  <w:num xmlns:w="http://schemas.openxmlformats.org/wordprocessingml/2006/main" w:numId="1011">
    <w:abstractNumId w:val="1001"/>
    <w:lvlOverride w:ilvl="0">
      <w:startOverride w:val="1"/>
    </w:lvlOverride>
  </w:num>
  <w:num xmlns:w="http://schemas.openxmlformats.org/wordprocessingml/2006/main" w:numId="1012">
    <w:abstractNumId w:val="1001"/>
    <w:lvlOverride w:ilvl="0">
      <w:startOverride w:val="1"/>
    </w:lvlOverride>
  </w:num>
  <w:num xmlns:w="http://schemas.openxmlformats.org/wordprocessingml/2006/main" w:numId="1013">
    <w:abstractNumId w:val="10"/>
    <w:lvlOverride w:ilvl="0">
      <w:startOverride w:val="1"/>
    </w:lvlOverride>
  </w:num>
  <w:num xmlns:w="http://schemas.openxmlformats.org/wordprocessingml/2006/main" w:numId="1014">
    <w:abstractNumId w:val="1000"/>
    <w:lvlOverride w:ilvl="0">
      <w:startOverride w:val="1"/>
    </w:lvlOverride>
  </w:num>
  <w:num xmlns:w="http://schemas.openxmlformats.org/wordprocessingml/2006/main" w:numId="1015">
    <w:abstractNumId w:val="1000"/>
    <w:lvlOverride w:ilvl="0">
      <w:startOverride w:val="1"/>
    </w:lvlOverride>
  </w:num>
  <w:num xmlns:w="http://schemas.openxmlformats.org/wordprocessingml/2006/main" w:numId="1016">
    <w:abstractNumId w:val="1001"/>
    <w:lvlOverride w:ilvl="0">
      <w:startOverride w:val="1"/>
    </w:lvlOverride>
  </w:num>
  <w:num xmlns:w="http://schemas.openxmlformats.org/wordprocessingml/2006/main" w:numId="1017">
    <w:abstractNumId w:val="1000"/>
    <w:lvlOverride w:ilvl="0">
      <w:startOverride w:val="1"/>
    </w:lvlOverride>
  </w:num>
  <w:num xmlns:w="http://schemas.openxmlformats.org/wordprocessingml/2006/main" w:numId="1018">
    <w:abstractNumId w:val="10"/>
    <w:lvlOverride w:ilvl="0">
      <w:startOverride w:val="1"/>
    </w:lvlOverride>
  </w:num>
  <w:num xmlns:w="http://schemas.openxmlformats.org/wordprocessingml/2006/main" w:numId="1019">
    <w:abstractNumId w:val="10"/>
    <w:lvlOverride w:ilvl="0">
      <w:startOverride w:val="1"/>
    </w:lvlOverride>
  </w:num>
  <w:num xmlns:w="http://schemas.openxmlformats.org/wordprocessingml/2006/main" w:numId="1020">
    <w:abstractNumId w:val="1001"/>
    <w:lvlOverride w:ilvl="0">
      <w:startOverride w:val="1"/>
    </w:lvlOverride>
  </w:num>
  <w:num xmlns:w="http://schemas.openxmlformats.org/wordprocessingml/2006/main" w:numId="1021">
    <w:abstractNumId w:val="1001"/>
    <w:lvlOverride w:ilvl="0">
      <w:startOverride w:val="1"/>
    </w:lvlOverride>
  </w:num>
  <w:num xmlns:w="http://schemas.openxmlformats.org/wordprocessingml/2006/main" w:numId="1022">
    <w:abstractNumId w:val="1000"/>
    <w:lvlOverride w:ilvl="0">
      <w:startOverride w:val="1"/>
    </w:lvlOverride>
  </w:num>
  <w:num xmlns:w="http://schemas.openxmlformats.org/wordprocessingml/2006/main" w:numId="1023">
    <w:abstractNumId w:val="1000"/>
    <w:lvlOverride w:ilvl="0">
      <w:startOverride w:val="1"/>
    </w:lvlOverride>
  </w:num>
  <w:num xmlns:w="http://schemas.openxmlformats.org/wordprocessingml/2006/main" w:numId="1024">
    <w:abstractNumId w:val="1001"/>
    <w:lvlOverride w:ilvl="0">
      <w:startOverride w:val="1"/>
    </w:lvlOverride>
  </w:num>
  <w:num xmlns:w="http://schemas.openxmlformats.org/wordprocessingml/2006/main" w:numId="1025">
    <w:abstractNumId w:val="1000"/>
    <w:lvlOverride w:ilvl="0">
      <w:startOverride w:val="1"/>
    </w:lvlOverride>
  </w:num>
  <w:num xmlns:w="http://schemas.openxmlformats.org/wordprocessingml/2006/main" w:numId="1026">
    <w:abstractNumId w:val="1001"/>
    <w:lvlOverride w:ilvl="0">
      <w:startOverride w:val="1"/>
    </w:lvlOverride>
  </w:num>
  <w:num xmlns:w="http://schemas.openxmlformats.org/wordprocessingml/2006/main" w:numId="1027">
    <w:abstractNumId w:val="1001"/>
    <w:lvlOverride w:ilvl="0">
      <w:startOverride w:val="1"/>
    </w:lvlOverride>
  </w:num>
  <w:num xmlns:w="http://schemas.openxmlformats.org/wordprocessingml/2006/main" w:numId="1028">
    <w:abstractNumId w:val="1001"/>
    <w:lvlOverride w:ilvl="0">
      <w:startOverride w:val="1"/>
    </w:lvlOverride>
  </w:num>
  <w:num xmlns:w="http://schemas.openxmlformats.org/wordprocessingml/2006/main" w:numId="1029">
    <w:abstractNumId w:val="1001"/>
    <w:lvlOverride w:ilvl="0">
      <w:startOverride w:val="1"/>
    </w:lvlOverride>
  </w:num>
  <w:num xmlns:w="http://schemas.openxmlformats.org/wordprocessingml/2006/main" w:numId="1030">
    <w:abstractNumId w:val="1001"/>
    <w:lvlOverride w:ilvl="0">
      <w:startOverride w:val="1"/>
    </w:lvlOverride>
  </w:num>
  <w:num xmlns:w="http://schemas.openxmlformats.org/wordprocessingml/2006/main" w:numId="1031">
    <w:abstractNumId w:val="1001"/>
    <w:lvlOverride w:ilvl="0">
      <w:startOverride w:val="1"/>
    </w:lvlOverride>
  </w:num>
  <w:num xmlns:w="http://schemas.openxmlformats.org/wordprocessingml/2006/main" w:numId="1032">
    <w:abstractNumId w:val="1001"/>
    <w:lvlOverride w:ilvl="0">
      <w:startOverride w:val="1"/>
    </w:lvlOverride>
  </w:num>
  <w:num xmlns:w="http://schemas.openxmlformats.org/wordprocessingml/2006/main" w:numId="1033">
    <w:abstractNumId w:val="1000"/>
    <w:lvlOverride w:ilvl="0">
      <w:startOverride w:val="1"/>
    </w:lvlOverride>
  </w:num>
  <!-- ANGERONA_LIST_RESTARTS_END -->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 Id="rIdAngeronaSecurityFlow6" Type="http://schemas.openxmlformats.org/officeDocument/2006/relationships/image" Target="media/security-flow-hardeni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2026-10-30T00:00:00Z</dcterms:modified>
  <cp:category/>
</cp:coreProperties>
</file>