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t>Cycle 17 current-development edition  |  20 August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t>12. Cycle 7 Enterprise Control-Plane Foundations</w:t>
      </w:r>
    </w:p>
    <w:p>
      <w:pPr>
        <w:pStyle w:val="ListBullet"/>
      </w:pPr>
      <w:r>
        <w:t>13. Cycle 8 Local Fleet Preview and Response Safety</w:t>
      </w:r>
    </w:p>
    <w:p>
      <w:pPr>
        <w:pStyle w:val="ListBullet"/>
      </w:pPr>
      <w:r>
        <w:t>14. Cycle 9 Security, Reliability, Performance, and Enterprise Evidence</w:t>
      </w:r>
    </w:p>
    <w:p>
      <w:pPr>
        <w:pStyle w:val="ListBullet"/>
      </w:pPr>
      <w:r>
        <w:t>15. Cycle 10 Fleet Integrity and Access Governance</w:t>
      </w:r>
    </w:p>
    <w:p>
      <w:pPr>
        <w:pStyle w:val="ListBullet"/>
      </w:pPr>
      <w:r>
        <w:t>16. Cycle 11 Atomic Fleet Delivery</w:t>
      </w:r>
    </w:p>
    <w:p>
      <w:pPr>
        <w:pStyle w:val="ListBullet"/>
      </w:pPr>
      <w:r>
        <w:t>17. Cycles 12-13 Compressed Delivery and Admission Control</w:t>
      </w:r>
    </w:p>
    <w:p>
      <w:pPr>
        <w:pStyle w:val="ListBullet"/>
      </w:pPr>
      <w:r>
        <w:t>18. Cycle 17 Adversarial Convergence and Runtime Reliability</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Local Fleet Preview identity, scoped Role-Based Access Control, signed policy, hunts, cases, and evidence are shipped foundations. Production mutual Transport Layer Security, OpenID Connect, cross-host high availability/search, publisher signing, and independent disaster recovery remain external gates.</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t>Runtime data, settings, the flight-recorder database, reports, diagnostics, watchdog state, scanner evidence, and inherited temporary work live under the configured canonical data root. Windows source launchers set the sibling &lt;install-folder&gt;\..\AngeronaData tree on D: and overwrite inherited ANGERONA_DATA before elevation. The legacy %LOCALAPPDATA%\Angerona location is migration input only,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Windows source launch: sibling &lt;install-folder&gt;\..\AngeronaData on D:. Packaged launch: protected D:\AngeronaData, with protected %PROGRAMDATA%\Angerona only when D: is unavailable. These roots contain the flight-recorder DB, settings, logs, diagnostics, scanner evidence, reports, and forensic cases. %LOCALAPPDATA%\Angerona is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c>
          <w:tcPr>
            <w:tcW w:type="dxa" w:w="1782"/>
          </w:tcPr>
          <w:p>
            <w:r>
              <w:t>v1.9.4 / Cycle 17</w:t>
            </w:r>
          </w:p>
        </w:tc>
        <w:tc>
          <w:tcPr>
            <w:tcW w:type="dxa" w:w="7578"/>
          </w:tcPr>
          <w:p>
            <w:r>
              <w:t>Qt and Fleet crash/shutdown fixes; truthful CVE staging and scoring; isolated self-tests; remote observe-only authority; coalesced long-run UI work; canonical data paths; hash-locked release inputs; 744-test gate.</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pStyle w:val="Heading1"/>
      </w:pPr>
      <w:r>
        <w:t>12. Cycle 7 Enterprise Control-Plane Foundations</w:t>
      </w:r>
    </w:p>
    <w:p>
      <w:pPr>
        <w:pStyle w:val="Heading1"/>
      </w:pPr>
      <w:r>
        <w:t>13. Cycle 8 Local Fleet Preview and Response Safety</w:t>
      </w:r>
    </w:p>
    <w:p>
      <w:pPr>
        <w:pStyle w:val="Heading1"/>
      </w:pPr>
      <w:r>
        <w:t>14. Cycle 9 Security, Reliability, Performance, and Enterprise Evidence</w:t>
      </w:r>
    </w:p>
    <w:p>
      <w:pPr>
        <w:pStyle w:val="Heading1"/>
      </w:pPr>
      <w:r>
        <w:t>15. Cycle 10 Fleet Integrity and Access Governance</w:t>
      </w:r>
    </w:p>
    <w:p>
      <w:pPr>
        <w:pStyle w:val="Heading1"/>
      </w:pPr>
      <w:r>
        <w:t>16. Cycle 11 Atomic Fleet Delivery</w:t>
      </w:r>
    </w:p>
    <w:p>
      <w:pPr>
        <w:pStyle w:val="Heading1"/>
      </w:pPr>
      <w:r>
        <w:t>17. Cycles 12-13 Compressed Delivery and Admission Control</w:t>
      </w:r>
    </w:p>
    <w:p>
      <w:pPr>
        <w:pStyle w:val="Heading1"/>
      </w:pPr>
      <w:r>
        <w:t>18. Cycle 17 Adversarial Convergence and Runtime Reliability</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universal open and close transition now covers later top-level Angerona dialogs globally, including legacy and indirect paths, reused hidden dialogs, Black Box, Watchdog and Scanner status windows, and standalone Sandbox and Upgrade Console processes. Overlapping windows remain masked as a live accent line until their serialized reveal; a close-time confirmation can open safely while its owner reverses. ARIA Voice and Microphone settings are explicitly routed from their source button. Tooltips, pop-up menus, and the holographic token retain their purpose-built motion, and reduced-motion settings remain authoritative.</w:t>
      </w:r>
    </w:p>
    <w:p>
      <w:pPr>
        <w:pStyle w:val="ListBullet"/>
      </w:pPr>
      <w:r>
        <w:t>Final repository evidence: 522 tests passed, 2 intentional platform-dependent skips, 0 failures; Python compilation, Ruff, and whitespace checks passed. The focused universal-window lifecycle gate passed 16 tests.</w:t>
      </w:r>
    </w:p>
    <w:p>
      <w:r>
        <w:br w:type="page"/>
      </w:r>
    </w:p>
    <w:p>
      <w:pPr>
        <w:pStyle w:val="Heading1"/>
      </w:pPr>
      <w:r>
        <w:t>Cycle 9. Security, Reliability, Performance, and Enterprise Evidence</w:t>
      </w:r>
    </w:p>
    <w:p>
      <w:r>
        <w:t>Verification date: 1 August 2026. This section records a five-loop engineering pass over security and privacy, crash recovery, sustained responsiveness, enterprise controls, and public-release evidence. Claims below describe shipped local behavior; production deployment dependencies remain explicit external gates.</w:t>
      </w:r>
    </w:p>
    <w:p>
      <w:pPr>
        <w:pStyle w:val="Heading2"/>
      </w:pPr>
      <w:r>
        <w:t>Security and privacy boundaries</w:t>
      </w:r>
    </w:p>
    <w:p>
      <w:pPr>
        <w:pStyle w:val="ListBullet"/>
      </w:pPr>
      <w:r>
        <w:t>Process-baseline trust now validates exact canonical executable paths, rejects redirection and reparse points, authenticates durable state, uses non-blocking lifecycle control, and keeps trust approval separate from observation.</w:t>
      </w:r>
    </w:p>
    <w:p>
      <w:pPr>
        <w:pStyle w:val="ListBullet"/>
      </w:pPr>
      <w:r>
        <w:t>A central outbound URL policy constrains schemes, credentials, host and address classes, redirects, request size, response size, and timeouts. Local model traffic is restricted to loopback and public retrieval rejects private, link-local, loopback, and metadata-service destinations.</w:t>
      </w:r>
    </w:p>
    <w:p>
      <w:pPr>
        <w:pStyle w:val="ListBullet"/>
      </w:pPr>
      <w:r>
        <w:t>Extensible Markup Language parsing uses hardened parsers and explicit document-size budgets. Product network callers no longer bypass the central transport boundary.</w:t>
      </w:r>
    </w:p>
    <w:p>
      <w:pPr>
        <w:pStyle w:val="ListBullet"/>
      </w:pPr>
      <w:r>
        <w:t>Startup and enterprise diagnostics retain exception type and impact without copying raw paths, credentials, prompts, responses, or host identifiers into public-safe evidence.</w:t>
      </w:r>
    </w:p>
    <w:p>
      <w:pPr>
        <w:pStyle w:val="Heading2"/>
      </w:pPr>
      <w:r>
        <w:t>Crash visibility and recovery</w:t>
      </w:r>
    </w:p>
    <w:p>
      <w:pPr>
        <w:pStyle w:val="ListBullet"/>
      </w:pPr>
      <w:r>
        <w:t>Optional service startup failures publish signed Startup Health evidence instead of disappearing in daemon threads. A protection-module loader failure is classified Critical because it can stop protection coverage.</w:t>
      </w:r>
    </w:p>
    <w:p>
      <w:pPr>
        <w:pStyle w:val="ListBullet"/>
      </w:pPr>
      <w:r>
        <w:t>Black Box text presentation, Settings save compatibility, dialog worker lifecycle, Watchdog restart state, and hidden-window timer behavior have deterministic regression coverage.</w:t>
      </w:r>
    </w:p>
    <w:p>
      <w:pPr>
        <w:pStyle w:val="ListBullet"/>
      </w:pPr>
      <w:r>
        <w:t>Failures remain degraded and observable rather than crashing the core. No recovery path receives a generic command shell or model authority.</w:t>
      </w:r>
    </w:p>
    <w:p>
      <w:pPr>
        <w:pStyle w:val="Heading2"/>
      </w:pPr>
      <w:r>
        <w:t>Sustained responsiveness and local model governance</w:t>
      </w:r>
    </w:p>
    <w:p>
      <w:pPr>
        <w:pStyle w:val="ListBullet"/>
      </w:pPr>
      <w:r>
        <w:t>World View no longer performs a synthetic model generation every eight seconds. It reads aggregate timing from the last real inference, avoiding continuous model wakeups and unnecessary processor use.</w:t>
      </w:r>
    </w:p>
    <w:p>
      <w:pPr>
        <w:pStyle w:val="ListBullet"/>
      </w:pPr>
      <w:r>
        <w:t>All Ollama generation routes through one guarded client with loopback-only transport, bounded request/response streams, redaction before display, safe errors, and aggregate-only diagnostics. Prompt and response bodies are not cached for performance reporting.</w:t>
      </w:r>
    </w:p>
    <w:p>
      <w:pPr>
        <w:pStyle w:val="ListBullet"/>
      </w:pPr>
      <w:r>
        <w:t>The Artificial Intelligence proxy moves upstream work off its event loop, bounds request bodies, and rejects invalid JSON. Cloud code synthesis is off by default and no longer places provider credentials in a URL.</w:t>
      </w:r>
    </w:p>
    <w:p>
      <w:pPr>
        <w:pStyle w:val="ListBullet"/>
      </w:pPr>
      <w:r>
        <w:t>Long-running histories, voice work, scanner queues, legacy defense queues, and diagnostic text widgets have fixed bounds and non-blocking overflow behavior. Hidden threat-intelligence polling stops until the window is shown again.</w:t>
      </w:r>
    </w:p>
    <w:p>
      <w:pPr>
        <w:pStyle w:val="ListBullet"/>
      </w:pPr>
      <w:r>
        <w:t>Closed asynchronous windows reject late completion without deleting live workers prematurely. The full lifecycle suite covers these boundaries.</w:t>
      </w:r>
    </w:p>
    <w:p>
      <w:pPr>
        <w:pStyle w:val="Heading2"/>
      </w:pPr>
      <w:r>
        <w:t>Runtime enterprise identity and readiness evidence</w:t>
      </w:r>
    </w:p>
    <w:p>
      <w:pPr>
        <w:pStyle w:val="ListBullet"/>
      </w:pPr>
      <w:r>
        <w:t>Enabling Fleet Preview creates or loads a protected per-endpoint Ed25519 identity, registers its stable public identity under the configured tenant, and stores the hostname only as a tenant-keyed token.</w:t>
      </w:r>
    </w:p>
    <w:p>
      <w:pPr>
        <w:pStyle w:val="ListBullet"/>
      </w:pPr>
      <w:r>
        <w:t>The authenticated preview remains loopback-only. It uses freshness, full-target request authentication, durable replay resistance, tenant-scoped inventory, deduplicated ingestion, quarantine and revocation enforcement, and authenticated receipts.</w:t>
      </w:r>
    </w:p>
    <w:p>
      <w:pPr>
        <w:pStyle w:val="ListBullet"/>
      </w:pPr>
      <w:r>
        <w:t>Enterprise Readiness assessment version 2 credits tested local identity, Role-Based Access Control, signed policy rollout, backup/restore, release, audit, privacy, integrity, and bounded-storage foundations. It separately lists production-only dependencies rather than treating them as local bugs.</w:t>
      </w:r>
    </w:p>
    <w:p>
      <w:pPr>
        <w:pStyle w:val="ListBullet"/>
      </w:pPr>
      <w:r>
        <w:t>Settings shows whether Fleet Preview is disabled, configured, or running, plus a low-cardinality endpoint-identity state and registered-device count. A deterministic Copy public-safe evidence action excludes hostnames, user names, paths, credentials, event payloads, and endpoint identifiers.</w:t>
      </w:r>
    </w:p>
    <w:p>
      <w:pPr>
        <w:pStyle w:val="Heading2"/>
      </w:pPr>
      <w:r>
        <w:t>Production deployment gates</w:t>
      </w:r>
    </w:p>
    <w:p>
      <w:pPr>
        <w:pStyle w:val="ListBullet"/>
      </w:pPr>
      <w:r>
        <w:t>Mutual Transport Layer Security (mTLS), external certificate authority custody, and preferably non-exportable hardware-backed endpoint keys.</w:t>
      </w:r>
    </w:p>
    <w:p>
      <w:pPr>
        <w:pStyle w:val="ListBullet"/>
      </w:pPr>
      <w:r>
        <w:t>Single Sign-On (SSO), OpenID Connect (OIDC), organization lifecycle, separation of duties, and an independently retained administrator ledger.</w:t>
      </w:r>
    </w:p>
    <w:p>
      <w:pPr>
        <w:pStyle w:val="ListBullet"/>
      </w:pPr>
      <w:r>
        <w:t>High-availability ingestion/search, independent-host backup and disaster-recovery drills, long-duration physical-host soak evidence, and external penetration testing.</w:t>
      </w:r>
    </w:p>
    <w:p>
      <w:pPr>
        <w:pStyle w:val="ListBullet"/>
      </w:pPr>
      <w:r>
        <w:t>Authenticode publisher identity, enforced repository rulesets, signed release promotion, and platform-vendor signing/notarization where required.</w:t>
      </w:r>
    </w:p>
    <w:p>
      <w:pPr>
        <w:pStyle w:val="ListBullet"/>
      </w:pPr>
      <w:r>
        <w:t>No local score or test result is a claim of enterprise certification, kernel tamper-proofing, or a production multi-tenant service.</w:t>
      </w:r>
    </w:p>
    <w:p>
      <w:pPr>
        <w:pStyle w:val="Heading2"/>
      </w:pPr>
      <w:r>
        <w:t>Final verification evidence</w:t>
      </w:r>
    </w:p>
    <w:p>
      <w:pPr>
        <w:pStyle w:val="ListBullet"/>
      </w:pPr>
      <w:r>
        <w:t>The authoritative serial Windows suite passes 556 tests with 2 intentional platform-dependent skips and 0 failures.</w:t>
      </w:r>
    </w:p>
    <w:p>
      <w:pPr>
        <w:pStyle w:val="ListBullet"/>
      </w:pPr>
      <w:r>
        <w:t>Python bytecode compilation and Ruff correctness checks pass. The release gate records dependency audit, documentation drift, unit tests, lint, and bytecode results as bounded content-addressed evidence.</w:t>
      </w:r>
    </w:p>
    <w:p>
      <w:pPr>
        <w:pStyle w:val="ListBullet"/>
      </w:pPr>
      <w:r>
        <w:t>The public-facing repository and documentation are scanned for tracked credentials, private keys, user-profile paths, databases, runtime state, and cache artifacts. Synthetic screenshots remain explicitly labeled.</w:t>
      </w:r>
    </w:p>
    <w:p>
      <w:r>
        <w:br w:type="page"/>
      </w:r>
    </w:p>
    <w:p>
      <w:pPr>
        <w:pStyle w:val="Heading1"/>
      </w:pPr>
      <w:r>
        <w:t>Cycle 10. Fleet Integrity and Access Governance</w:t>
      </w:r>
    </w:p>
    <w:p>
      <w:r>
        <w:t>Verification date: 1 August 2026. This section records the next offline-first enterprise tranche: trustworthy fleet chronology, device-bound event identity, a versioned local API contract, and a canonical least-privilege role model. These are tested local preview controls, not a claim of production fleet deployment.</w:t>
      </w:r>
    </w:p>
    <w:p>
      <w:pPr>
        <w:pStyle w:val="Heading2"/>
      </w:pPr>
      <w:r>
        <w:t>Fleet ingestion integrity</w:t>
      </w:r>
    </w:p>
    <w:p>
      <w:pPr>
        <w:pStyle w:val="ListBullet"/>
      </w:pPr>
      <w:r>
        <w:t>A tenant event identifier is permanently bound to its originating device and event body. Exact retries preserve the original observed time, server-received time, clock classification, skew, device identity, and event hash. Reuse from another device or with changed evidence fails closed.</w:t>
      </w:r>
    </w:p>
    <w:p>
      <w:pPr>
        <w:pStyle w:val="ListBullet"/>
      </w:pPr>
      <w:r>
        <w:t>Event bodies are copied into finite, bounded plain JavaScript Object Notation. Non-string or empty keys, invalid UTF-8, custom objects, cycles, non-finite numbers, integers outside the signed 64-bit range, and byte/depth/node/container overflow are rejected before hashing or database insertion.</w:t>
      </w:r>
    </w:p>
    <w:p>
      <w:pPr>
        <w:pStyle w:val="ListBullet"/>
      </w:pPr>
      <w:r>
        <w:t>Endpoint-observed time, server-received time, and signed clock skew are separate evidence. Clock quality is synchronized, skewed, untrusted, server-assigned, or legacy. Device last-seen health uses server time, so a drifting endpoint cannot move inventory state into the future or past.</w:t>
      </w:r>
    </w:p>
    <w:p>
      <w:pPr>
        <w:pStyle w:val="ListBullet"/>
      </w:pPr>
      <w:r>
        <w:t>Existing Fleet Preview databases migrate in place. New timing columns and health counters are added without deleting evidence; older records remain explicitly legacy and therefore uncertain.</w:t>
      </w:r>
    </w:p>
    <w:p>
      <w:pPr>
        <w:pStyle w:val="Heading2"/>
      </w:pPr>
      <w:r>
        <w:t>Versioned local API and health evidence</w:t>
      </w:r>
    </w:p>
    <w:p>
      <w:pPr>
        <w:pStyle w:val="ListBullet"/>
      </w:pPr>
      <w:r>
        <w:t>The loopback Fleet Preview publishes a deterministic OpenAPI 3.1 contract for its health, contract, device inventory, event, and ingestion-health routes. The contract describes only routes actually shipped.</w:t>
      </w:r>
    </w:p>
    <w:p>
      <w:pPr>
        <w:pStyle w:val="ListBullet"/>
      </w:pPr>
      <w:r>
        <w:t>Every versioned route except the minimal health check requires a fresh, one-time, complete-path/query/body Hash-based Message Authentication Code using Secure Hash Algorithm 256 request. The service remains loopback-only and exposes no generic command route.</w:t>
      </w:r>
    </w:p>
    <w:p>
      <w:pPr>
        <w:pStyle w:val="ListBullet"/>
      </w:pPr>
      <w:r>
        <w:t>POST bodies require application/json and a bounded content length. Responses are no-store and nosniff, and the service header does not disclose the Python runtime version.</w:t>
      </w:r>
    </w:p>
    <w:p>
      <w:pPr>
        <w:pStyle w:val="ListBullet"/>
      </w:pPr>
      <w:r>
        <w:t>Durable per-tenant counters record stored events, duplicate retries, clock classifications, last receipt time, and device states. The public readiness surface removes tenant and device identity and retains only bounded counts, state, and the public contract digest.</w:t>
      </w:r>
    </w:p>
    <w:p>
      <w:pPr>
        <w:pStyle w:val="ListBullet"/>
      </w:pPr>
      <w:r>
        <w:t>Enterprise Settings can copy the API contract directly. Neither the contract nor the copy action includes a service key, tenant, endpoint, hostname, username, local path, event payload, or identity key.</w:t>
      </w:r>
    </w:p>
    <w:p>
      <w:pPr>
        <w:pStyle w:val="Heading2"/>
      </w:pPr>
      <w:r>
        <w:t>Least-privilege roles and duty separation</w:t>
      </w:r>
    </w:p>
    <w:p>
      <w:pPr>
        <w:pStyle w:val="ListBullet"/>
      </w:pPr>
      <w:r>
        <w:t>The canonical local role catalog contains Viewer, Analyst, Hunter, Responder, Detection Engineer, Fleet Operator, Tenant Administrator, Platform Administrator, and Auditor.</w:t>
      </w:r>
    </w:p>
    <w:p>
      <w:pPr>
        <w:pStyle w:val="ListBullet"/>
      </w:pPr>
      <w:r>
        <w:t>Authorization remains default-deny with explicit-deny precedence, canonical hierarchical scope, expiring service principals, bounded permission wildcards, idempotent decisions, and authenticated receipts.</w:t>
      </w:r>
    </w:p>
    <w:p>
      <w:pPr>
        <w:pStyle w:val="ListBullet"/>
      </w:pPr>
      <w:r>
        <w:t>A single principal cannot combine Auditor with an operational role in an overlapping scope. Detection Engineer cannot overlap Tenant or Platform Administrator policy-activation authority. Distinct non-overlapping scopes remain valid.</w:t>
      </w:r>
    </w:p>
    <w:p>
      <w:pPr>
        <w:pStyle w:val="ListBullet"/>
      </w:pPr>
      <w:r>
        <w:t>The action-time Response Broker separately requires an independent approver and two approvers for high or critical operations. External identity-provider lifecycle, protected release-key ceremony, and administrator-ledger retention remain deployment gates.</w:t>
      </w:r>
    </w:p>
    <w:p>
      <w:pPr>
        <w:pStyle w:val="Heading2"/>
      </w:pPr>
      <w:r>
        <w:t>Verification and honest boundary</w:t>
      </w:r>
    </w:p>
    <w:p>
      <w:pPr>
        <w:pStyle w:val="ListBullet"/>
      </w:pPr>
      <w:r>
        <w:t>The authoritative serial Windows repository suite passes 576 tests with 2 intentional platform-dependent skips and 0 failures.</w:t>
      </w:r>
    </w:p>
    <w:p>
      <w:pPr>
        <w:pStyle w:val="ListBullet"/>
      </w:pPr>
      <w:r>
        <w:t>Ruff correctness checks and Python bytecode compilation pass. A focused Bandit scan reports no medium- or high-severity finding in the changed fleet and readiness boundaries.</w:t>
      </w:r>
    </w:p>
    <w:p>
      <w:pPr>
        <w:pStyle w:val="ListBullet"/>
      </w:pPr>
      <w:r>
        <w:t>Adversarial regression coverage includes database migration, invalid and non-finite timestamps, invalid/deep/cyclic JSON, device-bound replay, concurrent ingestion, authenticated API access, content type, public-safe evidence, standard role permissions, and separation of duties.</w:t>
      </w:r>
    </w:p>
    <w:p>
      <w:pPr>
        <w:pStyle w:val="ListBullet"/>
      </w:pPr>
      <w:r>
        <w:t>Production mutual Transport Layer Security, Single Sign-On/OpenID Connect, protected publisher signing, repository rulesets, high availability, external penetration review, and long-duration physical-host soaks remain separate gates.</w:t>
      </w:r>
    </w:p>
    <w:p>
      <w:r>
        <w:br w:type="page"/>
      </w:r>
    </w:p>
    <w:p>
      <w:pPr>
        <w:pStyle w:val="Heading1"/>
      </w:pPr>
      <w:r>
        <w:t>Cycle 11. Atomic Fleet Delivery</w:t>
      </w:r>
    </w:p>
    <w:p>
      <w:r>
        <w:t>Verification date: 1 August 2026. This section records a bounded, all-or-nothing fleet-ingestion path intended to reduce local database overhead while preserving tenant, device, evidence, privacy, and replay boundaries. It is a tested loopback Fleet Preview capability, not a claim of production remote ingestion.</w:t>
      </w:r>
    </w:p>
    <w:p>
      <w:pPr>
        <w:pStyle w:val="Heading2"/>
      </w:pPr>
      <w:r>
        <w:t>Atomic bounded batch contract</w:t>
      </w:r>
    </w:p>
    <w:p>
      <w:pPr>
        <w:pStyle w:val="ListBullet"/>
      </w:pPr>
      <w:r>
        <w:t>The canonical fleet write path accepts one to 256 event envelopes. Single-event ingestion calls the same path with one item, preventing validation and retry semantics from diverging between interfaces.</w:t>
      </w:r>
    </w:p>
    <w:p>
      <w:pPr>
        <w:pStyle w:val="ListBullet"/>
      </w:pPr>
      <w:r>
        <w:t>Each event retains a 256 KiB normalized body limit. A batch has a 4 MiB aggregate normalized-payload limit. JavaScript Object Notation depth, node, container, number, key, and UTF-8 limits remain enforced before a database write lock is acquired.</w:t>
      </w:r>
    </w:p>
    <w:p>
      <w:pPr>
        <w:pStyle w:val="ListBullet"/>
      </w:pPr>
      <w:r>
        <w:t>Envelope fields are exact: device identifier, event identifier, body, and optional observed time. Missing fields, unknown fields, invalid identifiers, invalid time, custom objects, and oversized input fail without truncation.</w:t>
      </w:r>
    </w:p>
    <w:p>
      <w:pPr>
        <w:pStyle w:val="ListBullet"/>
      </w:pPr>
      <w:r>
        <w:t>Every named endpoint must be enrolled and active. Missing, revoked, quarantined, or retired state rolls back the complete batch, including event rows, device liveness, and health counters.</w:t>
      </w:r>
    </w:p>
    <w:p>
      <w:pPr>
        <w:pStyle w:val="Heading2"/>
      </w:pPr>
      <w:r>
        <w:t>Performance and retry behavior</w:t>
      </w:r>
    </w:p>
    <w:p>
      <w:pPr>
        <w:pStyle w:val="ListBullet"/>
      </w:pPr>
      <w:r>
        <w:t>A batch uses one immediate SQLite transaction, looks up state only for the distinct endpoints it names, updates each touched endpoint once, and writes health counters in one aggregate statement.</w:t>
      </w:r>
    </w:p>
    <w:p>
      <w:pPr>
        <w:pStyle w:val="ListBullet"/>
      </w:pPr>
      <w:r>
        <w:t>Exact at-least-once retries return signed duplicate receipts with the original observed time, server-received time, clock classification, skew, endpoint binding, and event digest.</w:t>
      </w:r>
    </w:p>
    <w:p>
      <w:pPr>
        <w:pStyle w:val="ListBullet"/>
      </w:pPr>
      <w:r>
        <w:t>An event identifier reused by another endpoint or with changed evidence fails closed. If that conflict occurs after valid items in the batch, the earlier provisional writes are rolled back as well.</w:t>
      </w:r>
    </w:p>
    <w:p>
      <w:pPr>
        <w:pStyle w:val="ListBullet"/>
      </w:pPr>
      <w:r>
        <w:t>Batch membership does not assert total ordering between endpoints or sensors. Signed receipt time and clock-quality evidence remain separate from endpoint-observed chronology.</w:t>
      </w:r>
    </w:p>
    <w:p>
      <w:pPr>
        <w:pStyle w:val="Heading2"/>
      </w:pPr>
      <w:r>
        <w:t>Application programming interface and health</w:t>
      </w:r>
    </w:p>
    <w:p>
      <w:pPr>
        <w:pStyle w:val="ListBullet"/>
      </w:pPr>
      <w:r>
        <w:t>The deterministic OpenAPI 3.1 contract is version 1.1.0 and documents the authenticated event-batch route, exact event schema, and maximum item count.</w:t>
      </w:r>
    </w:p>
    <w:p>
      <w:pPr>
        <w:pStyle w:val="ListBullet"/>
      </w:pPr>
      <w:r>
        <w:t>The route retains loopback-only binding, complete path/query/body Hash-based Message Authentication Code using Secure Hash Algorithm 256, fresh timestamps, durable one-time nonces, JavaScript Object Notation media type, and the existing request-size boundary.</w:t>
      </w:r>
    </w:p>
    <w:p>
      <w:pPr>
        <w:pStyle w:val="ListBullet"/>
      </w:pPr>
      <w:r>
        <w:t>Durable low-cardinality health adds accepted batches, attempted events, and largest accepted batch. It does not retain event payloads, hostnames, user names, paths, endpoint identifiers, or keys.</w:t>
      </w:r>
    </w:p>
    <w:p>
      <w:pPr>
        <w:pStyle w:val="Heading2"/>
      </w:pPr>
      <w:r>
        <w:t>Verification and remaining gates</w:t>
      </w:r>
    </w:p>
    <w:p>
      <w:pPr>
        <w:pStyle w:val="ListBullet"/>
      </w:pPr>
      <w:r>
        <w:t>The authoritative serial Windows repository suite passes 580 tests with 2 intentional platform-dependent skips and 0 failures.</w:t>
      </w:r>
    </w:p>
    <w:p>
      <w:pPr>
        <w:pStyle w:val="ListBullet"/>
      </w:pPr>
      <w:r>
        <w:t>Ruff correctness checks, Python bytecode compilation, whitespace validation, and a focused Bandit medium/high scan pass.</w:t>
      </w:r>
    </w:p>
    <w:p>
      <w:pPr>
        <w:pStyle w:val="ListBullet"/>
      </w:pPr>
      <w:r>
        <w:t>Regression coverage proves one-transaction behavior, complete rollback, signed receipts, exact retry, count/field/byte rejection, authenticated HTTP use, contract fidelity, and migration-compatible health.</w:t>
      </w:r>
    </w:p>
    <w:p>
      <w:pPr>
        <w:pStyle w:val="ListBullet"/>
      </w:pPr>
      <w:r>
        <w:t>Compression and adaptive flow control, production mutual Transport Layer Security, remote rate limits, high availability, long physical-host soaks, and independent penetration testing remain separate gates.</w:t>
      </w:r>
    </w:p>
    <w:p>
      <w:r>
        <w:br w:type="page"/>
      </w:r>
    </w:p>
    <w:p>
      <w:pPr>
        <w:pStyle w:val="Heading1"/>
      </w:pPr>
      <w:r>
        <w:t>Cycles 12-13. Compressed Delivery and Admission Control</w:t>
      </w:r>
    </w:p>
    <w:p>
      <w:r>
        <w:t>Verification date: 1 August 2026. These cycles add bounded request compression, explicit transport negotiation, and local overload admission to the authenticated loopback Fleet Preview. They reduce bandwidth and event-storm risk without claiming production transport, distributed quota enforcement, or high availability.</w:t>
      </w:r>
    </w:p>
    <w:p>
      <w:pPr>
        <w:pStyle w:val="Heading2"/>
      </w:pPr>
      <w:r>
        <w:t>Authenticated bounded compression</w:t>
      </w:r>
    </w:p>
    <w:p>
      <w:pPr>
        <w:pStyle w:val="ListBullet"/>
      </w:pPr>
      <w:r>
        <w:t>The request Hash-based Message Authentication Code using Secure Hash Algorithm 256 covers the exact wire representation. A request is not decoded until freshness, signature, and one-time nonce checks pass.</w:t>
      </w:r>
    </w:p>
    <w:p>
      <w:pPr>
        <w:pStyle w:val="ListBullet"/>
      </w:pPr>
      <w:r>
        <w:t>Identity and gzip are the only supported request encodings. A gzip body must contain exactly one complete member. Malformed or incomplete streams, trailing bytes, and concatenated members fail closed.</w:t>
      </w:r>
    </w:p>
    <w:p>
      <w:pPr>
        <w:pStyle w:val="ListBullet"/>
      </w:pPr>
      <w:r>
        <w:t>Wire and decoded bodies are independently capped at 5 MiB. Expansion beyond the decoded budget fails before JavaScript Object Notation parsing. The 256 KiB per-event and 4 MiB aggregate normalized batch limits remain separate post-decoding controls.</w:t>
      </w:r>
    </w:p>
    <w:p>
      <w:pPr>
        <w:pStyle w:val="ListBullet"/>
      </w:pPr>
      <w:r>
        <w:t>The decoder streams into a fixed output budget; it does not use an unbounded convenience decompressor on authenticated request data.</w:t>
      </w:r>
    </w:p>
    <w:p>
      <w:pPr>
        <w:pStyle w:val="Heading2"/>
      </w:pPr>
      <w:r>
        <w:t>Capability negotiation</w:t>
      </w:r>
    </w:p>
    <w:p>
      <w:pPr>
        <w:pStyle w:val="ListBullet"/>
      </w:pPr>
      <w:r>
        <w:t>The deterministic OpenAPI 3.1 contract is version 1.2.0. It documents identity/gzip support and the wire, decoded, normalized, batch-item, compression-threshold, and default admission limits.</w:t>
      </w:r>
    </w:p>
    <w:p>
      <w:pPr>
        <w:pStyle w:val="ListBullet"/>
      </w:pPr>
      <w:r>
        <w:t>An authenticated ingestion-capabilities route returns the same bounded transport contract so endpoint software can choose compression and batch size without sending probe failures.</w:t>
      </w:r>
    </w:p>
    <w:p>
      <w:pPr>
        <w:pStyle w:val="ListBullet"/>
      </w:pPr>
      <w:r>
        <w:t>The capability response contains no tenant, endpoint, host, user, local path, event payload, credential, nonce, signature, or key identity.</w:t>
      </w:r>
    </w:p>
    <w:p>
      <w:pPr>
        <w:pStyle w:val="Heading2"/>
      </w:pPr>
      <w:r>
        <w:t>Per-tenant and per-device admission</w:t>
      </w:r>
    </w:p>
    <w:p>
      <w:pPr>
        <w:pStyle w:val="ListBullet"/>
      </w:pPr>
      <w:r>
        <w:t>Thread-safe token buckets enforce default tenant and endpoint event rates. Bucket count is hard-bounded and refill uses a monotonic clock.</w:t>
      </w:r>
    </w:p>
    <w:p>
      <w:pPr>
        <w:pStyle w:val="ListBullet"/>
      </w:pPr>
      <w:r>
        <w:t>Admission runs only after tenant authorization and proof that every named device is enrolled and active, but before event lookup or insert. Missing, quarantined, revoked, or retired identities cannot allocate rate-limit state.</w:t>
      </w:r>
    </w:p>
    <w:p>
      <w:pPr>
        <w:pStyle w:val="ListBullet"/>
      </w:pPr>
      <w:r>
        <w:t>A denied batch raises an explicit bounded retry delay and rolls the database transaction back before evidence, last-seen state, or durable ingestion counters change. The HTTP boundary returns status 429 and a fixed numeric Retry-After header.</w:t>
      </w:r>
    </w:p>
    <w:p>
      <w:pPr>
        <w:pStyle w:val="ListBullet"/>
      </w:pPr>
      <w:r>
        <w:t>Admission attempts are process-local operational metrics and reset at restart. Stored, duplicate, clock-quality, and batch counters remain durable and semantically separate.</w:t>
      </w:r>
    </w:p>
    <w:p>
      <w:pPr>
        <w:pStyle w:val="Heading2"/>
      </w:pPr>
      <w:r>
        <w:t>Verification and remaining gates</w:t>
      </w:r>
    </w:p>
    <w:p>
      <w:pPr>
        <w:pStyle w:val="ListBullet"/>
      </w:pPr>
      <w:r>
        <w:t>The authoritative serial Windows repository suite passes 586 tests with 2 intentional platform-dependent skips and 0 failures.</w:t>
      </w:r>
    </w:p>
    <w:p>
      <w:pPr>
        <w:pStyle w:val="ListBullet"/>
      </w:pPr>
      <w:r>
        <w:t>Ruff correctness checks, Python bytecode compilation, whitespace validation, and focused Bandit medium/high scans pass.</w:t>
      </w:r>
    </w:p>
    <w:p>
      <w:pPr>
        <w:pStyle w:val="ListBullet"/>
      </w:pPr>
      <w:r>
        <w:t>Adversarial tests cover valid compressed batches, gzip bombs, malformed and ambiguous streams, unsupported encoding, capability fidelity, tenant/device bucket isolation, refill, atomic denial, health metrics, and HTTP retry semantics.</w:t>
      </w:r>
    </w:p>
    <w:p>
      <w:pPr>
        <w:pStyle w:val="ListBullet"/>
      </w:pPr>
      <w:r>
        <w:t>Dynamic endpoint backpressure, distributed quotas, production mutual Transport Layer Security, multi-node high availability, storm/full-disk physical-host drills, and independent assessment remain separate gates.</w:t>
      </w:r>
    </w:p>
    <w:p>
      <w:r>
        <w:br w:type="page"/>
      </w:r>
    </w:p>
    <w:p>
      <w:pPr>
        <w:pStyle w:val="Heading1"/>
      </w:pPr>
      <w:r>
        <w:t>Cycle 17. Adversarial Convergence and Runtime Reliability</w:t>
      </w:r>
    </w:p>
    <w:p>
      <w:r>
        <w:t>Verification date: 20 August 2026. Cycle 17 combined adversarial review, bug reproduction, remediation, performance measurement, and integrated validation. It closes the demonstrated defects in the current tree while retaining explicit physical-host and release-acceptance limits.</w:t>
      </w:r>
    </w:p>
    <w:p>
      <w:pPr>
        <w:pStyle w:val="Heading2"/>
      </w:pPr>
      <w:r>
        <w:t>Crash and shutdown reliability</w:t>
      </w:r>
    </w:p>
    <w:p>
      <w:pPr>
        <w:pStyle w:val="ListBullet"/>
      </w:pPr>
      <w:r>
        <w:t>AnalysisWorker no longer replaces Qt's native thread-completion signal with a result payload. Results use result_ready; deletion and reaping wait for native completion. The lifecycle passed 30 fresh-process repetitions, and no post-fix crash dump or Windows crash/hang event was observed during the final validation window.</w:t>
      </w:r>
    </w:p>
    <w:p>
      <w:pPr>
        <w:pStyle w:val="ListBullet"/>
      </w:pPr>
      <w:r>
        <w:t>Fleet loopback shutdown now atomically excludes setup-racing sockets, interrupts partial-request readers cooperatively, drains handlers before closing the replay ledger, and returns a bounded saturation response. Repeated partial-request, setup-race, ledger-release, and saturation challenges passed.</w:t>
      </w:r>
    </w:p>
    <w:p>
      <w:pPr>
        <w:pStyle w:val="Heading2"/>
      </w:pPr>
      <w:r>
        <w:t>Remediation truth and response authority</w:t>
      </w:r>
    </w:p>
    <w:p>
      <w:pPr>
        <w:pStyle w:val="ListBullet"/>
      </w:pPr>
      <w:r>
        <w:t>Local-AI CVE output is an inert staged review artifact. Staged, executed, and verified are separate states; the interface does not claim an unexecuted proposal fixed the endpoint.</w:t>
      </w:r>
    </w:p>
    <w:p>
      <w:pPr>
        <w:pStyle w:val="ListBullet"/>
      </w:pPr>
      <w:r>
        <w:t>AI outage and no-fix outcomes cannot bulk-suppress applicable Known Exploited Vulnerabilities. Only an expiring, evidenced, approved not-applicable decision leaves scoring; legacy records fail safe.</w:t>
      </w:r>
    </w:p>
    <w:p>
      <w:pPr>
        <w:pStyle w:val="ListBullet"/>
      </w:pPr>
      <w:r>
        <w:t>Sandbox self-tests run in disposable, integration-disabled child processes with a hard deadline. Opening the editor no longer pauses production sensors or replaces EventBus publishing. The child still inherits the operator token; this is process/deadline isolation, not an AppContainer security boundary.</w:t>
      </w:r>
    </w:p>
    <w:p>
      <w:pPr>
        <w:pStyle w:val="ListBullet"/>
      </w:pPr>
      <w:r>
        <w:t>Authenticated Remote Bridge evidence is receiver-owned and observe-only. It cannot provide receiver-local process/path authority, impersonate local detectors, invoke SOAR containment, or trigger Evolution Engine rule mutation through peer-controlled verification fields.</w:t>
      </w:r>
    </w:p>
    <w:p>
      <w:pPr>
        <w:pStyle w:val="Heading2"/>
      </w:pPr>
      <w:r>
        <w:t>Long-session performance and data boundaries</w:t>
      </w:r>
    </w:p>
    <w:p>
      <w:pPr>
        <w:pStyle w:val="ListBullet"/>
      </w:pPr>
      <w:r>
        <w:t>Purple Guard identity-caches unchanged policy input. The 5,000-read benchmark improved 2.26x and eliminates up to 86,399 redundant opens and parses per active day while observable policy changes invalidate on the next cycle.</w:t>
      </w:r>
    </w:p>
    <w:p>
      <w:pPr>
        <w:pStyle w:val="ListBullet"/>
      </w:pPr>
      <w:r>
        <w:t>Expanded Console refresh is revision-gated: 500 unchanged refreshes of an 804-KiB transcript improved from 3.708455 seconds to 0.002480 seconds in the isolated benchmark. System Pulse, module-resource, and Top Talkers details likewise skip unchanged history, graph, and table work.</w:t>
      </w:r>
    </w:p>
    <w:p>
      <w:pPr>
        <w:pStyle w:val="ListBullet"/>
      </w:pPr>
      <w:r>
        <w:t>Source launchers overwrite inherited data-root values before elevation and default to the sibling AngeronaData tree on D:. Previously manual legacy engine status, telemetry, and incident payload paths now use the canonical data/temp helpers instead of the checkout or working directory.</w:t>
      </w:r>
    </w:p>
    <w:p>
      <w:pPr>
        <w:pStyle w:val="Heading2"/>
      </w:pPr>
      <w:r>
        <w:t>Release and dependency assurance</w:t>
      </w:r>
    </w:p>
    <w:p>
      <w:pPr>
        <w:pStyle w:val="ListBullet"/>
      </w:pPr>
      <w:r>
        <w:t>Tagged-release wheels and the elevated CPython 3.12 x64 source bootstrap use the committed SHA-256 hash lock with no unhashed dependency fallback. The exact Inno Setup 6.7.1 artifact is digest-verified before use, and Setup rejects downgrade below its protected HKLM64 high-water version.</w:t>
      </w:r>
    </w:p>
    <w:p>
      <w:pPr>
        <w:pStyle w:val="ListBullet"/>
      </w:pPr>
      <w:r>
        <w:t>The cryptography dependency was raised from 49.0.0 to 50.0.0, closing GHSA-g6cj-pr64-35w5 / PYSEC-2026-3552. The post-update dependency audit reported no known vulnerabilities in the audited environment.</w:t>
      </w:r>
    </w:p>
    <w:p>
      <w:pPr>
        <w:pStyle w:val="Heading2"/>
      </w:pPr>
      <w:r>
        <w:t>Verification and external acceptance gates</w:t>
      </w:r>
    </w:p>
    <w:p>
      <w:pPr>
        <w:pStyle w:val="ListBullet"/>
      </w:pPr>
      <w:r>
        <w:t>The authoritative Windows repository suite passes 744 tests with 2 intentional platform skips and 0 failures. Python compilation passes 279/279; headless selfcheck passes 26/26; 65 modules discover with zero errors; and the medium/high Bandit scan reports zero findings.</w:t>
      </w:r>
    </w:p>
    <w:p>
      <w:pPr>
        <w:pStyle w:val="ListBullet"/>
      </w:pPr>
      <w:r>
        <w:t>The exact hash-verified Inno compiler compiled the complete Setup script locally with placeholder payloads. Clean-VM installation, upgrade, downgrade rejection, uninstall, and artifact-attestation verification remain release acceptance gates.</w:t>
      </w:r>
    </w:p>
    <w:p>
      <w:pPr>
        <w:pStyle w:val="ListBullet"/>
      </w:pPr>
      <w:r>
        <w:t>Physical sleep/resume and an 8-24 hour interactive soak with live sensors and Ollama remain required. Automated and fresh-process results do not replace those host exercises, independent assessment, publisher signing, or production fleet identity/high-availability controls.</w:t>
      </w:r>
    </w:p>
    <w:p>
      <w:pPr>
        <w:pStyle w:val="Heading2"/>
      </w:pPr>
      <w:r>
        <w:t>Proposed / backlog (not shipped)</w:t>
      </w:r>
    </w:p>
    <w:p>
      <w:pPr>
        <w:pStyle w:val="ListBullet"/>
      </w:pPr>
      <w:r>
        <w:t>Recommended low-risk research slices are a privacy-minimized Crash Breadcrumb Capsule with an optional fault-domain circuit breaker, and read-only WinRE / Quick Machine Recovery readiness.</w:t>
      </w:r>
    </w:p>
    <w:p>
      <w:pPr>
        <w:pStyle w:val="ListBullet"/>
      </w:pPr>
      <w:r>
        <w:t>Additional proposals are an RMM/remote-support trust ledger, Windows Hello-bound response approval, an MCP tool-and-data provenance firewall, purpose/epoch-bound telemetry tokens, and a browser session-theft behavior correlator. None of these proposals is documented as shipped.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17 consolidated 2026-08-20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