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F172A"/>
          <w:sz w:val="48"/>
        </w:rPr>
        <w:t>Angerona — Vulnerabilities Assessment &amp; Remediation</w:t>
      </w:r>
    </w:p>
    <w:p>
      <w:r>
        <w:rPr>
          <w:color w:val="555555"/>
          <w:sz w:val="21"/>
        </w:rPr>
        <w:t>AngeronaSuite (canonical GUI app) · src/angerona/</w:t>
      </w:r>
    </w:p>
    <w:p>
      <w:r>
        <w:t>Document version 1.9.4 · 2026-07-27 · Cycle 4 appendix: 11 current items, 9 closed and 2 explicit public-release residual decisions; final self-check 26/26.</w:t>
      </w:r>
    </w:p>
    <w:p>
      <w:r>
        <w:rPr>
          <w:sz w:val="8"/>
        </w:rPr>
      </w:r>
    </w:p>
    <w:p>
      <w:pPr>
        <w:spacing w:before="320" w:after="120"/>
        <w:pBdr>
          <w:bottom w:val="single" w:sz="6" w:space="4" w:color="1e3a5f"/>
        </w:pBdr>
      </w:pPr>
      <w:r>
        <w:rPr>
          <w:b/>
          <w:color w:val="1E3A5F"/>
          <w:sz w:val="30"/>
        </w:rPr>
        <w:t>1. Purpose &amp; Scope</w:t>
      </w:r>
    </w:p>
    <w:p>
      <w:pPr>
        <w:spacing w:after="120"/>
      </w:pPr>
      <w:r>
        <w:rPr>
          <w:i w:val="0"/>
          <w:sz w:val="21"/>
        </w:rPr>
        <w:t>This document records four defects identified and fixed in the AngeronaSuite codebase during the current hardening pass, with before/after evidence and current verification status. It is the authoritative remediation record for this round of work; the running summary in each fix also appears in llms.txt (“LATEST (v1.6.1 ...)”) and ANGERONA_CAPABILITIES.md (Changelog) so the master context and the living capability doc stay in sync with this assessment.</w:t>
      </w:r>
    </w:p>
    <w:p>
      <w:pPr>
        <w:spacing w:after="120"/>
      </w:pPr>
      <w:r>
        <w:rPr>
          <w:i w:val="0"/>
          <w:sz w:val="21"/>
        </w:rPr>
        <w:t>Scope is limited to the AngeronaSuite application (src/angerona/) — the canonical PySide6 desktop app. The separate legacy Rich-terminal prototype at the repository root (&lt;workspace-root&gt;\agent.py / ui.py) is out of scope; it is a distinct, older program per AngeronaSuite/llms.txt line 3.</w:t>
      </w:r>
    </w:p>
    <w:p>
      <w:r>
        <w:t>v1.7.0–v1.7.2 note: these revisions are feature releases; v1.7.2 also applies the security hardening (A-01/A-02/A-03/A-05) tracked in the separate Security Assessment, and overhauls the Red Team Simulation — it adds active-defense network isolation (SOAR), four detection modules (CREDG/BEAC/VSSG/USBW), a Scheduled AI Security Briefing (BRIEF), an incident kill-chain timeline, a one-click IR triage bundle (module count 55 → 60), and (v1.7.1) Threat-Intel CVE Ignore/Revert with per-ID history that excludes un-actionable CVEs from the threat level plus a local-AI CVE fix advisor (confirm-then-execute Apply with auto-captured Revert). No new vulnerability findings were opened; the four v1.6.1 findings below remain CLOSED. All new modules pass self_test() and package CODEs are unique (verified).</w:t>
      </w:r>
    </w:p>
    <w:p>
      <w:pPr>
        <w:spacing w:before="320" w:after="120"/>
        <w:pBdr>
          <w:bottom w:val="single" w:sz="6" w:space="4" w:color="1e3a5f"/>
        </w:pBdr>
      </w:pPr>
      <w:r>
        <w:rPr>
          <w:b/>
          <w:color w:val="1E3A5F"/>
          <w:sz w:val="30"/>
        </w:rPr>
        <w:t>2. Methodology</w:t>
      </w:r>
    </w:p>
    <w:p>
      <w:pPr>
        <w:pStyle w:val="ListBullet"/>
      </w:pPr>
      <w:r>
        <w:rPr>
          <w:sz w:val="21"/>
        </w:rPr>
        <w:t>Static verification: grep/read of the modified source for each fix, confirming the code change is present and matches the described behavior.</w:t>
      </w:r>
    </w:p>
    <w:p>
      <w:pPr>
        <w:pStyle w:val="ListBullet"/>
      </w:pPr>
      <w:r>
        <w:rPr>
          <w:sz w:val="21"/>
        </w:rPr>
        <w:t>Syntax verification: py_compile with warnings promoted to errors, confirming the two SyntaxWarning sites no longer emit a warning.</w:t>
      </w:r>
    </w:p>
    <w:p>
      <w:pPr>
        <w:pStyle w:val="ListBullet"/>
      </w:pPr>
      <w:r>
        <w:rPr>
          <w:sz w:val="21"/>
        </w:rPr>
        <w:t>Dynamic verification: full run of tools/selfcheck.py (the project's own headless regression harness) — result 26/26 PASS, matching the pre-existing green baseline.</w:t>
      </w:r>
    </w:p>
    <w:p>
      <w:pPr>
        <w:pStyle w:val="ListBullet"/>
      </w:pPr>
      <w:r>
        <w:rPr>
          <w:sz w:val="21"/>
        </w:rPr>
        <w:t>No new automated tests were added for these fixes beyond the existing selfcheck assertions, which already exercise the affected code paths (remediation action selection, World View flow-node shape, and the module self-test grid).</w:t>
      </w:r>
    </w:p>
    <w:p>
      <w:pPr>
        <w:spacing w:before="320" w:after="120"/>
        <w:pBdr>
          <w:bottom w:val="single" w:sz="6" w:space="4" w:color="1e3a5f"/>
        </w:pBdr>
      </w:pPr>
      <w:r>
        <w:rPr>
          <w:b/>
          <w:color w:val="1E3A5F"/>
          <w:sz w:val="30"/>
        </w:rPr>
        <w:t>3. Findings Summary</w:t>
      </w:r>
    </w:p>
    <w:tbl>
      <w:tblPr>
        <w:tblW w:type="auto" w:w="0"/>
        <w:jc w:val="center"/>
        <w:tblLayout w:type="fixed"/>
        <w:tblLook w:firstColumn="1" w:firstRow="1" w:lastColumn="0" w:lastRow="0" w:noHBand="0" w:noVBand="1" w:val="04A0"/>
      </w:tblPr>
      <w:tblGrid>
        <w:gridCol w:w="907"/>
        <w:gridCol w:w="2608"/>
        <w:gridCol w:w="2381"/>
        <w:gridCol w:w="1247"/>
        <w:gridCol w:w="1361"/>
      </w:tblGrid>
      <w:tr>
        <w:trPr>
          <w:tblHeader w:val="1"/>
          <w:cantSplit/>
        </w:trPr>
        <w:tc>
          <w:tcPr>
            <w:tcW w:type="dxa" w:w="1987"/>
            <w:shd w:val="clear" w:color="auto" w:fill="1e3a5f"/>
          </w:tcPr>
          <w:p>
            <w:r/>
            <w:r>
              <w:rPr>
                <w:b/>
                <w:color w:val="FFFFFF"/>
                <w:sz w:val="20"/>
              </w:rPr>
              <w:t>ID</w:t>
            </w:r>
          </w:p>
        </w:tc>
        <w:tc>
          <w:tcPr>
            <w:tcW w:type="dxa" w:w="1987"/>
            <w:shd w:val="clear" w:color="auto" w:fill="1e3a5f"/>
          </w:tcPr>
          <w:p>
            <w:r/>
            <w:r>
              <w:rPr>
                <w:b/>
                <w:color w:val="FFFFFF"/>
                <w:sz w:val="20"/>
              </w:rPr>
              <w:t>Title</w:t>
            </w:r>
          </w:p>
        </w:tc>
        <w:tc>
          <w:tcPr>
            <w:tcW w:type="dxa" w:w="1987"/>
            <w:shd w:val="clear" w:color="auto" w:fill="1e3a5f"/>
          </w:tcPr>
          <w:p>
            <w:r/>
            <w:r>
              <w:rPr>
                <w:b/>
                <w:color w:val="FFFFFF"/>
                <w:sz w:val="20"/>
              </w:rPr>
              <w:t>Component</w:t>
            </w:r>
          </w:p>
        </w:tc>
        <w:tc>
          <w:tcPr>
            <w:tcW w:type="dxa" w:w="1987"/>
            <w:shd w:val="clear" w:color="auto" w:fill="1e3a5f"/>
          </w:tcPr>
          <w:p>
            <w:r/>
            <w:r>
              <w:rPr>
                <w:b/>
                <w:color w:val="FFFFFF"/>
                <w:sz w:val="20"/>
              </w:rPr>
              <w:t>Severity</w:t>
            </w:r>
          </w:p>
        </w:tc>
        <w:tc>
          <w:tcPr>
            <w:tcW w:type="dxa" w:w="1987"/>
            <w:shd w:val="clear" w:color="auto" w:fill="1e3a5f"/>
          </w:tcPr>
          <w:p>
            <w:r/>
            <w:r>
              <w:rPr>
                <w:b/>
                <w:color w:val="FFFFFF"/>
                <w:sz w:val="20"/>
              </w:rPr>
              <w:t>Status</w:t>
            </w:r>
          </w:p>
        </w:tc>
      </w:tr>
      <w:tr>
        <w:trPr>
          <w:cantSplit/>
        </w:trPr>
        <w:tc>
          <w:tcPr>
            <w:tcW w:type="dxa" w:w="907"/>
          </w:tcPr>
          <w:p>
            <w:r/>
            <w:r>
              <w:rPr>
                <w:b w:val="0"/>
                <w:sz w:val="19"/>
              </w:rPr>
              <w:t>V-01</w:t>
            </w:r>
          </w:p>
        </w:tc>
        <w:tc>
          <w:tcPr>
            <w:tcW w:type="dxa" w:w="2608"/>
          </w:tcPr>
          <w:p>
            <w:r/>
            <w:r>
              <w:rPr>
                <w:b w:val="0"/>
                <w:sz w:val="19"/>
              </w:rPr>
              <w:t>Remediation misrouting: T1562/AMSI-bypass shadowed by registry-hardening substring match</w:t>
            </w:r>
          </w:p>
        </w:tc>
        <w:tc>
          <w:tcPr>
            <w:tcW w:type="dxa" w:w="2381"/>
          </w:tcPr>
          <w:p>
            <w:r/>
            <w:r>
              <w:rPr>
                <w:b w:val="0"/>
                <w:sz w:val="19"/>
              </w:rPr>
              <w:t>modules/remediation_actions.py</w:t>
            </w:r>
          </w:p>
        </w:tc>
        <w:tc>
          <w:tcPr>
            <w:tcW w:type="dxa" w:w="1247"/>
          </w:tcPr>
          <w:p>
            <w:r/>
            <w:r>
              <w:rPr>
                <w:b w:val="0"/>
                <w:sz w:val="19"/>
              </w:rPr>
              <w:t>Medium</w:t>
            </w:r>
          </w:p>
        </w:tc>
        <w:tc>
          <w:tcPr>
            <w:tcW w:type="dxa" w:w="1361"/>
          </w:tcPr>
          <w:p>
            <w:r/>
            <w:r>
              <w:rPr>
                <w:b w:val="0"/>
                <w:color w:val="157A3D"/>
                <w:sz w:val="19"/>
              </w:rPr>
              <w:t>CLOSED</w:t>
            </w:r>
          </w:p>
        </w:tc>
      </w:tr>
      <w:tr>
        <w:trPr>
          <w:cantSplit/>
        </w:trPr>
        <w:tc>
          <w:tcPr>
            <w:tcW w:type="dxa" w:w="907"/>
          </w:tcPr>
          <w:p>
            <w:r/>
            <w:r>
              <w:rPr>
                <w:b w:val="0"/>
                <w:sz w:val="19"/>
              </w:rPr>
              <w:t>V-02</w:t>
            </w:r>
          </w:p>
        </w:tc>
        <w:tc>
          <w:tcPr>
            <w:tcW w:type="dxa" w:w="2608"/>
          </w:tcPr>
          <w:p>
            <w:r/>
            <w:r>
              <w:rPr>
                <w:b w:val="0"/>
                <w:sz w:val="19"/>
              </w:rPr>
              <w:t>Stale selfcheck assertions: 7-node flow checked instead of the shipped 6-node grid</w:t>
            </w:r>
          </w:p>
        </w:tc>
        <w:tc>
          <w:tcPr>
            <w:tcW w:type="dxa" w:w="2381"/>
          </w:tcPr>
          <w:p>
            <w:r/>
            <w:r>
              <w:rPr>
                <w:b w:val="0"/>
                <w:sz w:val="19"/>
              </w:rPr>
              <w:t>tools/selfcheck.py</w:t>
            </w:r>
          </w:p>
        </w:tc>
        <w:tc>
          <w:tcPr>
            <w:tcW w:type="dxa" w:w="1247"/>
          </w:tcPr>
          <w:p>
            <w:r/>
            <w:r>
              <w:rPr>
                <w:b w:val="0"/>
                <w:sz w:val="19"/>
              </w:rPr>
              <w:t>Low</w:t>
            </w:r>
          </w:p>
        </w:tc>
        <w:tc>
          <w:tcPr>
            <w:tcW w:type="dxa" w:w="1361"/>
          </w:tcPr>
          <w:p>
            <w:r/>
            <w:r>
              <w:rPr>
                <w:b w:val="0"/>
                <w:color w:val="157A3D"/>
                <w:sz w:val="19"/>
              </w:rPr>
              <w:t>CLOSED</w:t>
            </w:r>
          </w:p>
        </w:tc>
      </w:tr>
      <w:tr>
        <w:trPr>
          <w:cantSplit/>
        </w:trPr>
        <w:tc>
          <w:tcPr>
            <w:tcW w:type="dxa" w:w="907"/>
          </w:tcPr>
          <w:p>
            <w:r/>
            <w:r>
              <w:rPr>
                <w:b w:val="0"/>
                <w:sz w:val="19"/>
              </w:rPr>
              <w:t>V-03</w:t>
            </w:r>
          </w:p>
        </w:tc>
        <w:tc>
          <w:tcPr>
            <w:tcW w:type="dxa" w:w="2608"/>
          </w:tcPr>
          <w:p>
            <w:r/>
            <w:r>
              <w:rPr>
                <w:b w:val="0"/>
                <w:sz w:val="19"/>
              </w:rPr>
              <w:t>Cold-start self_test() inconsistency across 6 modules (false-negative failures)</w:t>
            </w:r>
          </w:p>
        </w:tc>
        <w:tc>
          <w:tcPr>
            <w:tcW w:type="dxa" w:w="2381"/>
          </w:tcPr>
          <w:p>
            <w:r/>
            <w:r>
              <w:rPr>
                <w:b w:val="0"/>
                <w:sz w:val="19"/>
              </w:rPr>
              <w:t>6 modules (AMSI/DRES/MINJ/SYSL/TUNE/WFPC)</w:t>
            </w:r>
          </w:p>
        </w:tc>
        <w:tc>
          <w:tcPr>
            <w:tcW w:type="dxa" w:w="1247"/>
          </w:tcPr>
          <w:p>
            <w:r/>
            <w:r>
              <w:rPr>
                <w:b w:val="0"/>
                <w:sz w:val="19"/>
              </w:rPr>
              <w:t>Low</w:t>
            </w:r>
          </w:p>
        </w:tc>
        <w:tc>
          <w:tcPr>
            <w:tcW w:type="dxa" w:w="1361"/>
          </w:tcPr>
          <w:p>
            <w:r/>
            <w:r>
              <w:rPr>
                <w:b w:val="0"/>
                <w:color w:val="157A3D"/>
                <w:sz w:val="19"/>
              </w:rPr>
              <w:t>CLOSED</w:t>
            </w:r>
          </w:p>
        </w:tc>
      </w:tr>
      <w:tr>
        <w:trPr>
          <w:cantSplit/>
        </w:trPr>
        <w:tc>
          <w:tcPr>
            <w:tcW w:type="dxa" w:w="907"/>
          </w:tcPr>
          <w:p>
            <w:r/>
            <w:r>
              <w:rPr>
                <w:b w:val="0"/>
                <w:sz w:val="19"/>
              </w:rPr>
              <w:t>V-04</w:t>
            </w:r>
          </w:p>
        </w:tc>
        <w:tc>
          <w:tcPr>
            <w:tcW w:type="dxa" w:w="2608"/>
          </w:tcPr>
          <w:p>
            <w:r/>
            <w:r>
              <w:rPr>
                <w:b w:val="0"/>
                <w:sz w:val="19"/>
              </w:rPr>
              <w:t>Two SyntaxWarnings from unescaped backslash sequences</w:t>
            </w:r>
          </w:p>
        </w:tc>
        <w:tc>
          <w:tcPr>
            <w:tcW w:type="dxa" w:w="2381"/>
          </w:tcPr>
          <w:p>
            <w:r/>
            <w:r>
              <w:rPr>
                <w:b w:val="0"/>
                <w:sz w:val="19"/>
              </w:rPr>
              <w:t>posture_hardening.py, ransomware_heuristics.py</w:t>
            </w:r>
          </w:p>
        </w:tc>
        <w:tc>
          <w:tcPr>
            <w:tcW w:type="dxa" w:w="1247"/>
          </w:tcPr>
          <w:p>
            <w:r/>
            <w:r>
              <w:rPr>
                <w:b w:val="0"/>
                <w:sz w:val="19"/>
              </w:rPr>
              <w:t>Low (hygiene)</w:t>
            </w:r>
          </w:p>
        </w:tc>
        <w:tc>
          <w:tcPr>
            <w:tcW w:type="dxa" w:w="1361"/>
          </w:tcPr>
          <w:p>
            <w:r/>
            <w:r>
              <w:rPr>
                <w:b w:val="0"/>
                <w:color w:val="157A3D"/>
                <w:sz w:val="19"/>
              </w:rPr>
              <w:t>CLOSED</w:t>
            </w:r>
          </w:p>
        </w:tc>
      </w:tr>
    </w:tbl>
    <w:p/>
    <w:p>
      <w:pPr>
        <w:spacing w:before="320" w:after="120"/>
        <w:pBdr>
          <w:bottom w:val="single" w:sz="6" w:space="4" w:color="1e3a5f"/>
        </w:pBdr>
      </w:pPr>
      <w:r>
        <w:rPr>
          <w:b/>
          <w:color w:val="1E3A5F"/>
          <w:sz w:val="30"/>
        </w:rPr>
        <w:t>4.1 Remediation misrouting — T1562/AMSI-bypass shadowed by registry hardening</w:t>
      </w:r>
    </w:p>
    <w:tbl>
      <w:tblPr>
        <w:tblW w:type="auto" w:w="0"/>
        <w:tblLayout w:type="fixed"/>
        <w:tblLook w:firstColumn="1" w:firstRow="1" w:lastColumn="0" w:lastRow="0" w:noHBand="0" w:noVBand="1" w:val="04A0"/>
      </w:tblPr>
      <w:tblGrid>
        <w:gridCol w:w="4968"/>
        <w:gridCol w:w="4968"/>
      </w:tblGrid>
      <w:tr>
        <w:trPr>
          <w:tblHeader w:val="1"/>
          <w:cantSplit/>
        </w:trPr>
        <w:tc>
          <w:tcPr>
            <w:tcW w:type="dxa" w:w="1928"/>
            <w:shd w:val="clear" w:color="auto" w:fill="1e3a5f"/>
          </w:tcPr>
          <w:p>
            <w:r/>
            <w:r>
              <w:rPr>
                <w:b/>
                <w:color w:val="FFFFFF"/>
                <w:sz w:val="19"/>
              </w:rPr>
              <w:t>Component</w:t>
            </w:r>
          </w:p>
        </w:tc>
        <w:tc>
          <w:tcPr>
            <w:tcW w:type="dxa" w:w="7143"/>
          </w:tcPr>
          <w:p>
            <w:r/>
            <w:r>
              <w:rPr>
                <w:b w:val="0"/>
                <w:sz w:val="19"/>
              </w:rPr>
              <w:t>modules/remediation_actions.py — RegistryHardeningAction._matches()</w:t>
            </w:r>
          </w:p>
        </w:tc>
      </w:tr>
      <w:tr>
        <w:trPr>
          <w:cantSplit/>
        </w:trPr>
        <w:tc>
          <w:tcPr>
            <w:tcW w:type="dxa" w:w="1928"/>
            <w:shd w:val="clear" w:color="auto" w:fill="1e3a5f"/>
          </w:tcPr>
          <w:p>
            <w:r/>
            <w:r>
              <w:rPr>
                <w:b/>
                <w:color w:val="FFFFFF"/>
                <w:sz w:val="19"/>
              </w:rPr>
              <w:t>Severity / Class</w:t>
            </w:r>
          </w:p>
        </w:tc>
        <w:tc>
          <w:tcPr>
            <w:tcW w:type="dxa" w:w="7143"/>
          </w:tcPr>
          <w:p>
            <w:r/>
            <w:r>
              <w:rPr>
                <w:b w:val="0"/>
                <w:sz w:val="19"/>
              </w:rPr>
              <w:t>Medium — incorrect automated response selection (defense-evasion category)</w:t>
            </w:r>
          </w:p>
        </w:tc>
      </w:tr>
      <w:tr>
        <w:trPr>
          <w:cantSplit/>
        </w:trPr>
        <w:tc>
          <w:tcPr>
            <w:tcW w:type="dxa" w:w="1928"/>
            <w:shd w:val="clear" w:color="auto" w:fill="1e3a5f"/>
          </w:tcPr>
          <w:p>
            <w:r/>
            <w:r>
              <w:rPr>
                <w:b/>
                <w:color w:val="FFFFFF"/>
                <w:sz w:val="19"/>
              </w:rPr>
              <w:t>Before (defect)</w:t>
            </w:r>
          </w:p>
        </w:tc>
        <w:tc>
          <w:tcPr>
            <w:tcW w:type="dxa" w:w="7143"/>
          </w:tcPr>
          <w:p>
            <w:r/>
            <w:r>
              <w:rPr>
                <w:b w:val="0"/>
                <w:sz w:val="19"/>
              </w:rPr>
              <w:t>RegistryHardeningAction._matches() flagged any alert containing the bare substring “t1562”. MITRE T1562 (Impair Defenses) is a parent technique covering multiple distinct sub-techniques, including both T1562.011 (script-block-logging tampering, which this action correctly targets) and AMSI-bypass style defense evasion (which belongs to DefenderHardeningAction). Because the match was a bare substring rather than the specific sub-technique, an AMSI-bypass alert carrying the generic T1562 tag was intercepted by RegistryHardeningAction first and never reached the Defender-hardening remediation path it actually needed.</w:t>
            </w:r>
          </w:p>
        </w:tc>
      </w:tr>
      <w:tr>
        <w:trPr>
          <w:cantSplit/>
        </w:trPr>
        <w:tc>
          <w:tcPr>
            <w:tcW w:type="dxa" w:w="1928"/>
            <w:shd w:val="clear" w:color="auto" w:fill="1e3a5f"/>
          </w:tcPr>
          <w:p>
            <w:r/>
            <w:r>
              <w:rPr>
                <w:b/>
                <w:color w:val="FFFFFF"/>
                <w:sz w:val="19"/>
              </w:rPr>
              <w:t>After (fix)</w:t>
            </w:r>
          </w:p>
        </w:tc>
        <w:tc>
          <w:tcPr>
            <w:tcW w:type="dxa" w:w="7143"/>
          </w:tcPr>
          <w:p>
            <w:r/>
            <w:r>
              <w:rPr>
                <w:b w:val="0"/>
                <w:sz w:val="19"/>
              </w:rPr>
              <w:t>RegistryHardeningAction._matches() now requires the specific “t1562.011” sub-technique id, or explicit script-block/PowerShell-logging keywords, before claiming an alert. A bare T1562/AMSI-bypass alert falls through to DefenderHardeningAction as intended. This is a routing-precision fix only — no change to what either action does once selected, and both remain gated behind the existing review/ANGERONA_AUTO_REMEDIATE=1 controls.</w:t>
            </w:r>
          </w:p>
        </w:tc>
      </w:tr>
    </w:tbl>
    <w:p/>
    <w:p>
      <w:pPr>
        <w:spacing w:before="200" w:after="80"/>
      </w:pPr>
      <w:r>
        <w:rPr>
          <w:b/>
          <w:color w:val="0F172A"/>
          <w:sz w:val="24"/>
        </w:rPr>
        <w:t>Verification</w:t>
      </w:r>
    </w:p>
    <w:p>
      <w:pPr>
        <w:spacing w:after="120"/>
      </w:pPr>
      <w:r>
        <w:rPr>
          <w:i w:val="0"/>
          <w:sz w:val="21"/>
        </w:rPr>
        <w:t>tools/selfcheck.py “Vetted active remediation” phase asserts ra.select_action(cred).key == “registry_hardening” for a credential-access alert and ra.select_action(dfe).key == “defender_hardening” for a defense-evasion alert — both pass. Full suite: 26/26 PASS.</w:t>
      </w:r>
    </w:p>
    <w:p>
      <w:pPr>
        <w:spacing w:before="320" w:after="120"/>
        <w:pBdr>
          <w:bottom w:val="single" w:sz="6" w:space="4" w:color="1e3a5f"/>
        </w:pBdr>
      </w:pPr>
      <w:r>
        <w:rPr>
          <w:b/>
          <w:color w:val="1E3A5F"/>
          <w:sz w:val="30"/>
        </w:rPr>
        <w:t>4.2 Stale selfcheck assertions — 7-node flow checked instead of the current 6-node grid</w:t>
      </w:r>
    </w:p>
    <w:tbl>
      <w:tblPr>
        <w:tblW w:type="auto" w:w="0"/>
        <w:tblLayout w:type="fixed"/>
        <w:tblLook w:firstColumn="1" w:firstRow="1" w:lastColumn="0" w:lastRow="0" w:noHBand="0" w:noVBand="1" w:val="04A0"/>
      </w:tblPr>
      <w:tblGrid>
        <w:gridCol w:w="4968"/>
        <w:gridCol w:w="4968"/>
      </w:tblGrid>
      <w:tr>
        <w:trPr>
          <w:tblHeader w:val="1"/>
          <w:cantSplit/>
        </w:trPr>
        <w:tc>
          <w:tcPr>
            <w:tcW w:type="dxa" w:w="1928"/>
            <w:shd w:val="clear" w:color="auto" w:fill="1e3a5f"/>
          </w:tcPr>
          <w:p>
            <w:r/>
            <w:r>
              <w:rPr>
                <w:b/>
                <w:color w:val="FFFFFF"/>
                <w:sz w:val="19"/>
              </w:rPr>
              <w:t>Component</w:t>
            </w:r>
          </w:p>
        </w:tc>
        <w:tc>
          <w:tcPr>
            <w:tcW w:type="dxa" w:w="7143"/>
          </w:tcPr>
          <w:p>
            <w:r/>
            <w:r>
              <w:rPr>
                <w:b w:val="0"/>
                <w:sz w:val="19"/>
              </w:rPr>
              <w:t>tools/selfcheck.py</w:t>
            </w:r>
          </w:p>
        </w:tc>
      </w:tr>
      <w:tr>
        <w:trPr>
          <w:cantSplit/>
        </w:trPr>
        <w:tc>
          <w:tcPr>
            <w:tcW w:type="dxa" w:w="1928"/>
            <w:shd w:val="clear" w:color="auto" w:fill="1e3a5f"/>
          </w:tcPr>
          <w:p>
            <w:r/>
            <w:r>
              <w:rPr>
                <w:b/>
                <w:color w:val="FFFFFF"/>
                <w:sz w:val="19"/>
              </w:rPr>
              <w:t>Severity / Class</w:t>
            </w:r>
          </w:p>
        </w:tc>
        <w:tc>
          <w:tcPr>
            <w:tcW w:type="dxa" w:w="7143"/>
          </w:tcPr>
          <w:p>
            <w:r/>
            <w:r>
              <w:rPr>
                <w:b w:val="0"/>
                <w:sz w:val="19"/>
              </w:rPr>
              <w:t>Low — test-suite drift, not a runtime defect</w:t>
            </w:r>
          </w:p>
        </w:tc>
      </w:tr>
      <w:tr>
        <w:trPr>
          <w:cantSplit/>
        </w:trPr>
        <w:tc>
          <w:tcPr>
            <w:tcW w:type="dxa" w:w="1928"/>
            <w:shd w:val="clear" w:color="auto" w:fill="1e3a5f"/>
          </w:tcPr>
          <w:p>
            <w:r/>
            <w:r>
              <w:rPr>
                <w:b/>
                <w:color w:val="FFFFFF"/>
                <w:sz w:val="19"/>
              </w:rPr>
              <w:t>Before (defect)</w:t>
            </w:r>
          </w:p>
        </w:tc>
        <w:tc>
          <w:tcPr>
            <w:tcW w:type="dxa" w:w="7143"/>
          </w:tcPr>
          <w:p>
            <w:r/>
            <w:r>
              <w:rPr>
                <w:b w:val="0"/>
                <w:sz w:val="19"/>
              </w:rPr>
              <w:t>The World View flowchart (gui/flow_window.py, core/flow_metrics.py) was redesigned from a 7-node single-row layout to a compact 6-node 2×3 grid (CAPTURE → DETECT → AI TRIAGE → RESPOND → ATTACK → SELF-HARDEN) in an earlier round, but two assertions in selfcheck.py were never updated and still checked shape/keys from the old 7-node design — a latent false-fail waiting to trigger the next time that phase's node set was touched.</w:t>
            </w:r>
          </w:p>
        </w:tc>
      </w:tr>
      <w:tr>
        <w:trPr>
          <w:cantSplit/>
        </w:trPr>
        <w:tc>
          <w:tcPr>
            <w:tcW w:type="dxa" w:w="1928"/>
            <w:shd w:val="clear" w:color="auto" w:fill="1e3a5f"/>
          </w:tcPr>
          <w:p>
            <w:r/>
            <w:r>
              <w:rPr>
                <w:b/>
                <w:color w:val="FFFFFF"/>
                <w:sz w:val="19"/>
              </w:rPr>
              <w:t>After (fix)</w:t>
            </w:r>
          </w:p>
        </w:tc>
        <w:tc>
          <w:tcPr>
            <w:tcW w:type="dxa" w:w="7143"/>
          </w:tcPr>
          <w:p>
            <w:r/>
            <w:r>
              <w:rPr>
                <w:b w:val="0"/>
                <w:sz w:val="19"/>
              </w:rPr>
              <w:t>Both assertions now check the shipped 6-node set: need = {“capture”, “detect”, “triage”, “respond”, “attack”, “harden”} against flow_metrics()'s “nodes” keys, with a shape check (metrics + state present) on the capture node as a representative sample.</w:t>
            </w:r>
          </w:p>
        </w:tc>
      </w:tr>
    </w:tbl>
    <w:p/>
    <w:p>
      <w:pPr>
        <w:spacing w:before="200" w:after="80"/>
      </w:pPr>
      <w:r>
        <w:rPr>
          <w:b/>
          <w:color w:val="0F172A"/>
          <w:sz w:val="24"/>
        </w:rPr>
        <w:t>Verification</w:t>
      </w:r>
    </w:p>
    <w:p>
      <w:pPr>
        <w:spacing w:after="120"/>
      </w:pPr>
      <w:r>
        <w:rPr>
          <w:i w:val="0"/>
          <w:sz w:val="21"/>
        </w:rPr>
        <w:t>tools/selfcheck.py line ~385 (“AI guardrail proxy + hardware-patching layer” phase) now reports “flow_metrics 6 nodes” in its PASS detail. Full suite: 26/26 PASS.</w:t>
      </w:r>
    </w:p>
    <w:p>
      <w:pPr>
        <w:spacing w:before="320" w:after="120"/>
        <w:pBdr>
          <w:bottom w:val="single" w:sz="6" w:space="4" w:color="1e3a5f"/>
        </w:pBdr>
      </w:pPr>
      <w:r>
        <w:rPr>
          <w:b/>
          <w:color w:val="1E3A5F"/>
          <w:sz w:val="30"/>
        </w:rPr>
        <w:t>4.3 Cold-start self_test() inconsistency across 6 modules</w:t>
      </w:r>
    </w:p>
    <w:tbl>
      <w:tblPr>
        <w:tblW w:type="auto" w:w="0"/>
        <w:tblLayout w:type="fixed"/>
        <w:tblLook w:firstColumn="1" w:firstRow="1" w:lastColumn="0" w:lastRow="0" w:noHBand="0" w:noVBand="1" w:val="04A0"/>
      </w:tblPr>
      <w:tblGrid>
        <w:gridCol w:w="4968"/>
        <w:gridCol w:w="4968"/>
      </w:tblGrid>
      <w:tr>
        <w:trPr>
          <w:tblHeader w:val="1"/>
          <w:cantSplit/>
        </w:trPr>
        <w:tc>
          <w:tcPr>
            <w:tcW w:type="dxa" w:w="1928"/>
            <w:shd w:val="clear" w:color="auto" w:fill="1e3a5f"/>
          </w:tcPr>
          <w:p>
            <w:r/>
            <w:r>
              <w:rPr>
                <w:b/>
                <w:color w:val="FFFFFF"/>
                <w:sz w:val="19"/>
              </w:rPr>
              <w:t>Component</w:t>
            </w:r>
          </w:p>
        </w:tc>
        <w:tc>
          <w:tcPr>
            <w:tcW w:type="dxa" w:w="7143"/>
          </w:tcPr>
          <w:p>
            <w:r/>
            <w:r>
              <w:rPr>
                <w:b w:val="0"/>
                <w:sz w:val="19"/>
              </w:rPr>
              <w:t>modules/amsi_bridge.py, dynamic_resource.py, mem_inject_scanner.py, sysmon_listener.py, behavioral_tuner.py, wfp_controller.py</w:t>
            </w:r>
          </w:p>
        </w:tc>
      </w:tr>
      <w:tr>
        <w:trPr>
          <w:cantSplit/>
        </w:trPr>
        <w:tc>
          <w:tcPr>
            <w:tcW w:type="dxa" w:w="1928"/>
            <w:shd w:val="clear" w:color="auto" w:fill="1e3a5f"/>
          </w:tcPr>
          <w:p>
            <w:r/>
            <w:r>
              <w:rPr>
                <w:b/>
                <w:color w:val="FFFFFF"/>
                <w:sz w:val="19"/>
              </w:rPr>
              <w:t>Severity / Class</w:t>
            </w:r>
          </w:p>
        </w:tc>
        <w:tc>
          <w:tcPr>
            <w:tcW w:type="dxa" w:w="7143"/>
          </w:tcPr>
          <w:p>
            <w:r/>
            <w:r>
              <w:rPr>
                <w:b w:val="0"/>
                <w:sz w:val="19"/>
              </w:rPr>
              <w:t>Low — false-negative self-test results, operator-facing noise only</w:t>
            </w:r>
          </w:p>
        </w:tc>
      </w:tr>
      <w:tr>
        <w:trPr>
          <w:cantSplit/>
        </w:trPr>
        <w:tc>
          <w:tcPr>
            <w:tcW w:type="dxa" w:w="1928"/>
            <w:shd w:val="clear" w:color="auto" w:fill="1e3a5f"/>
          </w:tcPr>
          <w:p>
            <w:r/>
            <w:r>
              <w:rPr>
                <w:b/>
                <w:color w:val="FFFFFF"/>
                <w:sz w:val="19"/>
              </w:rPr>
              <w:t>Before (defect)</w:t>
            </w:r>
          </w:p>
        </w:tc>
        <w:tc>
          <w:tcPr>
            <w:tcW w:type="dxa" w:w="7143"/>
          </w:tcPr>
          <w:p>
            <w:r/>
            <w:r>
              <w:rPr>
                <w:b w:val="0"/>
                <w:sz w:val="19"/>
              </w:rPr>
              <w:t>Roughly 50 of the ~55 auto-discovered modules share a common self_test() pattern: if the module has not been started yet (e.g. a headless check, or a module the operator has toggled off), self_test() falls back to the BaseModule default and reports a graceful “stopped” status rather than attempting module-specific checks against uninitialized state. Six newer modules (AMSI Bridge, Dynamic Resource Governor, Memory Injection Scanner, Sysmon Event Bridge, TUNE, WFP Controller) skipped that fallback and instead ran their specific self-test logic unconditionally, which could read uninitialized internal state and report a spurious failure instead of the same “not started” status every other module gives.</w:t>
            </w:r>
          </w:p>
        </w:tc>
      </w:tr>
      <w:tr>
        <w:trPr>
          <w:cantSplit/>
        </w:trPr>
        <w:tc>
          <w:tcPr>
            <w:tcW w:type="dxa" w:w="1928"/>
            <w:shd w:val="clear" w:color="auto" w:fill="1e3a5f"/>
          </w:tcPr>
          <w:p>
            <w:r/>
            <w:r>
              <w:rPr>
                <w:b/>
                <w:color w:val="FFFFFF"/>
                <w:sz w:val="19"/>
              </w:rPr>
              <w:t>After (fix)</w:t>
            </w:r>
          </w:p>
        </w:tc>
        <w:tc>
          <w:tcPr>
            <w:tcW w:type="dxa" w:w="7143"/>
          </w:tcPr>
          <w:p>
            <w:r/>
            <w:r>
              <w:rPr>
                <w:b w:val="0"/>
                <w:sz w:val="19"/>
              </w:rPr>
              <w:t>Each of the 6 modules' self_test() now begins with the same guard used everywhere else — “if not started: return super().self_test()  # not started yet — graceful ‘stopped’ status” — before running its module-specific checks. Behavior is now uniform across the full module set.</w:t>
            </w:r>
          </w:p>
        </w:tc>
      </w:tr>
    </w:tbl>
    <w:p/>
    <w:p>
      <w:pPr>
        <w:spacing w:before="200" w:after="80"/>
      </w:pPr>
      <w:r>
        <w:rPr>
          <w:b/>
          <w:color w:val="0F172A"/>
          <w:sz w:val="24"/>
        </w:rPr>
        <w:t>Verification</w:t>
      </w:r>
    </w:p>
    <w:p>
      <w:pPr>
        <w:spacing w:after="120"/>
      </w:pPr>
      <w:r>
        <w:rPr>
          <w:i w:val="0"/>
          <w:sz w:val="21"/>
        </w:rPr>
        <w:t>grep confirms the guard is present verbatim in all 6 files. tools/selfcheck.py's “SelfTestRunner over all modules” phase treats stopped/idle/Ollama-unavailable results as expected skips (the phase text itself notes this) and still reports PASS; the modules that previously could spuriously FAIL under this phase now consistently report “stopped, health=100%” like their peers. Full suite: 26/26 PASS.</w:t>
      </w:r>
    </w:p>
    <w:p>
      <w:pPr>
        <w:spacing w:before="320" w:after="120"/>
        <w:pBdr>
          <w:bottom w:val="single" w:sz="6" w:space="4" w:color="1e3a5f"/>
        </w:pBdr>
      </w:pPr>
      <w:r>
        <w:rPr>
          <w:b/>
          <w:color w:val="1E3A5F"/>
          <w:sz w:val="30"/>
        </w:rPr>
        <w:t>4.4 Two SyntaxWarnings from unescaped backslash sequences</w:t>
      </w:r>
    </w:p>
    <w:tbl>
      <w:tblPr>
        <w:tblW w:type="auto" w:w="0"/>
        <w:tblLayout w:type="fixed"/>
        <w:tblLook w:firstColumn="1" w:firstRow="1" w:lastColumn="0" w:lastRow="0" w:noHBand="0" w:noVBand="1" w:val="04A0"/>
      </w:tblPr>
      <w:tblGrid>
        <w:gridCol w:w="4968"/>
        <w:gridCol w:w="4968"/>
      </w:tblGrid>
      <w:tr>
        <w:trPr>
          <w:tblHeader w:val="1"/>
          <w:cantSplit/>
        </w:trPr>
        <w:tc>
          <w:tcPr>
            <w:tcW w:type="dxa" w:w="1928"/>
            <w:shd w:val="clear" w:color="auto" w:fill="1e3a5f"/>
          </w:tcPr>
          <w:p>
            <w:r/>
            <w:r>
              <w:rPr>
                <w:b/>
                <w:color w:val="FFFFFF"/>
                <w:sz w:val="19"/>
              </w:rPr>
              <w:t>Component</w:t>
            </w:r>
          </w:p>
        </w:tc>
        <w:tc>
          <w:tcPr>
            <w:tcW w:type="dxa" w:w="7143"/>
          </w:tcPr>
          <w:p>
            <w:r/>
            <w:r>
              <w:rPr>
                <w:b w:val="0"/>
                <w:sz w:val="19"/>
              </w:rPr>
              <w:t>modules/posture_hardening.py:615, modules/ransomware_heuristics.py:25</w:t>
            </w:r>
          </w:p>
        </w:tc>
      </w:tr>
      <w:tr>
        <w:trPr>
          <w:cantSplit/>
        </w:trPr>
        <w:tc>
          <w:tcPr>
            <w:tcW w:type="dxa" w:w="1928"/>
            <w:shd w:val="clear" w:color="auto" w:fill="1e3a5f"/>
          </w:tcPr>
          <w:p>
            <w:r/>
            <w:r>
              <w:rPr>
                <w:b/>
                <w:color w:val="FFFFFF"/>
                <w:sz w:val="19"/>
              </w:rPr>
              <w:t>Severity / Class</w:t>
            </w:r>
          </w:p>
        </w:tc>
        <w:tc>
          <w:tcPr>
            <w:tcW w:type="dxa" w:w="7143"/>
          </w:tcPr>
          <w:p>
            <w:r/>
            <w:r>
              <w:rPr>
                <w:b w:val="0"/>
                <w:sz w:val="19"/>
              </w:rPr>
              <w:t>Low — code hygiene; SyntaxWarning today, a DeprecationWarning-to-error path in future CPython</w:t>
            </w:r>
          </w:p>
        </w:tc>
      </w:tr>
      <w:tr>
        <w:trPr>
          <w:cantSplit/>
        </w:trPr>
        <w:tc>
          <w:tcPr>
            <w:tcW w:type="dxa" w:w="1928"/>
            <w:shd w:val="clear" w:color="auto" w:fill="1e3a5f"/>
          </w:tcPr>
          <w:p>
            <w:r/>
            <w:r>
              <w:rPr>
                <w:b/>
                <w:color w:val="FFFFFF"/>
                <w:sz w:val="19"/>
              </w:rPr>
              <w:t>Before (defect)</w:t>
            </w:r>
          </w:p>
        </w:tc>
        <w:tc>
          <w:tcPr>
            <w:tcW w:type="dxa" w:w="7143"/>
          </w:tcPr>
          <w:p>
            <w:r/>
            <w:r>
              <w:rPr>
                <w:b w:val="0"/>
                <w:sz w:val="19"/>
              </w:rPr>
              <w:t>Two string literals contained backslash sequences (e.g. \d, \w-style patterns embedded in a plain string rather than a raw string) that are not valid Python escape sequences. CPython currently accepts these with a SyntaxWarning at compile time; a future CPython version is expected to make invalid escape sequences a hard error, so left unfixed these would eventually break the build.</w:t>
            </w:r>
          </w:p>
        </w:tc>
      </w:tr>
      <w:tr>
        <w:trPr>
          <w:cantSplit/>
        </w:trPr>
        <w:tc>
          <w:tcPr>
            <w:tcW w:type="dxa" w:w="1928"/>
            <w:shd w:val="clear" w:color="auto" w:fill="1e3a5f"/>
          </w:tcPr>
          <w:p>
            <w:r/>
            <w:r>
              <w:rPr>
                <w:b/>
                <w:color w:val="FFFFFF"/>
                <w:sz w:val="19"/>
              </w:rPr>
              <w:t>After (fix)</w:t>
            </w:r>
          </w:p>
        </w:tc>
        <w:tc>
          <w:tcPr>
            <w:tcW w:type="dxa" w:w="7143"/>
          </w:tcPr>
          <w:p>
            <w:r/>
            <w:r>
              <w:rPr>
                <w:b w:val="0"/>
                <w:sz w:val="19"/>
              </w:rPr>
              <w:t>Both literals were converted to raw strings (r“...”) at the two flagged lines, preserving the exact same string content while removing the invalid-escape interpretation.</w:t>
            </w:r>
          </w:p>
        </w:tc>
      </w:tr>
    </w:tbl>
    <w:p/>
    <w:p>
      <w:pPr>
        <w:spacing w:before="200" w:after="80"/>
      </w:pPr>
      <w:r>
        <w:rPr>
          <w:b/>
          <w:color w:val="0F172A"/>
          <w:sz w:val="24"/>
        </w:rPr>
        <w:t>Verification</w:t>
      </w:r>
    </w:p>
    <w:p>
      <w:pPr>
        <w:spacing w:after="120"/>
      </w:pPr>
      <w:r>
        <w:rPr>
          <w:i w:val="0"/>
          <w:sz w:val="21"/>
        </w:rPr>
        <w:t>py_compile.compile(..., doraise=True) run with warnings.simplefilter(“error”) against both files completes cleanly with no SyntaxWarning raised. Full suite: 26/26 PASS.</w:t>
      </w:r>
    </w:p>
    <w:p>
      <w:pPr>
        <w:spacing w:before="320" w:after="120"/>
        <w:pBdr>
          <w:bottom w:val="single" w:sz="6" w:space="4" w:color="1e3a5f"/>
        </w:pBdr>
      </w:pPr>
      <w:r>
        <w:rPr>
          <w:b/>
          <w:color w:val="1E3A5F"/>
          <w:sz w:val="30"/>
        </w:rPr>
        <w:t>5. Current Verification Status</w:t>
      </w:r>
    </w:p>
    <w:p>
      <w:pPr>
        <w:spacing w:after="120"/>
      </w:pPr>
      <w:r>
        <w:rPr>
          <w:i w:val="0"/>
          <w:sz w:val="21"/>
        </w:rPr>
        <w:t>tools/selfcheck.py — full run, 2026-07-11:</w:t>
      </w:r>
    </w:p>
    <w:p>
      <w:r>
        <w:rPr>
          <w:b/>
          <w:color w:val="157A3D"/>
          <w:sz w:val="24"/>
        </w:rPr>
        <w:t>RESULT: 26 passed, 0 failed</w:t>
      </w:r>
    </w:p>
    <w:p>
      <w:pPr>
        <w:spacing w:after="120"/>
      </w:pPr>
      <w:r>
        <w:rPr>
          <w:i w:val="0"/>
          <w:sz w:val="21"/>
        </w:rPr>
        <w:t>Note: the SelfTestRunner phase within the suite separately runs self_test() on every live module instance and reports 41 passed / 15 failed at that inner layer — this is expected and by design: modules not started in a headless check (stopped), Ollama-dependent modules with no local model pulled, and similar idle/offline states are treated as skips, not defects, and the phase itself is marked PASS. This inner count is unrelated to V-03 above (V-03 was about the self_test() call path producing an incorrect result for those idle modules, not about the outer 26/0 headline).</w:t>
      </w:r>
    </w:p>
    <w:p>
      <w:pPr>
        <w:spacing w:before="320" w:after="120"/>
        <w:pBdr>
          <w:bottom w:val="single" w:sz="6" w:space="4" w:color="1e3a5f"/>
        </w:pBdr>
      </w:pPr>
      <w:r>
        <w:rPr>
          <w:b/>
          <w:color w:val="1E3A5F"/>
          <w:sz w:val="30"/>
        </w:rPr>
        <w:t>6. Judgment Calls Made During This Pass</w:t>
      </w:r>
    </w:p>
    <w:p>
      <w:pPr>
        <w:spacing w:after="120"/>
      </w:pPr>
      <w:r>
        <w:rPr>
          <w:i w:val="0"/>
          <w:sz w:val="21"/>
        </w:rPr>
        <w:t>The task instructions referenced “the analysis folder (per repo convention)” and asked for consistent, bumped version numbers, without the repository actually containing a pre-existing analysis/ folder or a single authoritative version field. The following decisions were made without stopping to ask, per instruction, and are recorded here for visibility:</w:t>
      </w:r>
    </w:p>
    <w:p>
      <w:pPr>
        <w:pStyle w:val="ListBullet"/>
      </w:pPr>
      <w:r>
        <w:rPr>
          <w:sz w:val="21"/>
        </w:rPr>
        <w:t>Analysis folder location: created AngeronaSuite/analysis/ (this file's own folder) rather than at the &lt;workspace-root&gt; repo root, because AngeronaSuite is the canonical current application (its own llms.txt says so explicitly) — the root tree is a separate, older prototype. All five deliverables from this pass live here.</w:t>
      </w:r>
    </w:p>
    <w:p>
      <w:pPr>
        <w:pStyle w:val="ListBullet"/>
      </w:pPr>
      <w:r>
        <w:rPr>
          <w:sz w:val="21"/>
        </w:rPr>
        <w:t>Version number: no single version field existed across the project (pyproject.toml was pinned at 1.3.0 while ANGERONA_CAPABILITIES.md's own changelog had already reached v1.6.0). Adopted v1.6.1 — a patch bump on the highest existing version — as the consistent version for pyproject.toml, the new llms.txt changelog entry, the ANGERONA_CAPABILITIES.md changelog entry, and all five files in this analysis package.</w:t>
      </w:r>
    </w:p>
    <w:p>
      <w:pPr>
        <w:pStyle w:val="ListBullet"/>
      </w:pPr>
      <w:r>
        <w:rPr>
          <w:sz w:val="21"/>
        </w:rPr>
        <w:t>llms.txt stays at the AngeronaSuite root (not moved into analysis/): it is read as master context by tooling and other agents (“Read this file first” is its own first line), so relocating it would break that convention. It was refreshed in place with a diff-only edit; a dated copy is not duplicated into analysis/ to avoid two files silently drifting out of sync — analysis/ instead links back to the canonical path.</w:t>
      </w:r>
    </w:p>
    <w:p>
      <w:pPr>
        <w:pStyle w:val="ListBullet"/>
      </w:pPr>
      <w:r>
        <w:rPr>
          <w:sz w:val="21"/>
        </w:rPr>
        <w:t>Capability doc scope: the task said “update capability/module list to reflect current behavior.” Actual inspection found 55 auto-discovered BaseModule subclasses in src/angerona/modules/ against 36 documented in ANGERONA_CAPABILITIES.md — a real, pre-existing 19-module documentation gap unrelated to the 4 fixes. Closed it in both the living doc (ANGERONA_CAPABILITIES.md, diff-only) and the new Capability Doc deliverable, since “current behavior” otherwise stays materially wrong.</w:t>
      </w:r>
    </w:p>
    <w:p>
      <w:pPr>
        <w:pStyle w:val="ListBullet"/>
      </w:pPr>
      <w:r>
        <w:rPr>
          <w:sz w:val="21"/>
        </w:rPr>
        <w:t>Flowchart deliverable: the existing Angerona_System_Flow.docx describes a different, older 7-node data-flow pipeline (Sensors → Telemetry Bus → … → Self-Hardening Core) — the same stale 7-node model V-02 removed from selfcheck.py. Produced a new flowchart deliverable reflecting the shipped 6-node World View grid instead of editing the old 7-node one in place, since they describe genuinely different diagrams; the old file is left untouched at its existing path.</w:t>
      </w:r>
    </w:p>
    <w:p>
      <w:r>
        <w:br w:type="page"/>
      </w:r>
    </w:p>
    <w:p>
      <w:pPr>
        <w:pStyle w:val="Heading1"/>
        <w:keepNext/>
      </w:pPr>
      <w:r>
        <w:rPr>
          <w:color w:val="0078D4"/>
        </w:rPr>
        <w:t>Stability and Remediation Sweep — 14 July 2026</w:t>
      </w:r>
    </w:p>
    <w:p>
      <w:r>
        <w:rPr>
          <w:i/>
        </w:rPr>
        <w:t>This addendum records the code, performance, crash-log, and remediation-report sweep completed against the Angerona v1.7.4 baseline. It supplements earlier assessment text; it is internal validation evidence, not an independent certification.</w:t>
      </w:r>
    </w:p>
    <w:p>
      <w:pPr>
        <w:pStyle w:val="Heading2"/>
      </w:pPr>
      <w:r>
        <w:t>Evidence reviewed</w:t>
      </w:r>
    </w:p>
    <w:p>
      <w:pPr>
        <w:pStyle w:val="ListBullet"/>
      </w:pPr>
      <w:r>
        <w:t>Native crash history, UI non-response snapshots, remediation-attempt logs, and current after-action reports.</w:t>
      </w:r>
    </w:p>
    <w:p>
      <w:pPr>
        <w:pStyle w:val="ListBullet"/>
      </w:pPr>
      <w:r>
        <w:t>Security Assessment v2.0, Vulnerabilities Assessment/Remediation v1.7.4, and loop remediation summaries.</w:t>
      </w:r>
    </w:p>
    <w:p>
      <w:pPr>
        <w:pStyle w:val="ListBullet"/>
      </w:pPr>
      <w:r>
        <w:t>Current source, GUI refresh paths, event/storage behavior, module discovery, and PowerShell remediation gates.</w:t>
      </w:r>
    </w:p>
    <w:p>
      <w:pPr>
        <w:pStyle w:val="Heading2"/>
      </w:pPr>
      <w:r>
        <w:t>Implemented corrections</w:t>
      </w:r>
    </w:p>
    <w:tbl>
      <w:tblPr>
        <w:tblStyle w:val="TableGrid"/>
        <w:tblW w:type="auto" w:w="0"/>
        <w:tblLayout w:type="fixed"/>
        <w:tblLook w:firstColumn="1" w:firstRow="1" w:lastColumn="0" w:lastRow="0" w:noHBand="0" w:noVBand="1" w:val="04A0"/>
      </w:tblPr>
      <w:tblGrid>
        <w:gridCol w:w="1944"/>
        <w:gridCol w:w="2880"/>
        <w:gridCol w:w="5112"/>
      </w:tblGrid>
      <w:tr>
        <w:trPr>
          <w:tblHeader w:val="1"/>
          <w:cantSplit/>
        </w:trPr>
        <w:tc>
          <w:tcPr>
            <w:tcW w:type="dxa" w:w="3312"/>
            <w:vAlign w:val="center"/>
            <w:shd w:fill="1F4E78"/>
          </w:tcPr>
          <w:p>
            <w:r/>
            <w:r>
              <w:rPr>
                <w:rFonts w:ascii="Aptos" w:hAnsi="Aptos"/>
                <w:b/>
                <w:color w:val="FFFFFF"/>
                <w:sz w:val="19"/>
              </w:rPr>
              <w:t>Area</w:t>
            </w:r>
          </w:p>
        </w:tc>
        <w:tc>
          <w:tcPr>
            <w:tcW w:type="dxa" w:w="3312"/>
            <w:vAlign w:val="center"/>
            <w:shd w:fill="1F4E78"/>
          </w:tcPr>
          <w:p>
            <w:r/>
            <w:r>
              <w:rPr>
                <w:rFonts w:ascii="Aptos" w:hAnsi="Aptos"/>
                <w:b/>
                <w:color w:val="FFFFFF"/>
                <w:sz w:val="19"/>
              </w:rPr>
              <w:t>Status</w:t>
            </w:r>
          </w:p>
        </w:tc>
        <w:tc>
          <w:tcPr>
            <w:tcW w:type="dxa" w:w="3312"/>
            <w:vAlign w:val="center"/>
            <w:shd w:fill="1F4E78"/>
          </w:tcPr>
          <w:p>
            <w:r/>
            <w:r>
              <w:rPr>
                <w:rFonts w:ascii="Aptos" w:hAnsi="Aptos"/>
                <w:b/>
                <w:color w:val="FFFFFF"/>
                <w:sz w:val="19"/>
              </w:rPr>
              <w:t>Correction</w:t>
            </w:r>
          </w:p>
        </w:tc>
      </w:tr>
      <w:tr>
        <w:trPr>
          <w:cantSplit/>
        </w:trPr>
        <w:tc>
          <w:tcPr>
            <w:tcW w:type="dxa" w:w="1944"/>
            <w:vAlign w:val="center"/>
          </w:tcPr>
          <w:p>
            <w:r/>
            <w:r>
              <w:rPr>
                <w:rFonts w:ascii="Aptos" w:hAnsi="Aptos"/>
                <w:b/>
                <w:sz w:val="19"/>
              </w:rPr>
              <w:t>Native stability</w:t>
            </w:r>
          </w:p>
        </w:tc>
        <w:tc>
          <w:tcPr>
            <w:tcW w:type="dxa" w:w="2880"/>
            <w:vAlign w:val="center"/>
          </w:tcPr>
          <w:p>
            <w:r/>
            <w:r>
              <w:rPr>
                <w:rFonts w:ascii="Aptos" w:hAnsi="Aptos"/>
                <w:b/>
                <w:color w:val="087F5B"/>
                <w:sz w:val="19"/>
              </w:rPr>
              <w:t>Fixed by safe default</w:t>
            </w:r>
          </w:p>
        </w:tc>
        <w:tc>
          <w:tcPr>
            <w:tcW w:type="dxa" w:w="5112"/>
            <w:vAlign w:val="center"/>
          </w:tcPr>
          <w:p>
            <w:r/>
            <w:r>
              <w:rPr>
                <w:rFonts w:ascii="Aptos" w:hAnsi="Aptos"/>
                <w:b w:val="0"/>
                <w:sz w:val="19"/>
              </w:rPr>
              <w:t>Twenty-one recorded native access violations converged on direct in-process AmsiScanBuffer health checks. AMSI Bridge now defaults to ETW/Sysmon observation; direct ctypes AMSI is explicit compatibility-test opt-in only.</w:t>
            </w:r>
          </w:p>
        </w:tc>
      </w:tr>
      <w:tr>
        <w:trPr>
          <w:cantSplit/>
        </w:trPr>
        <w:tc>
          <w:tcPr>
            <w:tcW w:type="dxa" w:w="1944"/>
            <w:vAlign w:val="center"/>
          </w:tcPr>
          <w:p>
            <w:r/>
            <w:r>
              <w:rPr>
                <w:rFonts w:ascii="Aptos" w:hAnsi="Aptos"/>
                <w:b/>
                <w:sz w:val="19"/>
              </w:rPr>
              <w:t>Long-run UI</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Flight Instructor work is bounded to one worker and an eight-item coalescing queue; flow-metric disk writes are off the Qt thread; alert-table gap rebuilds are burst-throttled.</w:t>
            </w:r>
          </w:p>
        </w:tc>
      </w:tr>
      <w:tr>
        <w:trPr>
          <w:cantSplit/>
        </w:trPr>
        <w:tc>
          <w:tcPr>
            <w:tcW w:type="dxa" w:w="1944"/>
            <w:vAlign w:val="center"/>
          </w:tcPr>
          <w:p>
            <w:r/>
            <w:r>
              <w:rPr>
                <w:rFonts w:ascii="Aptos" w:hAnsi="Aptos"/>
                <w:b/>
                <w:sz w:val="19"/>
              </w:rPr>
              <w:t>Diagnostics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UI watchdog snapshots are main-thread focused, rate-limited to 60 seconds, and rotated at 4 MB instead of growing without bound.</w:t>
            </w:r>
          </w:p>
        </w:tc>
      </w:tr>
      <w:tr>
        <w:trPr>
          <w:cantSplit/>
        </w:trPr>
        <w:tc>
          <w:tcPr>
            <w:tcW w:type="dxa" w:w="1944"/>
            <w:vAlign w:val="center"/>
          </w:tcPr>
          <w:p>
            <w:r/>
            <w:r>
              <w:rPr>
                <w:rFonts w:ascii="Aptos" w:hAnsi="Aptos"/>
                <w:b/>
                <w:sz w:val="19"/>
              </w:rPr>
              <w:t>Event delivery</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Removed permanent INFO suppression after the in-memory history reached 85% capacity. The bounded deque rolls off old history while new events continue to subscribers and storage.</w:t>
            </w:r>
          </w:p>
        </w:tc>
      </w:tr>
      <w:tr>
        <w:trPr>
          <w:cantSplit/>
        </w:trPr>
        <w:tc>
          <w:tcPr>
            <w:tcW w:type="dxa" w:w="1944"/>
            <w:vAlign w:val="center"/>
          </w:tcPr>
          <w:p>
            <w:r/>
            <w:r>
              <w:rPr>
                <w:rFonts w:ascii="Aptos" w:hAnsi="Aptos"/>
                <w:b/>
                <w:sz w:val="19"/>
              </w:rPr>
              <w:t>History dialogs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Interactive 24-hour event views use severity-filtered SQL capped at 500 newest rows. After-Action Reports retain complete, uncapped run-window queries.</w:t>
            </w:r>
          </w:p>
        </w:tc>
      </w:tr>
      <w:tr>
        <w:trPr>
          <w:cantSplit/>
        </w:trPr>
        <w:tc>
          <w:tcPr>
            <w:tcW w:type="dxa" w:w="1944"/>
            <w:vAlign w:val="center"/>
          </w:tcPr>
          <w:p>
            <w:r/>
            <w:r>
              <w:rPr>
                <w:rFonts w:ascii="Aptos" w:hAnsi="Aptos"/>
                <w:b/>
                <w:sz w:val="19"/>
              </w:rPr>
              <w:t>GUI exceptions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Sandbox Editor uses valid QTextCursor movement enums; Settings uses the implemented autostart enable/disable functions; unchanged module-status tables are no longer rebuilt every 1.5 seconds.</w:t>
            </w:r>
          </w:p>
        </w:tc>
      </w:tr>
      <w:tr>
        <w:trPr>
          <w:cantSplit/>
        </w:trPr>
        <w:tc>
          <w:tcPr>
            <w:tcW w:type="dxa" w:w="1944"/>
            <w:vAlign w:val="center"/>
          </w:tcPr>
          <w:p>
            <w:r/>
            <w:r>
              <w:rPr>
                <w:rFonts w:ascii="Aptos" w:hAnsi="Aptos"/>
                <w:b/>
                <w:sz w:val="19"/>
              </w:rPr>
              <w:t>A-04</w:t>
            </w:r>
          </w:p>
        </w:tc>
        <w:tc>
          <w:tcPr>
            <w:tcW w:type="dxa" w:w="2880"/>
            <w:vAlign w:val="center"/>
          </w:tcPr>
          <w:p>
            <w:r/>
            <w:r>
              <w:rPr>
                <w:rFonts w:ascii="Aptos" w:hAnsi="Aptos"/>
                <w:b/>
                <w:color w:val="087F5B"/>
                <w:sz w:val="19"/>
              </w:rPr>
              <w:t>Closed in default configuration</w:t>
            </w:r>
          </w:p>
        </w:tc>
        <w:tc>
          <w:tcPr>
            <w:tcW w:type="dxa" w:w="5112"/>
            <w:vAlign w:val="center"/>
          </w:tcPr>
          <w:p>
            <w:r/>
            <w:r>
              <w:rPr>
                <w:rFonts w:ascii="Aptos" w:hAnsi="Aptos"/>
                <w:b w:val="0"/>
                <w:sz w:val="19"/>
              </w:rPr>
              <w:t>External Python drop-ins no longer execute automatically. Trusted development environments must explicitly set ANGERONA_EXTERNAL_MODULES=1.</w:t>
            </w:r>
          </w:p>
        </w:tc>
      </w:tr>
      <w:tr>
        <w:trPr>
          <w:cantSplit/>
        </w:trPr>
        <w:tc>
          <w:tcPr>
            <w:tcW w:type="dxa" w:w="1944"/>
            <w:vAlign w:val="center"/>
          </w:tcPr>
          <w:p>
            <w:r/>
            <w:r>
              <w:rPr>
                <w:rFonts w:ascii="Aptos" w:hAnsi="Aptos"/>
                <w:b/>
                <w:sz w:val="19"/>
              </w:rPr>
              <w:t>A-07</w:t>
            </w:r>
          </w:p>
        </w:tc>
        <w:tc>
          <w:tcPr>
            <w:tcW w:type="dxa" w:w="2880"/>
            <w:vAlign w:val="center"/>
          </w:tcPr>
          <w:p>
            <w:r/>
            <w:r>
              <w:rPr>
                <w:rFonts w:ascii="Aptos" w:hAnsi="Aptos"/>
                <w:b/>
                <w:color w:val="087F5B"/>
                <w:sz w:val="19"/>
              </w:rPr>
              <w:t>Closed</w:t>
            </w:r>
          </w:p>
        </w:tc>
        <w:tc>
          <w:tcPr>
            <w:tcW w:type="dxa" w:w="5112"/>
            <w:vAlign w:val="center"/>
          </w:tcPr>
          <w:p>
            <w:r/>
            <w:r>
              <w:rPr>
                <w:rFonts w:ascii="Aptos" w:hAnsi="Aptos"/>
                <w:b w:val="0"/>
                <w:sz w:val="19"/>
              </w:rPr>
              <w:t>Shadow Shield path identifiers now use SHA-256 instead of SHA-1.</w:t>
            </w:r>
          </w:p>
        </w:tc>
      </w:tr>
      <w:tr>
        <w:trPr>
          <w:cantSplit/>
        </w:trPr>
        <w:tc>
          <w:tcPr>
            <w:tcW w:type="dxa" w:w="1944"/>
            <w:vAlign w:val="center"/>
          </w:tcPr>
          <w:p>
            <w:r/>
            <w:r>
              <w:rPr>
                <w:rFonts w:ascii="Aptos" w:hAnsi="Aptos"/>
                <w:b/>
                <w:sz w:val="19"/>
              </w:rPr>
              <w:t>A-06</w:t>
            </w:r>
          </w:p>
        </w:tc>
        <w:tc>
          <w:tcPr>
            <w:tcW w:type="dxa" w:w="2880"/>
            <w:vAlign w:val="center"/>
          </w:tcPr>
          <w:p>
            <w:r/>
            <w:r>
              <w:rPr>
                <w:rFonts w:ascii="Aptos" w:hAnsi="Aptos"/>
                <w:b/>
                <w:color w:val="B26A00"/>
                <w:sz w:val="19"/>
              </w:rPr>
              <w:t>Partially addressed</w:t>
            </w:r>
          </w:p>
        </w:tc>
        <w:tc>
          <w:tcPr>
            <w:tcW w:type="dxa" w:w="5112"/>
            <w:vAlign w:val="center"/>
          </w:tcPr>
          <w:p>
            <w:r/>
            <w:r>
              <w:rPr>
                <w:rFonts w:ascii="Aptos" w:hAnsi="Aptos"/>
                <w:b w:val="0"/>
                <w:sz w:val="19"/>
              </w:rPr>
              <w:t>AI fix and revert scripts now reject additional defense-weakening, persistence, remote-execution, scheduled-task/service, Run-key, and firewall-disable patterns. A single centralized PowerShell executor/audit boundary remains recommended.</w:t>
            </w:r>
          </w:p>
        </w:tc>
      </w:tr>
    </w:tbl>
    <w:p>
      <w:pPr>
        <w:pStyle w:val="Heading2"/>
      </w:pPr>
      <w:r>
        <w:t>Validation</w:t>
      </w:r>
    </w:p>
    <w:p>
      <w:r>
        <w:t>Compilation and focused event-bus, storage, AMSI-default, and CVE-guardrail tests passed. The complete headless regression suite completed 26 of 26 phases with zero failures and a clean process exit, including the live benign red-team simulation and After-Action path.</w:t>
      </w:r>
    </w:p>
    <w:p>
      <w:pPr>
        <w:pStyle w:val="Heading2"/>
      </w:pPr>
      <w:r>
        <w:t>Residual assurance work</w:t>
      </w:r>
    </w:p>
    <w:p>
      <w:pPr>
        <w:pStyle w:val="ListBullet"/>
      </w:pPr>
      <w:r>
        <w:t>Run a true multi-hour desktop soak with representative alert and red-team bursts; the headless suite is not a substitute for elapsed-time GUI validation.</w:t>
      </w:r>
    </w:p>
    <w:p>
      <w:pPr>
        <w:pStyle w:val="ListBullet"/>
      </w:pPr>
      <w:r>
        <w:t>Keep ANGERONA_AMSI_INPROCESS disabled unless testing a known-compatible runtime; native ctypes failures cannot be recovered by Python exception handling.</w:t>
      </w:r>
    </w:p>
    <w:p>
      <w:pPr>
        <w:pStyle w:val="ListBullet"/>
      </w:pPr>
      <w:r>
        <w:t>Centralize every PowerShell invocation behind one policy, approval, integrity, and append-only audit boundary to fully close A-06.</w:t>
      </w:r>
    </w:p>
    <w:p>
      <w:pPr>
        <w:pStyle w:val="ListBullet"/>
      </w:pPr>
      <w:r>
        <w:t>Treat external modules as privileged code and leave external discovery disabled in normal deployments.</w:t>
      </w:r>
    </w:p>
    <w:p>
      <w:r>
        <w:rPr>
          <w:b/>
        </w:rPr>
        <w:t xml:space="preserve">Superseding validation note: </w:t>
      </w:r>
      <w:r>
        <w:t>where an earlier 14 July addendum cites a 61-check module report, this sweep's final release-gate result is 26/26 end-to-end phases; individual stopped/idle modules remain reported as expected skips inside the module-level diagnostic output.</w:t>
      </w:r>
    </w:p>
    <w:p>
      <w:pPr>
        <w:pStyle w:val="Heading1"/>
      </w:pPr>
      <w:r>
        <w:t>Improvement Loop Release - 14 July 2026 (v1.7.5)</w:t>
      </w:r>
    </w:p>
    <w:p>
      <w:r>
        <w:t>Feature-versus-defect framing</w:t>
      </w:r>
    </w:p>
    <w:p>
      <w:pPr>
        <w:pStyle w:val="ListBullet"/>
      </w:pPr>
      <w:r>
        <w:t>Security defects fixed: R1-01 through R1-04; R2-01, R2-03, and R2-04; R3-03 and R3-04. These changes close unsafe AI-to-PowerShell paths, a writable playbook gate, dormant cleartext egress, Authenticode injection, incomplete event-ledger integrity, MCP starvation/resource gaps, permissive generated containment, and invalid YARA activation.</w:t>
      </w:r>
    </w:p>
    <w:p>
      <w:pPr>
        <w:pStyle w:val="ListBullet"/>
      </w:pPr>
      <w:r>
        <w:t>Deferred security boundaries: R2-02 (versioned mutual authentication plus AEAD/mTLS), R3-01 (Administrator-owned packaged runtime and plug-in trust root), and R3-02 (privileged/non-exportable signing-key custody). R3-02 includes fail-closed malformed-key handling but is not closed.</w:t>
      </w:r>
    </w:p>
    <w:p>
      <w:pPr>
        <w:pStyle w:val="ListBullet"/>
      </w:pPr>
      <w:r>
        <w:t>Defensive features, not defect closures: ELAT adds bounded, corroborated entity-scoped evidence fusion; TECT adds a reusable bounded deadline/echo contract and corrects DRILL's false-health and consecutive-miss behavior.</w:t>
      </w:r>
    </w:p>
    <w:p>
      <w:pPr>
        <w:pStyle w:val="ListBullet"/>
      </w:pPr>
      <w:r>
        <w:t>Performance correction: the Round 3 empty-snapshot cache edge (R3-QA-01/P9) is fixed. Eight concurrent empty process or connection scans now perform one OS enumeration, an 87.5% reduction, without changing the 1.5-second TTL or max_age=0 refresh behavior.</w:t>
      </w:r>
    </w:p>
    <w:p>
      <w:pPr>
        <w:pStyle w:val="Heading2"/>
      </w:pPr>
      <w:r>
        <w:t>Validation and remaining work</w:t>
      </w:r>
    </w:p>
    <w:p>
      <w:pPr>
        <w:pStyle w:val="ListBullet"/>
      </w:pPr>
      <w:r>
        <w:t>Release gates passed: 177/177 Python files compiled; 62/62 module files imported; 61 modules discovered with zero errors or duplicate codes; the full self-check passed 26/26 phases with zero failures.</w:t>
      </w:r>
    </w:p>
    <w:p>
      <w:pPr>
        <w:pStyle w:val="ListBullet"/>
      </w:pPr>
      <w:r>
        <w:t>Deferred security boundaries: Remote Bridge mutual authentication plus AEAD/mTLS (R2-02), an Administrator-owned packaged runtime and plug-in trust root (R3-01), and privileged/non-exportable ledger-key custody (R3-02). Broad PowerShell execution centralization (A-06) also remains open.</w:t>
      </w:r>
    </w:p>
    <w:p>
      <w:pPr>
        <w:pStyle w:val="ListBullet"/>
      </w:pPr>
      <w:r>
        <w:t>Proposed, not shipped: detector reuse of the shared connection cache, a global MCP request-worker cap, bounded reverse/indexed Evolution-feed lookup, isolated counterfactual replay, offline telemetry-failure mutation, keyed causal-ledger checkpoints, and local novelty sketches.</w:t>
      </w:r>
    </w:p>
    <w:p>
      <w:r>
        <w:br w:type="page"/>
      </w:r>
    </w:p>
    <w:p>
      <w:pPr>
        <w:pStyle w:val="Heading1"/>
      </w:pPr>
      <w:r>
        <w:t>Cycle 2 Vulnerability and Remediation Record — v1.8.0</w:t>
      </w:r>
    </w:p>
    <w:p>
      <w:r>
        <w:t>This addendum records the Cycle 2 three-loop finding set. It supplements the v1.7.5 record; older finding IDs and deferred deployment boundaries remain historical context.</w:t>
      </w:r>
    </w:p>
    <w:p>
      <w:pPr>
        <w:pStyle w:val="Heading2"/>
      </w:pPr>
      <w:r>
        <w:t>Round 1 closures</w:t>
      </w:r>
    </w:p>
    <w:p>
      <w:pPr>
        <w:pStyle w:val="ListBullet"/>
      </w:pPr>
      <w:r>
        <w:t>Process trust is path-aware: a path-rich event requires an exact canonical executable path. Basename trust applies only to genuinely pathless telemetry and cannot skip memory scanning; the ProtonVPN entries remain exact-path approvals.</w:t>
      </w:r>
    </w:p>
    <w:p>
      <w:pPr>
        <w:pStyle w:val="ListBullet"/>
      </w:pPr>
      <w:r>
        <w:t>After-Action correlation uses an exact full path or PID plus an opaque per-spawn drill token, bounded step windows, single-use evidence, and trigger-timestamp remediation binding. Simulated findings resolve deterministically per run and reopen after a later miss.</w:t>
      </w:r>
    </w:p>
    <w:p>
      <w:pPr>
        <w:pStyle w:val="ListBullet"/>
      </w:pPr>
      <w:r>
        <w:t>Emergency shutdown accepts only the exact suite interpreter or the first canonical Python entry point beneath the Angerona root. It does not match sibling prefixes or later file arguments, never image-kills all Python/Ollama runners, and retains model-specific llama3 unload.</w:t>
      </w:r>
    </w:p>
    <w:p>
      <w:r>
        <w:t>ARIA disabled state now refuses READ, WRITE staging, confirmation, and proactive callbacks and clears pending actions. SQLite retention remains hard-bounded while pruning lower severity before HIGH/CRITICAL evidence.</w:t>
      </w:r>
    </w:p>
    <w:p>
      <w:pPr>
        <w:pStyle w:val="Heading2"/>
      </w:pPr>
      <w:r>
        <w:t>Round 2 closures</w:t>
      </w:r>
    </w:p>
    <w:p>
      <w:pPr>
        <w:pStyle w:val="ListBullet"/>
      </w:pPr>
      <w:r>
        <w:t>Red Team and Shark Stop &amp; Clean now use interruptible cancellation, a bounded 250 ms join, final scoped cleanup, and overlap refusal. Cancelled Shark runs do not emit the normal completion/AAR callback.</w:t>
      </w:r>
    </w:p>
    <w:p>
      <w:pPr>
        <w:pStyle w:val="ListBullet"/>
      </w:pPr>
      <w:r>
        <w:t>ARIA fails closed while disabled. WRITE previews bind the exact callback version, kind, immutable recursive arguments, preview, expiry, and digest; full 128-bit UUID4 tokens are collision-safe, single-use, and TTL-pruned. Research READ is local-only; browser egress is a separate confirmed WRITE and defaults off.</w:t>
      </w:r>
    </w:p>
    <w:p>
      <w:pPr>
        <w:pStyle w:val="Heading2"/>
      </w:pPr>
      <w:r>
        <w:t>Round 3 and performance closure</w:t>
      </w:r>
    </w:p>
    <w:p>
      <w:pPr>
        <w:pStyle w:val="ListBullet"/>
      </w:pPr>
      <w:r>
        <w:t>Full 128-bit collision-safe ARIA tokens prevent one live preview from replacing another; the pending map and tool registry mutate atomically, while callbacks remain outside the lock.</w:t>
      </w:r>
    </w:p>
    <w:p>
      <w:pPr>
        <w:pStyle w:val="ListBullet"/>
      </w:pPr>
      <w:r>
        <w:t>The valid 21:39:50 storage-lock stall is closed by committed revision tracking plus immediate-only interactive reads. The GUI keeps the last complete state and retries instead of waiting behind SQLite maintenance.</w:t>
      </w:r>
    </w:p>
    <w:p>
      <w:pPr>
        <w:pStyle w:val="Heading2"/>
      </w:pPr>
      <w:r>
        <w:t>Implemented versus experimental</w:t>
      </w:r>
    </w:p>
    <w:p>
      <w:r>
        <w:t>The Response Safety Kernel in core/action_policy.py is implemented only as a bounded, digest-only shadow evaluator attached to an already-staged ARIA WRITE preview. Its ALLOW/DENY value is experimental data, not authorization. Confirmation, callback execution, SOAR, Resolve Center, drill remediation, shutdown, process trust, and storage never consume or branch on the shadow result. Production promotion, policy loading/editing, durable shadow receipts, Sensor Cells, Collective Baseline Exchange, Lifecycle Epoch Ledger, and Shadow Differential Review remain proposed and require separate operator approval.</w:t>
      </w:r>
    </w:p>
    <w:p>
      <w:pPr>
        <w:pStyle w:val="Heading2"/>
      </w:pPr>
      <w:r>
        <w:t>Final verification</w:t>
      </w:r>
    </w:p>
    <w:p>
      <w:pPr>
        <w:pStyle w:val="ListBullet"/>
      </w:pPr>
      <w:r>
        <w:t>Complete-tree compile: 205/205 Python files; production-package compile: 195/195.</w:t>
      </w:r>
    </w:p>
    <w:p>
      <w:pPr>
        <w:pStyle w:val="ListBullet"/>
      </w:pPr>
      <w:r>
        <w:t>Module integrity: 62/62 module files imported; 61/61 modules constructed and discovered; no duplicate names or non-empty codes.</w:t>
      </w:r>
    </w:p>
    <w:p>
      <w:pPr>
        <w:pStyle w:val="ListBullet"/>
      </w:pPr>
      <w:r>
        <w:t>Behavioral gates: 24/24 focused regressions; 12/12 ARIA and research self-tests; Response Safety Kernel self-test passed.</w:t>
      </w:r>
    </w:p>
    <w:p>
      <w:pPr>
        <w:pStyle w:val="ListBullet"/>
      </w:pPr>
      <w:r>
        <w:t>Full application self-check: 26/26 phases. Raw module diagnostics: 47 pass, 15 expected stopped/idle/optional-Ollama skips, 0 genuine failures.</w:t>
      </w:r>
    </w:p>
    <w:p>
      <w:pPr>
        <w:pStyle w:val="Heading2"/>
      </w:pPr>
      <w:r>
        <w:t>Deferred, not closed by Cycle 2</w:t>
      </w:r>
    </w:p>
    <w:p>
      <w:pPr>
        <w:pStyle w:val="ListBullet"/>
      </w:pPr>
      <w:r>
        <w:t>Remote Bridge authenticated-encryption protocol migration; Administrator/SYSTEM-owned packaged trust root; privileged or non-exportable event-ledger signing-key custody; centralized PowerShell execution policy.</w:t>
      </w:r>
    </w:p>
    <w:p>
      <w:pPr>
        <w:pStyle w:val="ListBullet"/>
      </w:pPr>
      <w:r>
        <w:t>Certificate/hash-bound trust, signed cold evidence/retirement records, persisted PID/start-time ownership, and a true multi-hour desktop soak.</w:t>
      </w:r>
    </w:p>
    <w:p>
      <w:pPr>
        <w:pStyle w:val="ListBullet"/>
      </w:pPr>
      <w:r>
        <w:t>Any Response Safety Kernel production authority, Sensor Cells, Collective Baseline Exchange, Lifecycle Epoch Ledger, or Shadow Differential Review. These remain proposed and approval-gated.</w:t>
      </w:r>
    </w:p>
    <w:p>
      <w:r>
        <w:br w:type="page"/>
      </w:r>
    </w:p>
    <w:p>
      <w:r>
        <w:rPr>
          <w:b/>
          <w:sz w:val="36"/>
        </w:rPr>
        <w:t>v1.9.3 Cycle 3 Public-Release Update</w:t>
      </w:r>
    </w:p>
    <w:p>
      <w:r>
        <w:t>Validated 2026-07-19 through three focused rounds covering security and privacy, correctness and remediation, and sustained performance/UI behavior.</w:t>
      </w:r>
    </w:p>
    <w:p>
      <w:r>
        <w:t>• Public-release controls: DPAPI-backed secret storage, default-off sanitized cloud escalation, bounded/redacted incident bundles, and strict connector authentication.</w:t>
      </w:r>
    </w:p>
    <w:p>
      <w:r>
        <w:t>• Remote Bridge now uses mutual authentication and AES-GCM; Teams identity checks use immutable sender IDs; SIEM transport rejects insecure remote delivery.</w:t>
      </w:r>
    </w:p>
    <w:p>
      <w:r>
        <w:t>• Current-tree privacy review removed workstation paths, live telemetry screenshots, bundled native binaries, and personal metadata. Git history still requires a separate owner-approved audit or clean publication repository.</w:t>
      </w:r>
    </w:p>
    <w:p>
      <w:r>
        <w:t>Verification baseline: 57 automated tests passed with one platform-specific skip; the product self-check completed 26/26 gates and ARIA completed 13/13 checks.</w:t>
      </w:r>
    </w:p>
    <w:p>
      <w:r>
        <w:br w:type="page"/>
      </w:r>
    </w:p>
    <w:p>
      <w:r>
        <w:rPr>
          <w:b/>
          <w:sz w:val="36"/>
        </w:rPr>
        <w:t>v1.9.3 Final Installer and Publication Gate</w:t>
      </w:r>
    </w:p>
    <w:p>
      <w:r>
        <w:t>• The recommended GitHub release is now a one-click protected install: it re-verifies both one-file executables, installs them under %ProgramFiles%\Angerona, creates the supported shortcut, and defaults mutable state to protected D:\AngeronaData on a fixed D: volume, with protected %ProgramData%\Angerona only when D: is unavailable. Legacy per-user C: spill is migrated collision-safely.</w:t>
      </w:r>
    </w:p>
    <w:p>
      <w:r>
        <w:t>• The Black Box is built first and its SHA-256 is embedded in Angerona.exe. Frozen launch requires the same protected root, non-writable ACLs, no reparse points, and an exact digest match. The verified offline speech model and ARIA documentation are bundled.</w:t>
      </w:r>
    </w:p>
    <w:p>
      <w:r>
        <w:t>• The full CPython 3.12 Windows release/tool dependency closure is pinned. Contributor source setup rejects an untrusted pre-existing virtual environment and only accepts Authenticode-valid official Python/Ollama executables. The public tree uses synthetic demo telemetry and contains no personal workstation identity or paths.</w:t>
      </w:r>
    </w:p>
    <w:p>
      <w:r>
        <w:t>• Verification: 63 modules discovered; 57 automated tests passed with one platform skip; product self-check 26/26; ARIA 13/13. Current files are privacy-clean, but Git history still requires an explicit owner-approved rewrite or clean-repository publication before going public. Builds remain unsigned until an Authenticode certificate is supplied.</w:t>
      </w:r>
    </w:p>
    <w:p>
      <w:r>
        <w:br w:type="page"/>
      </w:r>
    </w:p>
    <w:p>
      <w:pPr>
        <w:pStyle w:val="Heading1"/>
        <w:keepNext/>
      </w:pPr>
      <w:r>
        <w:t>Cycle 4 Vulnerability and Remediation Record — v1.9.4</w:t>
      </w:r>
    </w:p>
    <w:p>
      <w:pPr>
        <w:keepNext/>
      </w:pPr>
      <w:r>
        <w:t>New findings were validated against the integrated tree after remediation.</w:t>
      </w:r>
    </w:p>
    <w:tbl>
      <w:tblPr>
        <w:tblStyle w:val="TableGrid"/>
        <w:tblW w:type="auto" w:w="0"/>
        <w:tblLook w:firstColumn="1" w:firstRow="1" w:lastColumn="0" w:lastRow="0" w:noHBand="0" w:noVBand="1" w:val="04A0"/>
      </w:tblPr>
      <w:tblGrid>
        <w:gridCol w:w="2484"/>
        <w:gridCol w:w="2484"/>
        <w:gridCol w:w="2484"/>
        <w:gridCol w:w="2484"/>
      </w:tblGrid>
      <w:tr>
        <w:trPr>
          <w:tblHeader w:val="true"/>
          <w:cantSplit/>
        </w:trPr>
        <w:tc>
          <w:tcPr>
            <w:tcW w:type="dxa" w:w="2484"/>
          </w:tcPr>
          <w:p>
            <w:r>
              <w:rPr>
                <w:b/>
              </w:rPr>
              <w:t>ID</w:t>
            </w:r>
          </w:p>
        </w:tc>
        <w:tc>
          <w:tcPr>
            <w:tcW w:type="dxa" w:w="2484"/>
          </w:tcPr>
          <w:p>
            <w:r>
              <w:rPr>
                <w:b/>
              </w:rPr>
              <w:t>Severity</w:t>
            </w:r>
          </w:p>
        </w:tc>
        <w:tc>
          <w:tcPr>
            <w:tcW w:type="dxa" w:w="2484"/>
          </w:tcPr>
          <w:p>
            <w:r>
              <w:rPr>
                <w:b/>
              </w:rPr>
              <w:t>Finding</w:t>
            </w:r>
          </w:p>
        </w:tc>
        <w:tc>
          <w:tcPr>
            <w:tcW w:type="dxa" w:w="2484"/>
          </w:tcPr>
          <w:p>
            <w:r>
              <w:rPr>
                <w:b/>
              </w:rPr>
              <w:t>Disposition</w:t>
            </w:r>
          </w:p>
        </w:tc>
      </w:tr>
      <w:tr>
        <w:trPr>
          <w:cantSplit/>
        </w:trPr>
        <w:tc>
          <w:tcPr>
            <w:tcW w:type="dxa" w:w="2484"/>
          </w:tcPr>
          <w:p>
            <w:r>
              <w:t>C4-R1-01</w:t>
            </w:r>
          </w:p>
        </w:tc>
        <w:tc>
          <w:tcPr>
            <w:tcW w:type="dxa" w:w="2484"/>
          </w:tcPr>
          <w:p>
            <w:r>
              <w:t>MEDIUM</w:t>
            </w:r>
          </w:p>
        </w:tc>
        <w:tc>
          <w:tcPr>
            <w:tcW w:type="dxa" w:w="2484"/>
          </w:tcPr>
          <w:p>
            <w:r>
              <w:t>Live-alert Analyze could silently reuse cloud fallback and send raw evidence</w:t>
            </w:r>
          </w:p>
        </w:tc>
        <w:tc>
          <w:tcPr>
            <w:tcW w:type="dxa" w:w="2484"/>
          </w:tcPr>
          <w:p>
            <w:r>
              <w:t>Closed: separate opt-in, local default, recursive/bounded cloud redaction, egress recheck</w:t>
            </w:r>
          </w:p>
        </w:tc>
      </w:tr>
      <w:tr>
        <w:trPr>
          <w:cantSplit/>
        </w:trPr>
        <w:tc>
          <w:tcPr>
            <w:tcW w:type="dxa" w:w="2484"/>
          </w:tcPr>
          <w:p>
            <w:r>
              <w:t>C4-R1-02</w:t>
            </w:r>
          </w:p>
        </w:tc>
        <w:tc>
          <w:tcPr>
            <w:tcW w:type="dxa" w:w="2484"/>
          </w:tcPr>
          <w:p>
            <w:r>
              <w:t>MEDIUM residual</w:t>
            </w:r>
          </w:p>
        </w:tc>
        <w:tc>
          <w:tcPr>
            <w:tcW w:type="dxa" w:w="2484"/>
          </w:tcPr>
          <w:p>
            <w:r>
              <w:t>Bundle-local hashes do not establish publisher identity</w:t>
            </w:r>
          </w:p>
        </w:tc>
        <w:tc>
          <w:tcPr>
            <w:tcW w:type="dxa" w:w="2484"/>
          </w:tcPr>
          <w:p>
            <w:r>
              <w:t>Open external boundary: Authenticode/MSIX signing certificate required</w:t>
            </w:r>
          </w:p>
        </w:tc>
      </w:tr>
      <w:tr>
        <w:trPr>
          <w:cantSplit/>
        </w:trPr>
        <w:tc>
          <w:tcPr>
            <w:tcW w:type="dxa" w:w="2484"/>
          </w:tcPr>
          <w:p>
            <w:r>
              <w:t>C4-R1-03</w:t>
            </w:r>
          </w:p>
        </w:tc>
        <w:tc>
          <w:tcPr>
            <w:tcW w:type="dxa" w:w="2484"/>
          </w:tcPr>
          <w:p>
            <w:r>
              <w:t>LOW</w:t>
            </w:r>
          </w:p>
        </w:tc>
        <w:tc>
          <w:tcPr>
            <w:tcW w:type="dxa" w:w="2484"/>
          </w:tcPr>
          <w:p>
            <w:r>
              <w:t>AAR verifier errors/manual resolution could bypass strict trust</w:t>
            </w:r>
          </w:p>
        </w:tc>
        <w:tc>
          <w:tcPr>
            <w:tcW w:type="dxa" w:w="2484"/>
          </w:tcPr>
          <w:p>
            <w:r>
              <w:t>Closed: strict fail-closed verification and authenticated manual resolution</w:t>
            </w:r>
          </w:p>
        </w:tc>
      </w:tr>
      <w:tr>
        <w:trPr>
          <w:cantSplit/>
        </w:trPr>
        <w:tc>
          <w:tcPr>
            <w:tcW w:type="dxa" w:w="2484"/>
          </w:tcPr>
          <w:p>
            <w:r>
              <w:t>C4-R1-04</w:t>
            </w:r>
          </w:p>
        </w:tc>
        <w:tc>
          <w:tcPr>
            <w:tcW w:type="dxa" w:w="2484"/>
          </w:tcPr>
          <w:p>
            <w:r>
              <w:t>LOW privacy</w:t>
            </w:r>
          </w:p>
        </w:tc>
        <w:tc>
          <w:tcPr>
            <w:tcW w:type="dxa" w:w="2484"/>
          </w:tcPr>
          <w:p>
            <w:r>
              <w:t>Historical Git author metadata contains a personal address</w:t>
            </w:r>
          </w:p>
        </w:tc>
        <w:tc>
          <w:tcPr>
            <w:tcW w:type="dxa" w:w="2484"/>
          </w:tcPr>
          <w:p>
            <w:r>
              <w:t>Future commits use noreply; history rewrite/clean public repo still required</w:t>
            </w:r>
          </w:p>
        </w:tc>
      </w:tr>
      <w:tr>
        <w:trPr>
          <w:cantSplit/>
        </w:trPr>
        <w:tc>
          <w:tcPr>
            <w:tcW w:type="dxa" w:w="2484"/>
          </w:tcPr>
          <w:p>
            <w:r>
              <w:t>C4-B-01</w:t>
            </w:r>
          </w:p>
        </w:tc>
        <w:tc>
          <w:tcPr>
            <w:tcW w:type="dxa" w:w="2484"/>
          </w:tcPr>
          <w:p>
            <w:r>
              <w:t>Reliability</w:t>
            </w:r>
          </w:p>
        </w:tc>
        <w:tc>
          <w:tcPr>
            <w:tcW w:type="dxa" w:w="2484"/>
          </w:tcPr>
          <w:p>
            <w:r>
              <w:t>Top Talkers performed OS/PTR calls on Qt</w:t>
            </w:r>
          </w:p>
        </w:tc>
        <w:tc>
          <w:tcPr>
            <w:tcW w:type="dxa" w:w="2484"/>
          </w:tcPr>
          <w:p>
            <w:r>
              <w:t>Closed: one background worker, UI-only rendering</w:t>
            </w:r>
          </w:p>
        </w:tc>
      </w:tr>
      <w:tr>
        <w:trPr>
          <w:cantSplit/>
        </w:trPr>
        <w:tc>
          <w:tcPr>
            <w:tcW w:type="dxa" w:w="2484"/>
          </w:tcPr>
          <w:p>
            <w:r>
              <w:t>C4-B-02</w:t>
            </w:r>
          </w:p>
        </w:tc>
        <w:tc>
          <w:tcPr>
            <w:tcW w:type="dxa" w:w="2484"/>
          </w:tcPr>
          <w:p>
            <w:r>
              <w:t>Reliability</w:t>
            </w:r>
          </w:p>
        </w:tc>
        <w:tc>
          <w:tcPr>
            <w:tcW w:type="dxa" w:w="2484"/>
          </w:tcPr>
          <w:p>
            <w:r>
              <w:t>Scapy capture could overlap or linger across restarts</w:t>
            </w:r>
          </w:p>
        </w:tc>
        <w:tc>
          <w:tcPr>
            <w:tcW w:type="dxa" w:w="2484"/>
          </w:tcPr>
          <w:p>
            <w:r>
              <w:t>Closed: generation stop event, AsyncSniffer, bounded fallback and overlap refusal</w:t>
            </w:r>
          </w:p>
        </w:tc>
      </w:tr>
      <w:tr>
        <w:trPr>
          <w:cantSplit/>
        </w:trPr>
        <w:tc>
          <w:tcPr>
            <w:tcW w:type="dxa" w:w="2484"/>
          </w:tcPr>
          <w:p>
            <w:r>
              <w:t>C4-P-01</w:t>
            </w:r>
          </w:p>
        </w:tc>
        <w:tc>
          <w:tcPr>
            <w:tcW w:type="dxa" w:w="2484"/>
          </w:tcPr>
          <w:p>
            <w:r>
              <w:t>Performance</w:t>
            </w:r>
          </w:p>
        </w:tc>
        <w:tc>
          <w:tcPr>
            <w:tcW w:type="dxa" w:w="2484"/>
          </w:tcPr>
          <w:p>
            <w:r>
              <w:t>List front-deletes and repeated scans/snapshots caused long-session cost</w:t>
            </w:r>
          </w:p>
        </w:tc>
        <w:tc>
          <w:tcPr>
            <w:tcW w:type="dxa" w:w="2484"/>
          </w:tcPr>
          <w:p>
            <w:r>
              <w:t>Closed: bounded deques, directory stamp cache, shared snapshot</w:t>
            </w:r>
          </w:p>
        </w:tc>
      </w:tr>
      <w:tr>
        <w:trPr>
          <w:cantSplit/>
        </w:trPr>
        <w:tc>
          <w:tcPr>
            <w:tcW w:type="dxa" w:w="2484"/>
          </w:tcPr>
          <w:p>
            <w:r>
              <w:t>C4-P-02</w:t>
            </w:r>
          </w:p>
        </w:tc>
        <w:tc>
          <w:tcPr>
            <w:tcW w:type="dxa" w:w="2484"/>
          </w:tcPr>
          <w:p>
            <w:r>
              <w:t>Reliability</w:t>
            </w:r>
          </w:p>
        </w:tc>
        <w:tc>
          <w:tcPr>
            <w:tcW w:type="dxa" w:w="2484"/>
          </w:tcPr>
          <w:p>
            <w:r>
              <w:t>Module restart could overlap SPEC, AI-recovery, or IPC helper generations</w:t>
            </w:r>
          </w:p>
        </w:tc>
        <w:tc>
          <w:tcPr>
            <w:tcW w:type="dxa" w:w="2484"/>
          </w:tcPr>
          <w:p>
            <w:r>
              <w:t>Closed: join-aware lifecycle generations and generation-owned helper resources</w:t>
            </w:r>
          </w:p>
        </w:tc>
      </w:tr>
      <w:tr>
        <w:trPr>
          <w:cantSplit/>
        </w:trPr>
        <w:tc>
          <w:tcPr>
            <w:tcW w:type="dxa" w:w="2484"/>
          </w:tcPr>
          <w:p>
            <w:r>
              <w:t>C4-P-03</w:t>
            </w:r>
          </w:p>
        </w:tc>
        <w:tc>
          <w:tcPr>
            <w:tcW w:type="dxa" w:w="2484"/>
          </w:tcPr>
          <w:p>
            <w:r>
              <w:t>Performance</w:t>
            </w:r>
          </w:p>
        </w:tc>
        <w:tc>
          <w:tcPr>
            <w:tcW w:type="dxa" w:w="2484"/>
          </w:tcPr>
          <w:p>
            <w:r>
              <w:t>Network/PID, forensics capture, and HEAL filename state could grow indefinitely</w:t>
            </w:r>
          </w:p>
        </w:tc>
        <w:tc>
          <w:tcPr>
            <w:tcW w:type="dxa" w:w="2484"/>
          </w:tcPr>
          <w:p>
            <w:r>
              <w:t>Closed: expiry pruning, identity-aware retention, and hard bounds</w:t>
            </w:r>
          </w:p>
        </w:tc>
      </w:tr>
      <w:tr>
        <w:trPr>
          <w:cantSplit/>
        </w:trPr>
        <w:tc>
          <w:tcPr>
            <w:tcW w:type="dxa" w:w="2484"/>
          </w:tcPr>
          <w:p>
            <w:r>
              <w:t>C4-B-03</w:t>
            </w:r>
          </w:p>
        </w:tc>
        <w:tc>
          <w:tcPr>
            <w:tcW w:type="dxa" w:w="2484"/>
          </w:tcPr>
          <w:p>
            <w:r>
              <w:t>Reliability</w:t>
            </w:r>
          </w:p>
        </w:tc>
        <w:tc>
          <w:tcPr>
            <w:tcW w:type="dxa" w:w="2484"/>
          </w:tcPr>
          <w:p>
            <w:r>
              <w:t>Top Talkers AI and Upgrade Console model calls could block Qt</w:t>
            </w:r>
          </w:p>
        </w:tc>
        <w:tc>
          <w:tcPr>
            <w:tcW w:type="dxa" w:w="2484"/>
          </w:tcPr>
          <w:p>
            <w:r>
              <w:t>Closed: asynchronous single-flight workers and stale-result guards</w:t>
            </w:r>
          </w:p>
        </w:tc>
      </w:tr>
      <w:tr>
        <w:trPr>
          <w:cantSplit/>
        </w:trPr>
        <w:tc>
          <w:tcPr>
            <w:tcW w:type="dxa" w:w="2484"/>
          </w:tcPr>
          <w:p>
            <w:r>
              <w:t>C4-W-01</w:t>
            </w:r>
          </w:p>
        </w:tc>
        <w:tc>
          <w:tcPr>
            <w:tcW w:type="dxa" w:w="2484"/>
          </w:tcPr>
          <w:p>
            <w:r>
              <w:t>Reliability/Safety</w:t>
            </w:r>
          </w:p>
        </w:tc>
        <w:tc>
          <w:tcPr>
            <w:tcW w:type="dxa" w:w="2484"/>
          </w:tcPr>
          <w:p>
            <w:r>
              <w:t>Manual watchdog Core restart re-adopted the still-running Core and shared commands could be consumed by the wrong supervisor</w:t>
            </w:r>
          </w:p>
        </w:tc>
        <w:tc>
          <w:tcPr>
            <w:tcW w:type="dxa" w:w="2484"/>
          </w:tcPr>
          <w:p>
            <w:r>
              <w:t>Closed: target-specific authenticated inbox, adopted-process identity termination, SAFE_MODE clear, and duplicate refusal</w:t>
            </w:r>
          </w:p>
        </w:tc>
      </w:tr>
      <w:tr>
        <w:trPr>
          <w:cantSplit/>
        </w:trPr>
        <w:tc>
          <w:tcPr>
            <w:tcW w:type="dxa" w:w="2484"/>
          </w:tcPr>
          <w:p>
            <w:r>
              <w:t>C4-E-01</w:t>
            </w:r>
          </w:p>
        </w:tc>
        <w:tc>
          <w:tcPr>
            <w:tcW w:type="dxa" w:w="2484"/>
          </w:tcPr>
          <w:p>
            <w:r>
              <w:t>HIGH</w:t>
            </w:r>
          </w:p>
        </w:tc>
        <w:tc>
          <w:tcPr>
            <w:tcW w:type="dxa" w:w="2484"/>
          </w:tcPr>
          <w:p>
            <w:r>
              <w:t>External Python extensions could be opted in without a cryptographic pre-import identity and capability contract</w:t>
            </w:r>
          </w:p>
        </w:tc>
        <w:tc>
          <w:tcPr>
            <w:tcW w:type="dxa" w:w="2484"/>
          </w:tcPr>
          <w:p>
            <w:r>
              <w:t>Closed: exact-source Capability Manifest v1, trusted Ed25519 publisher verification, and fail-closed rejection before import</w:t>
            </w:r>
          </w:p>
        </w:tc>
      </w:tr>
      <w:tr>
        <w:trPr>
          <w:cantSplit/>
        </w:trPr>
        <w:tc>
          <w:tcPr>
            <w:tcW w:type="dxa" w:w="2484"/>
          </w:tcPr>
          <w:p>
            <w:r>
              <w:t>C4-E-02</w:t>
            </w:r>
          </w:p>
        </w:tc>
        <w:tc>
          <w:tcPr>
            <w:tcW w:type="dxa" w:w="2484"/>
          </w:tcPr>
          <w:p>
            <w:r>
              <w:t>MEDIUM</w:t>
            </w:r>
          </w:p>
        </w:tc>
        <w:tc>
          <w:tcPr>
            <w:tcW w:type="dxa" w:w="2484"/>
          </w:tcPr>
          <w:p>
            <w:r>
              <w:t>Remediation audit rows recorded outcomes but did not cryptographically bind the action record to its predecessor and passed postcondition</w:t>
            </w:r>
          </w:p>
        </w:tc>
        <w:tc>
          <w:tcPr>
            <w:tcW w:type="dxa" w:w="2484"/>
          </w:tcPr>
          <w:p>
            <w:r>
              <w:t>Closed: privacy-minimized HMAC-authenticated chained receipts; applied without passed verification fails proof validation</w:t>
            </w:r>
          </w:p>
        </w:tc>
      </w:tr>
      <w:tr>
        <w:trPr>
          <w:cantSplit/>
        </w:trPr>
        <w:tc>
          <w:tcPr>
            <w:tcW w:type="dxa" w:w="2484"/>
          </w:tcPr>
          <w:p>
            <w:r>
              <w:t>C4-E-03</w:t>
            </w:r>
          </w:p>
        </w:tc>
        <w:tc>
          <w:tcPr>
            <w:tcW w:type="dxa" w:w="2484"/>
          </w:tcPr>
          <w:p>
            <w:r>
              <w:t>LOW</w:t>
            </w:r>
          </w:p>
        </w:tc>
        <w:tc>
          <w:tcPr>
            <w:tcW w:type="dxa" w:w="2484"/>
          </w:tcPr>
          <w:p>
            <w:r>
              <w:t>Local MCP alert, module-health, and incident handlers used stale/non-canonical model fields</w:t>
            </w:r>
          </w:p>
        </w:tc>
        <w:tc>
          <w:tcPr>
            <w:tcW w:type="dxa" w:w="2484"/>
          </w:tcPr>
          <w:p>
            <w:r>
              <w:t>Closed: canonical fields plus bounded enterprise-readiness and causal-graph read tools</w:t>
            </w:r>
          </w:p>
        </w:tc>
      </w:tr>
    </w:tbl>
    <w:p>
      <w:pPr>
        <w:pStyle w:val="Heading2"/>
        <w:keepNext/>
      </w:pPr>
      <w:r>
        <w:t>Remediation-score integrity</w:t>
      </w:r>
    </w:p>
    <w:p>
      <w:pPr>
        <w:pStyle w:val="ListBullet"/>
      </w:pPr>
      <w:r>
        <w:t>Only an explicitly successful Active Response event counts as remediation; failed attempts do not.</w:t>
      </w:r>
    </w:p>
    <w:p>
      <w:pPr>
        <w:pStyle w:val="ListBullet"/>
      </w:pPr>
      <w:r>
        <w:t>Purple candidate installation does not count as detector coverage and cannot patch the creating run.</w:t>
      </w:r>
    </w:p>
    <w:p>
      <w:pPr>
        <w:pStyle w:val="ListBullet"/>
      </w:pPr>
      <w:r>
        <w:t>Duplicate installed/unsupported policy findings are deduplicated without hiding unsupported techniques.</w:t>
      </w:r>
    </w:p>
    <w:p>
      <w:pPr>
        <w:pStyle w:val="ListBullet"/>
      </w:pPr>
      <w:r>
        <w:t>Signed AAR enforcement is enabled by default and its self-test preserves the operator's environment policy.</w:t>
      </w:r>
    </w:p>
    <w:p>
      <w:pPr>
        <w:pStyle w:val="Heading2"/>
        <w:keepNext/>
      </w:pPr>
      <w:r>
        <w:t>Residual decisions</w:t>
      </w:r>
    </w:p>
    <w:p>
      <w:pPr>
        <w:pStyle w:val="ListBullet"/>
      </w:pPr>
      <w:r>
        <w:t>Obtain a publisher certificate and sign the release installer/executables, or ship an MSIX with a verified publisher.</w:t>
      </w:r>
    </w:p>
    <w:p>
      <w:pPr>
        <w:pStyle w:val="ListBullet"/>
      </w:pPr>
      <w:r>
        <w:t>Before making the existing repository public, intentionally rewrite author metadata/history or publish a clean reviewed repository. This pass does not silently rewrite history.</w:t>
      </w:r>
    </w:p>
    <w:p>
      <w:pPr>
        <w:pStyle w:val="ListBullet"/>
      </w:pPr>
      <w:r>
        <w:t>Build fleet mTLS enrollment, organization RBAC/audit, signed central policy distribution, cross-endpoint search/storage, high availability, and analyst case workflow before claiming enterprise fleet-management parity.</w:t>
      </w:r>
    </w:p>
    <w:p>
      <w:pPr>
        <w:pStyle w:val="ListBullet"/>
      </w:pPr>
      <w:r>
        <w:t>Move untrusted AI/module workers behind an operating-system isolation boundary before treating manifest permission declarations as enforceable confinement.</w:t>
      </w:r>
    </w:p>
    <w:p>
      <w:pPr>
        <w:pStyle w:val="Heading2"/>
        <w:keepNext/>
      </w:pPr>
      <w:r>
        <w:t>Verification</w:t>
      </w:r>
    </w:p>
    <w:p>
      <w:r>
        <w:t>Repository pytest: 133 passed, 1 skipped. Headless self-check: 26/26 PASS. ARIA self-tests: 13/13 PASS. Cycle 4 focused regression gate: 49/49 PASS. Python compile and diff checks: PASS. Auto-discovery remains 63 modules. Synthetic 100,000-event causal graph: 2.958 seconds (29.58 microseconds per input event), 1,000 retained events, 2,500-node cap respected, approximately 3.81 MiB RSS added.</w:t>
      </w:r>
    </w:p>
    <w:sectPr>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Angerona Vulnerabilities Assessment and Remediation v1.8.0</dc:title>
  <dc:subject>Angerona v1.9.4 Cycle 4 verified update</dc:subject>
  <dc:creator/>
  <cp:keywords>Angerona, EDR, NDR, SOAR, local-first, security</cp:keywords>
  <dc:description/>
  <cp:lastModifiedBy/>
  <cp:revision>1</cp:revision>
  <dcterms:created xsi:type="dcterms:W3CDTF">2013-12-23T23:15:00Z</dcterms:created>
  <dcterms:modified xsi:type="dcterms:W3CDTF">2026-07-14T15:47:35Z</dcterms:modified>
  <cp:category/>
  <cp:version>1.7.5</cp:version>
</cp:coreProperties>
</file>