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t>Document version 1.10.1 · 2026-08-24 · Host Adaption improvement loop: the new capability is recorded separately from eight implementation defects, all fixed; deeper collection and physical-host acceptance remain explicit.</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rPr>
          <w:tblHeader w:val="1"/>
          <w:cantSplit/>
        </w:trP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rPr>
          <w:cantSplit/>
        </w:trP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rPr>
          <w:cantSplit/>
        </w:trP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rPr>
          <w:cantSplit/>
        </w:trP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rPr>
          <w:cantSplit/>
        </w:trP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rPr>
          <w:cantSplit/>
        </w:trP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tools/selfcheck.py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rPr>
          <w:cantSplit/>
        </w:trP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rPr>
          <w:cantSplit/>
        </w:trP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rPr>
          <w:tblHeader w:val="1"/>
          <w:cantSplit/>
        </w:trP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rPr>
          <w:cantSplit/>
        </w:trP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rPr>
          <w:cantSplit/>
        </w:trP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Feature-versus-defect framing</w:t>
      </w:r>
    </w:p>
    <w:p>
      <w:pPr>
        <w:pStyle w:val="ListBullet"/>
      </w:pPr>
      <w: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t>Defensive features, not defect closures: ELAT adds bounded, corroborated entity-scoped evidence fusion; TECT adds a reusable bounded deadline/echo contract and corrects DRILL's false-health and consecutive-miss behavior.</w:t>
      </w:r>
    </w:p>
    <w:p>
      <w:pPr>
        <w:pStyle w:val="ListBullet"/>
      </w:pPr>
      <w:r>
        <w:t>Performance correction: the Round 3 empty-snapshot cache edge (R3-QA-01/P9) is fixed. Eight concurrent empty process or connection scans now perform one OS enumeration, an 87.5% reduction, without changing the 1.5-second TTL or max_age=0 refresh behavior.</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Cycle 2 Vulnerability and Remediation Record — v1.8.0</w:t>
      </w:r>
    </w:p>
    <w:p>
      <w:r>
        <w:t>This addendum records the Cycle 2 three-loop finding set. It supplements the v1.7.5 record; older finding IDs and deferred deployment boundaries remain historical context.</w:t>
      </w:r>
    </w:p>
    <w:p>
      <w:pPr>
        <w:pStyle w:val="Heading2"/>
      </w:pPr>
      <w:r>
        <w:t>Round 1 closures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r>
        <w:t>ARIA disabled state now refuses READ, WRITE staging, confirmation, and proactive callbacks and clears pending actions. SQLite retention remains hard-bounded while pruning lower severity before HIGH/CRITICAL evidence.</w:t>
      </w:r>
    </w:p>
    <w:p>
      <w:pPr>
        <w:pStyle w:val="Heading2"/>
      </w:pPr>
      <w:r>
        <w:t>Round 2 closures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Round 3 and performance closure</w:t>
      </w:r>
    </w:p>
    <w:p>
      <w:pPr>
        <w:pStyle w:val="ListBullet"/>
      </w:pPr>
      <w:r>
        <w:t>Full 128-bit collision-safe ARIA tokens prevent one live preview from replacing another; the pending map and tool registry mutate atomically, while callbacks remain outside the lock.</w:t>
      </w:r>
    </w:p>
    <w:p>
      <w:pPr>
        <w:pStyle w:val="ListBullet"/>
      </w:pPr>
      <w:r>
        <w:t>The valid 21:39:50 storage-lock stall is closed by committed revision tracking plus immediate-only interactive reads. The GUI keeps the last complete state and retries instead of waiting behind SQLite maintenance.</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Deferred, not closed by Cycle 2</w:t>
      </w:r>
    </w:p>
    <w:p>
      <w:pPr>
        <w:pStyle w:val="ListBullet"/>
      </w:pPr>
      <w:r>
        <w:t>Remote Bridge authenticated-encryption protocol migration; Administrator/SYSTEM-owned packaged trust root; privileged or non-exportable event-ledger signing-key custody; centralized PowerShell execution policy.</w:t>
      </w:r>
    </w:p>
    <w:p>
      <w:pPr>
        <w:pStyle w:val="ListBullet"/>
      </w:pPr>
      <w:r>
        <w:t>Certificate/hash-bound trust, signed cold evidence/retirement records, persisted PID/start-time ownership, and a true multi-hour desktop soak.</w:t>
      </w:r>
    </w:p>
    <w:p>
      <w:pPr>
        <w:pStyle w:val="ListBullet"/>
      </w:pPr>
      <w:r>
        <w:t>Any Response Safety Kernel production authority, Sensor Cells, Collective Baseline Exchange, Lifecycle Epoch Ledger, or Shadow Differential Review. These remain proposed and approval-gated.</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Vulnerability and Remediation Record — v1.9.4</w:t>
      </w:r>
    </w:p>
    <w:p>
      <w:pPr>
        <w:keepNext/>
      </w:pPr>
      <w:r>
        <w:t>New findings were validated against the integrated tree after remediation.</w:t>
      </w:r>
    </w:p>
    <w:tbl>
      <w:tblPr>
        <w:tblStyle w:val="TableGrid"/>
        <w:tblW w:type="auto" w:w="0"/>
        <w:tblLook w:firstColumn="1" w:firstRow="1" w:lastColumn="0" w:lastRow="0" w:noHBand="0" w:noVBand="1" w:val="04A0"/>
      </w:tblPr>
      <w:tblGrid>
        <w:gridCol w:w="2484"/>
        <w:gridCol w:w="2484"/>
        <w:gridCol w:w="2484"/>
        <w:gridCol w:w="2484"/>
      </w:tblGrid>
      <w:tr>
        <w:trPr>
          <w:tblHeader w:val="true"/>
          <w:cantSplit/>
        </w:trPr>
        <w:tc>
          <w:tcPr>
            <w:tcW w:type="dxa" w:w="2484"/>
          </w:tcPr>
          <w:p>
            <w:r>
              <w:rPr>
                <w:b/>
              </w:rPr>
              <w:t>ID</w:t>
            </w:r>
          </w:p>
        </w:tc>
        <w:tc>
          <w:tcPr>
            <w:tcW w:type="dxa" w:w="2484"/>
          </w:tcPr>
          <w:p>
            <w:r>
              <w:rPr>
                <w:b/>
              </w:rPr>
              <w:t>Severity</w:t>
            </w:r>
          </w:p>
        </w:tc>
        <w:tc>
          <w:tcPr>
            <w:tcW w:type="dxa" w:w="2484"/>
          </w:tcPr>
          <w:p>
            <w:r>
              <w:rPr>
                <w:b/>
              </w:rPr>
              <w:t>Finding</w:t>
            </w:r>
          </w:p>
        </w:tc>
        <w:tc>
          <w:tcPr>
            <w:tcW w:type="dxa" w:w="2484"/>
          </w:tcPr>
          <w:p>
            <w:r>
              <w:rPr>
                <w:b/>
              </w:rPr>
              <w:t>Disposition</w:t>
            </w:r>
          </w:p>
        </w:tc>
      </w:tr>
      <w:tr>
        <w:trPr>
          <w:cantSplit/>
        </w:trPr>
        <w:tc>
          <w:tcPr>
            <w:tcW w:type="dxa" w:w="2484"/>
          </w:tcPr>
          <w:p>
            <w:r>
              <w:t>C4-R1-01</w:t>
            </w:r>
          </w:p>
        </w:tc>
        <w:tc>
          <w:tcPr>
            <w:tcW w:type="dxa" w:w="2484"/>
          </w:tcPr>
          <w:p>
            <w:r>
              <w:t>MEDIUM</w:t>
            </w:r>
          </w:p>
        </w:tc>
        <w:tc>
          <w:tcPr>
            <w:tcW w:type="dxa" w:w="2484"/>
          </w:tcPr>
          <w:p>
            <w:r>
              <w:t>Live-alert Analyze could silently reuse cloud fallback and send raw evidence</w:t>
            </w:r>
          </w:p>
        </w:tc>
        <w:tc>
          <w:tcPr>
            <w:tcW w:type="dxa" w:w="2484"/>
          </w:tcPr>
          <w:p>
            <w:r>
              <w:t>Closed: separate opt-in, local default, recursive/bounded cloud redaction, egress recheck</w:t>
            </w:r>
          </w:p>
        </w:tc>
      </w:tr>
      <w:tr>
        <w:trPr>
          <w:cantSplit/>
        </w:trPr>
        <w:tc>
          <w:tcPr>
            <w:tcW w:type="dxa" w:w="2484"/>
          </w:tcPr>
          <w:p>
            <w:r>
              <w:t>C4-R1-02</w:t>
            </w:r>
          </w:p>
        </w:tc>
        <w:tc>
          <w:tcPr>
            <w:tcW w:type="dxa" w:w="2484"/>
          </w:tcPr>
          <w:p>
            <w:r>
              <w:t>MEDIUM residual</w:t>
            </w:r>
          </w:p>
        </w:tc>
        <w:tc>
          <w:tcPr>
            <w:tcW w:type="dxa" w:w="2484"/>
          </w:tcPr>
          <w:p>
            <w:r>
              <w:t>Bundle-local hashes do not establish publisher identity</w:t>
            </w:r>
          </w:p>
        </w:tc>
        <w:tc>
          <w:tcPr>
            <w:tcW w:type="dxa" w:w="2484"/>
          </w:tcPr>
          <w:p>
            <w:r>
              <w:t>Open external boundary: Authenticode/MSIX signing certificate required</w:t>
            </w:r>
          </w:p>
        </w:tc>
      </w:tr>
      <w:tr>
        <w:trPr>
          <w:cantSplit/>
        </w:trPr>
        <w:tc>
          <w:tcPr>
            <w:tcW w:type="dxa" w:w="2484"/>
          </w:tcPr>
          <w:p>
            <w:r>
              <w:t>C4-R1-03</w:t>
            </w:r>
          </w:p>
        </w:tc>
        <w:tc>
          <w:tcPr>
            <w:tcW w:type="dxa" w:w="2484"/>
          </w:tcPr>
          <w:p>
            <w:r>
              <w:t>LOW</w:t>
            </w:r>
          </w:p>
        </w:tc>
        <w:tc>
          <w:tcPr>
            <w:tcW w:type="dxa" w:w="2484"/>
          </w:tcPr>
          <w:p>
            <w:r>
              <w:t>AAR verifier errors/manual resolution could bypass strict trust</w:t>
            </w:r>
          </w:p>
        </w:tc>
        <w:tc>
          <w:tcPr>
            <w:tcW w:type="dxa" w:w="2484"/>
          </w:tcPr>
          <w:p>
            <w:r>
              <w:t>Closed: strict fail-closed verification and authenticated manual resolution</w:t>
            </w:r>
          </w:p>
        </w:tc>
      </w:tr>
      <w:tr>
        <w:trPr>
          <w:cantSplit/>
        </w:trPr>
        <w:tc>
          <w:tcPr>
            <w:tcW w:type="dxa" w:w="2484"/>
          </w:tcPr>
          <w:p>
            <w:r>
              <w:t>C4-R1-04</w:t>
            </w:r>
          </w:p>
        </w:tc>
        <w:tc>
          <w:tcPr>
            <w:tcW w:type="dxa" w:w="2484"/>
          </w:tcPr>
          <w:p>
            <w:r>
              <w:t>LOW privacy</w:t>
            </w:r>
          </w:p>
        </w:tc>
        <w:tc>
          <w:tcPr>
            <w:tcW w:type="dxa" w:w="2484"/>
          </w:tcPr>
          <w:p>
            <w:r>
              <w:t>Historical Git author metadata contains a personal address</w:t>
            </w:r>
          </w:p>
        </w:tc>
        <w:tc>
          <w:tcPr>
            <w:tcW w:type="dxa" w:w="2484"/>
          </w:tcPr>
          <w:p>
            <w:r>
              <w:t>Future commits use noreply; history rewrite/clean public repo still required</w:t>
            </w:r>
          </w:p>
        </w:tc>
      </w:tr>
      <w:tr>
        <w:trPr>
          <w:cantSplit/>
        </w:trPr>
        <w:tc>
          <w:tcPr>
            <w:tcW w:type="dxa" w:w="2484"/>
          </w:tcPr>
          <w:p>
            <w:r>
              <w:t>C4-B-01</w:t>
            </w:r>
          </w:p>
        </w:tc>
        <w:tc>
          <w:tcPr>
            <w:tcW w:type="dxa" w:w="2484"/>
          </w:tcPr>
          <w:p>
            <w:r>
              <w:t>Reliability</w:t>
            </w:r>
          </w:p>
        </w:tc>
        <w:tc>
          <w:tcPr>
            <w:tcW w:type="dxa" w:w="2484"/>
          </w:tcPr>
          <w:p>
            <w:r>
              <w:t>Top Talkers performed OS/PTR calls on Qt</w:t>
            </w:r>
          </w:p>
        </w:tc>
        <w:tc>
          <w:tcPr>
            <w:tcW w:type="dxa" w:w="2484"/>
          </w:tcPr>
          <w:p>
            <w:r>
              <w:t>Closed: one background worker, UI-only rendering</w:t>
            </w:r>
          </w:p>
        </w:tc>
      </w:tr>
      <w:tr>
        <w:trPr>
          <w:cantSplit/>
        </w:trPr>
        <w:tc>
          <w:tcPr>
            <w:tcW w:type="dxa" w:w="2484"/>
          </w:tcPr>
          <w:p>
            <w:r>
              <w:t>C4-B-02</w:t>
            </w:r>
          </w:p>
        </w:tc>
        <w:tc>
          <w:tcPr>
            <w:tcW w:type="dxa" w:w="2484"/>
          </w:tcPr>
          <w:p>
            <w:r>
              <w:t>Reliability</w:t>
            </w:r>
          </w:p>
        </w:tc>
        <w:tc>
          <w:tcPr>
            <w:tcW w:type="dxa" w:w="2484"/>
          </w:tcPr>
          <w:p>
            <w:r>
              <w:t>Scapy capture could overlap or linger across restarts</w:t>
            </w:r>
          </w:p>
        </w:tc>
        <w:tc>
          <w:tcPr>
            <w:tcW w:type="dxa" w:w="2484"/>
          </w:tcPr>
          <w:p>
            <w:r>
              <w:t>Closed: generation stop event, AsyncSniffer, bounded fallback and overlap refusal</w:t>
            </w:r>
          </w:p>
        </w:tc>
      </w:tr>
      <w:tr>
        <w:trPr>
          <w:cantSplit/>
        </w:trPr>
        <w:tc>
          <w:tcPr>
            <w:tcW w:type="dxa" w:w="2484"/>
          </w:tcPr>
          <w:p>
            <w:r>
              <w:t>C4-P-01</w:t>
            </w:r>
          </w:p>
        </w:tc>
        <w:tc>
          <w:tcPr>
            <w:tcW w:type="dxa" w:w="2484"/>
          </w:tcPr>
          <w:p>
            <w:r>
              <w:t>Performance</w:t>
            </w:r>
          </w:p>
        </w:tc>
        <w:tc>
          <w:tcPr>
            <w:tcW w:type="dxa" w:w="2484"/>
          </w:tcPr>
          <w:p>
            <w:r>
              <w:t>List front-deletes and repeated scans/snapshots caused long-session cost</w:t>
            </w:r>
          </w:p>
        </w:tc>
        <w:tc>
          <w:tcPr>
            <w:tcW w:type="dxa" w:w="2484"/>
          </w:tcPr>
          <w:p>
            <w:r>
              <w:t>Closed: bounded deques, directory stamp cache, shared snapshot</w:t>
            </w:r>
          </w:p>
        </w:tc>
      </w:tr>
      <w:tr>
        <w:trPr>
          <w:cantSplit/>
        </w:trPr>
        <w:tc>
          <w:tcPr>
            <w:tcW w:type="dxa" w:w="2484"/>
          </w:tcPr>
          <w:p>
            <w:r>
              <w:t>C4-P-02</w:t>
            </w:r>
          </w:p>
        </w:tc>
        <w:tc>
          <w:tcPr>
            <w:tcW w:type="dxa" w:w="2484"/>
          </w:tcPr>
          <w:p>
            <w:r>
              <w:t>Reliability</w:t>
            </w:r>
          </w:p>
        </w:tc>
        <w:tc>
          <w:tcPr>
            <w:tcW w:type="dxa" w:w="2484"/>
          </w:tcPr>
          <w:p>
            <w:r>
              <w:t>Module restart could overlap SPEC, AI-recovery, or IPC helper generations</w:t>
            </w:r>
          </w:p>
        </w:tc>
        <w:tc>
          <w:tcPr>
            <w:tcW w:type="dxa" w:w="2484"/>
          </w:tcPr>
          <w:p>
            <w:r>
              <w:t>Closed: join-aware lifecycle generations and generation-owned helper resources</w:t>
            </w:r>
          </w:p>
        </w:tc>
      </w:tr>
      <w:tr>
        <w:trPr>
          <w:cantSplit/>
        </w:trPr>
        <w:tc>
          <w:tcPr>
            <w:tcW w:type="dxa" w:w="2484"/>
          </w:tcPr>
          <w:p>
            <w:r>
              <w:t>C4-P-03</w:t>
            </w:r>
          </w:p>
        </w:tc>
        <w:tc>
          <w:tcPr>
            <w:tcW w:type="dxa" w:w="2484"/>
          </w:tcPr>
          <w:p>
            <w:r>
              <w:t>Performance</w:t>
            </w:r>
          </w:p>
        </w:tc>
        <w:tc>
          <w:tcPr>
            <w:tcW w:type="dxa" w:w="2484"/>
          </w:tcPr>
          <w:p>
            <w:r>
              <w:t>Network/PID, forensics capture, and HEAL filename state could grow indefinitely</w:t>
            </w:r>
          </w:p>
        </w:tc>
        <w:tc>
          <w:tcPr>
            <w:tcW w:type="dxa" w:w="2484"/>
          </w:tcPr>
          <w:p>
            <w:r>
              <w:t>Closed: expiry pruning, identity-aware retention, and hard bounds</w:t>
            </w:r>
          </w:p>
        </w:tc>
      </w:tr>
      <w:tr>
        <w:trPr>
          <w:cantSplit/>
        </w:trPr>
        <w:tc>
          <w:tcPr>
            <w:tcW w:type="dxa" w:w="2484"/>
          </w:tcPr>
          <w:p>
            <w:r>
              <w:t>C4-B-03</w:t>
            </w:r>
          </w:p>
        </w:tc>
        <w:tc>
          <w:tcPr>
            <w:tcW w:type="dxa" w:w="2484"/>
          </w:tcPr>
          <w:p>
            <w:r>
              <w:t>Reliability</w:t>
            </w:r>
          </w:p>
        </w:tc>
        <w:tc>
          <w:tcPr>
            <w:tcW w:type="dxa" w:w="2484"/>
          </w:tcPr>
          <w:p>
            <w:r>
              <w:t>Top Talkers AI and Upgrade Console model calls could block Qt</w:t>
            </w:r>
          </w:p>
        </w:tc>
        <w:tc>
          <w:tcPr>
            <w:tcW w:type="dxa" w:w="2484"/>
          </w:tcPr>
          <w:p>
            <w:r>
              <w:t>Closed: asynchronous single-flight workers and stale-result guards</w:t>
            </w:r>
          </w:p>
        </w:tc>
      </w:tr>
      <w:tr>
        <w:trPr>
          <w:cantSplit/>
        </w:trPr>
        <w:tc>
          <w:tcPr>
            <w:tcW w:type="dxa" w:w="2484"/>
          </w:tcPr>
          <w:p>
            <w:r>
              <w:t>C4-W-01</w:t>
            </w:r>
          </w:p>
        </w:tc>
        <w:tc>
          <w:tcPr>
            <w:tcW w:type="dxa" w:w="2484"/>
          </w:tcPr>
          <w:p>
            <w:r>
              <w:t>Reliability/Safety</w:t>
            </w:r>
          </w:p>
        </w:tc>
        <w:tc>
          <w:tcPr>
            <w:tcW w:type="dxa" w:w="2484"/>
          </w:tcPr>
          <w:p>
            <w:r>
              <w:t>Manual watchdog Core restart re-adopted the still-running Core and shared commands could be consumed by the wrong supervisor</w:t>
            </w:r>
          </w:p>
        </w:tc>
        <w:tc>
          <w:tcPr>
            <w:tcW w:type="dxa" w:w="2484"/>
          </w:tcPr>
          <w:p>
            <w:r>
              <w:t>Closed: target-specific authenticated inbox, adopted-process identity termination, SAFE_MODE clear, and duplicate refusal</w:t>
            </w:r>
          </w:p>
        </w:tc>
      </w:tr>
      <w:tr>
        <w:trPr>
          <w:cantSplit/>
        </w:trPr>
        <w:tc>
          <w:tcPr>
            <w:tcW w:type="dxa" w:w="2484"/>
          </w:tcPr>
          <w:p>
            <w:r>
              <w:t>C4-E-01</w:t>
            </w:r>
          </w:p>
        </w:tc>
        <w:tc>
          <w:tcPr>
            <w:tcW w:type="dxa" w:w="2484"/>
          </w:tcPr>
          <w:p>
            <w:r>
              <w:t>HIGH</w:t>
            </w:r>
          </w:p>
        </w:tc>
        <w:tc>
          <w:tcPr>
            <w:tcW w:type="dxa" w:w="2484"/>
          </w:tcPr>
          <w:p>
            <w:r>
              <w:t>External Python extensions could be opted in without a cryptographic pre-import identity and capability contract</w:t>
            </w:r>
          </w:p>
        </w:tc>
        <w:tc>
          <w:tcPr>
            <w:tcW w:type="dxa" w:w="2484"/>
          </w:tcPr>
          <w:p>
            <w:r>
              <w:t>Closed: exact-source Capability Manifest v1, trusted Ed25519 publisher verification, and fail-closed rejection before import</w:t>
            </w:r>
          </w:p>
        </w:tc>
      </w:tr>
      <w:tr>
        <w:trPr>
          <w:cantSplit/>
        </w:trPr>
        <w:tc>
          <w:tcPr>
            <w:tcW w:type="dxa" w:w="2484"/>
          </w:tcPr>
          <w:p>
            <w:r>
              <w:t>C4-E-02</w:t>
            </w:r>
          </w:p>
        </w:tc>
        <w:tc>
          <w:tcPr>
            <w:tcW w:type="dxa" w:w="2484"/>
          </w:tcPr>
          <w:p>
            <w:r>
              <w:t>MEDIUM</w:t>
            </w:r>
          </w:p>
        </w:tc>
        <w:tc>
          <w:tcPr>
            <w:tcW w:type="dxa" w:w="2484"/>
          </w:tcPr>
          <w:p>
            <w:r>
              <w:t>Remediation audit rows recorded outcomes but did not cryptographically bind the action record to its predecessor and passed postcondition</w:t>
            </w:r>
          </w:p>
        </w:tc>
        <w:tc>
          <w:tcPr>
            <w:tcW w:type="dxa" w:w="2484"/>
          </w:tcPr>
          <w:p>
            <w:r>
              <w:t>Closed: privacy-minimized HMAC-authenticated chained receipts; applied without passed verification fails proof validation</w:t>
            </w:r>
          </w:p>
        </w:tc>
      </w:tr>
      <w:tr>
        <w:trPr>
          <w:cantSplit/>
        </w:trPr>
        <w:tc>
          <w:tcPr>
            <w:tcW w:type="dxa" w:w="2484"/>
          </w:tcPr>
          <w:p>
            <w:r>
              <w:t>C4-E-03</w:t>
            </w:r>
          </w:p>
        </w:tc>
        <w:tc>
          <w:tcPr>
            <w:tcW w:type="dxa" w:w="2484"/>
          </w:tcPr>
          <w:p>
            <w:r>
              <w:t>LOW</w:t>
            </w:r>
          </w:p>
        </w:tc>
        <w:tc>
          <w:tcPr>
            <w:tcW w:type="dxa" w:w="2484"/>
          </w:tcPr>
          <w:p>
            <w:r>
              <w:t>Local MCP alert, module-health, and incident handlers used stale/non-canonical model fields</w:t>
            </w:r>
          </w:p>
        </w:tc>
        <w:tc>
          <w:tcPr>
            <w:tcW w:type="dxa" w:w="2484"/>
          </w:tcPr>
          <w:p>
            <w:r>
              <w:t>Closed: canonical fields plus bounded enterprise-readiness and causal-graph read tools</w:t>
            </w:r>
          </w:p>
        </w:tc>
      </w:tr>
    </w:tbl>
    <w:p>
      <w:pPr>
        <w:pStyle w:val="Heading2"/>
        <w:keepNext/>
      </w:pPr>
      <w:r>
        <w:t>Remediation-score integrity</w:t>
      </w:r>
    </w:p>
    <w:p>
      <w:pPr>
        <w:pStyle w:val="ListBullet"/>
      </w:pPr>
      <w:r>
        <w:t>Only an explicitly successful Active Response event counts as remediation; failed attempts do not.</w:t>
      </w:r>
    </w:p>
    <w:p>
      <w:pPr>
        <w:pStyle w:val="ListBullet"/>
      </w:pPr>
      <w:r>
        <w:t>Purple candidate installation does not count as detector coverage and cannot patch the creating run.</w:t>
      </w:r>
    </w:p>
    <w:p>
      <w:pPr>
        <w:pStyle w:val="ListBullet"/>
      </w:pPr>
      <w:r>
        <w:t>Duplicate installed/unsupported policy findings are deduplicated without hiding unsupported techniques.</w:t>
      </w:r>
    </w:p>
    <w:p>
      <w:pPr>
        <w:pStyle w:val="ListBullet"/>
      </w:pPr>
      <w:r>
        <w:t>Signed AAR enforcement is enabled by default and its self-test preserves the operator's environment policy.</w:t>
      </w:r>
    </w:p>
    <w:p>
      <w:pPr>
        <w:pStyle w:val="Heading2"/>
        <w:keepNext/>
      </w:pPr>
      <w:r>
        <w:t>Residual decisions</w:t>
      </w:r>
    </w:p>
    <w:p>
      <w:pPr>
        <w:pStyle w:val="ListBullet"/>
      </w:pPr>
      <w:r>
        <w:t>Obtain a publisher certificate and sign the release installer/executables, or ship an MSIX with a verified publisher.</w:t>
      </w:r>
    </w:p>
    <w:p>
      <w:pPr>
        <w:pStyle w:val="ListBullet"/>
      </w:pPr>
      <w:r>
        <w:t>Before making the existing repository public, intentionally rewrite author metadata/history or publish a clean reviewed repository. This pass does not silently rewrite history.</w:t>
      </w:r>
    </w:p>
    <w:p>
      <w:pPr>
        <w:pStyle w:val="ListBullet"/>
      </w:pPr>
      <w:r>
        <w:t>Build fleet mTLS enrollment, organization RBAC/audit, signed central policy distribution, cross-endpoint search/storage, high availability, and analyst case workflow before claiming enterprise fleet-management parity.</w:t>
      </w:r>
    </w:p>
    <w:p>
      <w:pPr>
        <w:pStyle w:val="ListBullet"/>
      </w:pPr>
      <w:r>
        <w:t>Move untrusted AI/module workers behind an operating-system isolation boundary before treating manifest permission declarations as enforceable confinement.</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p>
      <w:pPr>
        <w:pStyle w:val="Heading1"/>
      </w:pPr>
      <w:r>
        <w:t>Host Adaption feature-versus-defect record — v1.10.1</w:t>
      </w:r>
    </w:p>
    <w:p>
      <w:pPr>
        <w:pStyle w:val="Heading2"/>
      </w:pPr>
      <w:r>
        <w:t>Feature delivered</w:t>
      </w:r>
    </w:p>
    <w:p>
      <w:r>
        <w:t>The ADAPTION dashboard entry and Host Adaption workbench are a new defensive capability, not a defect closure. They add quality-aware audit/baselining/drift, exact exceptions, JSON/CSV export, typed firewall profiles, dry-run preview, a no-write sandbox, snapshot/apply/verified rollback, context triggers, a circuit breaker, bounded feedback, and a complete operator menu/tab surface.</w:t>
      </w:r>
    </w:p>
    <w:p>
      <w:pPr>
        <w:pStyle w:val="Heading2"/>
      </w:pPr>
      <w:r>
        <w:t>Defects found and fixed</w:t>
      </w:r>
    </w:p>
    <w:p>
      <w:pPr>
        <w:pStyle w:val="ListBullet"/>
      </w:pPr>
      <w:r>
        <w:t>R8-RT-01 (Medium): stale auto-cycle authority — fixed with revision/CAS checks and final authorization.</w:t>
      </w:r>
    </w:p>
    <w:p>
      <w:pPr>
        <w:pStyle w:val="ListBullet"/>
      </w:pPr>
      <w:r>
        <w:t>R8-RT-02 (Medium): unverified command/restore outcome — fixed with effective ActiveStore apply and rollback postconditions plus automatic recovery.</w:t>
      </w:r>
    </w:p>
    <w:p>
      <w:pPr>
        <w:pStyle w:val="ListBullet"/>
      </w:pPr>
      <w:r>
        <w:t>R8-RT-03 (Medium): broad exception/feedback scope — fixed with exact fingerprints, distinct one-shot review gating, and a 0.75 floor.</w:t>
      </w:r>
    </w:p>
    <w:p>
      <w:pPr>
        <w:pStyle w:val="ListBullet"/>
      </w:pPr>
      <w:r>
        <w:t>R8-RT-04 (Medium): weaker SSID context could outrank Public — fixed with all-network collection, strongest-profile ordering, and no automatic relaxation.</w:t>
      </w:r>
    </w:p>
    <w:p>
      <w:pPr>
        <w:pStyle w:val="ListBullet"/>
      </w:pPr>
      <w:r>
        <w:t>R8-RT-05 (Medium): incomplete service/listener/firewall coverage could look authoritative — fixed with quality metadata, stronger privacy-minimized identities, explicit ActiveStore profiles, and bounded rules.</w:t>
      </w:r>
    </w:p>
    <w:p>
      <w:pPr>
        <w:pStyle w:val="ListBullet"/>
      </w:pPr>
      <w:r>
        <w:t>R8-BT-01: a matched context returning after no-match was incorrectly deduplicated — fixed.</w:t>
      </w:r>
    </w:p>
    <w:p>
      <w:pPr>
        <w:pStyle w:val="ListBullet"/>
      </w:pPr>
      <w:r>
        <w:t>R8-BT-02: simultaneous Public network could be hidden by first-adapter selection — fixed with conservative all-active-category precedence.</w:t>
      </w:r>
    </w:p>
    <w:p>
      <w:pPr>
        <w:pStyle w:val="ListBullet"/>
      </w:pPr>
      <w:r>
        <w:t>R8-BT-03: run-selfcheck.bat could return success after Python failure — fixed by preserving the Python exit code.</w:t>
      </w:r>
    </w:p>
    <w:p>
      <w:pPr>
        <w:pStyle w:val="Heading2"/>
      </w:pPr>
      <w:r>
        <w:t>Deferred enhancement, not unresolved defect</w:t>
      </w:r>
    </w:p>
    <w:p>
      <w:pPr>
        <w:pStyle w:val="ListBullet"/>
      </w:pPr>
      <w:r>
        <w:t>Deep per-rule firewall filter joins for program, service, local/remote address, and local/remote port are deferred.</w:t>
      </w:r>
    </w:p>
    <w:p>
      <w:pPr>
        <w:pStyle w:val="ListBullet"/>
      </w:pPr>
      <w:r>
        <w:t>Service executable signer and content-hash attestation are deferred; the current audit uses a privacy-minimized command digest, executable name, and account type/identifier.</w:t>
      </w:r>
    </w:p>
    <w:p>
      <w:pPr>
        <w:pStyle w:val="ListBullet"/>
      </w:pPr>
      <w:r>
        <w:t>Crash-independent trial leases, event-driven wakeups, versioned baseline promotion, poisoning-resistant shadow feedback, and signed posture packs remain proposed enhancements.</w:t>
      </w:r>
    </w:p>
    <w:p>
      <w:pPr>
        <w:pStyle w:val="Heading2"/>
      </w:pPr>
      <w:r>
        <w:t>Verification and acceptance boundary</w:t>
      </w:r>
    </w:p>
    <w:p>
      <w:pPr>
        <w:pStyle w:val="ListBullet"/>
      </w:pPr>
      <w:r>
        <w:t>Focused host-adaptation/UI/performance set: 20/20 passed; full pytest: 1077 passed, 3 intentional platform skips, 0 failed; selfcheck: 26/26.</w:t>
      </w:r>
    </w:p>
    <w:p>
      <w:pPr>
        <w:pStyle w:val="ListBullet"/>
      </w:pPr>
      <w:r>
        <w:t>A real elevated firewall apply/rollback/connectivity-loss exercise and physical mixed-network topology remain controlled operator acceptance tests, not claimed automated evidence.</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Vulnerabilities Assessment and Remediation v1.10.1</dc:title>
  <dc:subject>Host Adaption feature-versus-defect remediation record</dc:subject>
  <dc:creator/>
  <cp:keywords>Angerona, EDR, NDR, SOAR, local-first, security</cp:keywords>
  <dc:description/>
  <cp:lastModifiedBy>Angerona documentation loop</cp:lastModifiedBy>
  <cp:revision>1</cp:revision>
  <dcterms:created xsi:type="dcterms:W3CDTF">2013-12-23T23:15:00Z</dcterms:created>
  <dcterms:modified xsi:type="dcterms:W3CDTF">2026-07-14T15:47:35Z</dcterms:modified>
  <cp:category/>
  <cp:version>1.10.1</cp:version>
</cp:coreProperties>
</file>