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v1.12.0 - guided, proposal-only host adaptation; an immutable Windows Firewall recovery baseline; clickable operational detail; universal capability contracts; durable integrations; and standards-truth hardening.</w:t>
            </w:r>
          </w:p>
        </w:tc>
      </w:tr>
    </w:tbl>
    <w:p>
      <w:pPr>
        <w:spacing w:after="40"/>
      </w:pPr>
    </w:p>
    <w:p/>
    <w:p/>
    <w:p>
      <w:pPr>
        <w:jc w:val="center"/>
      </w:pPr>
      <w:r>
        <w:rPr>
          <w:rFonts w:ascii="Calibri" w:hAnsi="Calibri" w:eastAsia="Calibri"/>
          <w:b/>
          <w:color w:val="0B2545"/>
          <w:sz w:val="22"/>
        </w:rPr>
        <w:t>28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1.12.0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Cycle 25 three-round defensive expansion and final serial validation complete; host mutation remains exact, previewed, approved, journaled, and verified</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80-capability machine-readable inventory, and analysis/loop/cycle25 evidence as of 28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v1.12 inventory discovers 80 defensive capabilities. Every capability receives a validated operational contract and health snapshot; five declare native contracts and 75 use explicit compatibility adapters. Product version and individual module versions remain separate.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rPr>
                <w:sz w:val="19"/>
              </w:rPr>
              <w:t>1,811 passed; 6 expected host/platform capability skips; 0 failed in the authoritative serial release run</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346/346 product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82/82 module files imported; 80 capabilities discovered with zero errors or duplicates; documentation-drift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92 pass; 12 expected inactive/platform skips; EventBus pipeline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 in both direct and batch entry points</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No open Critical, High, or Medium Cycle 25 code blocker remains in the current v1.12.0 tree. Clean-machine deployment, publisher custody, hardware-backed rollback resistance, fleet-scale trials, and independent efficacy review remain external acceptance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analysis/loop/cycle23, cycle24, and cycle25 research and round1-round3 findings, dispositions, remediation, bug-test, performance, comparison, and final summaries;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head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v1.12.0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v1.12.0 operator reference with Cycle 25 guided-defense expansion</dc:subject>
  <dc:creator>Angerona Project</dc:creator>
  <cp:keywords>Angerona, EDR, NDR, SOAR, DFIR, Adversary Combat, ARIA, Ollama</cp:keywords>
  <dc:description>Canonical manual minimally updated 28 August 2026; actor-neutral defensive evidence and explicit authority boundaries.</dc:description>
  <cp:lastModifiedBy/>
  <cp:revision>1</cp:revision>
  <dcterms:created xsi:type="dcterms:W3CDTF">2026-08-25T00:00:00Z</dcterms:created>
  <dcterms:modified xsi:type="dcterms:W3CDTF">2026-08-25T18:54:20Z</dcterms:modified>
  <cp:category/>
</cp:coreProperties>
</file>