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Privacy-minimized network behavior</w:t>
      </w:r>
    </w:p>
    <w:p>
      <w:pPr>
        <w:pStyle w:val="ListBullet"/>
      </w:pPr>
      <w:r>
        <w:t>A fixed-memory Network Detection and Response (NDR) layer detects periodic beacon timing, private lateral fanout, broad external fanout, and large asymmetric uploads.</w:t>
      </w:r>
    </w:p>
    <w:p>
      <w:pPr>
        <w:pStyle w:val="ListBullet"/>
      </w:pPr>
      <w:r>
        <w:t>Process and destination identities are HMAC-tokenized before retention. The layer does not accept or store packet payloads.</w:t>
      </w:r>
    </w:p>
    <w:p>
      <w:pPr>
        <w:pStyle w:val="Heading2"/>
      </w:pPr>
      <w:r>
        <w:t>Durable exposure lifecycle</w:t>
      </w:r>
    </w:p>
    <w:p>
      <w:pPr>
        <w:pStyle w:val="ListBullet"/>
      </w:pPr>
      <w:r>
        <w:t>Host-applicable vulnerabilities have a durable local lifecycle with ownership, deadlines, optimistic concurrency, mitigation, bounded risk acceptance, exception expiry, and due-item queries.</w:t>
      </w:r>
    </w:p>
    <w:p>
      <w:pPr>
        <w:pStyle w:val="ListBullet"/>
      </w:pPr>
      <w:r>
        <w:t>Resolved or closed findings require a SHA-256 closure artifact identity; state changes produce authenticated audit receipts.</w:t>
      </w:r>
    </w:p>
    <w:p>
      <w:pPr>
        <w:pStyle w:val="Heading2"/>
      </w:pPr>
      <w:r>
        <w:t>Signed plugin lifecycle and interoperability</w:t>
      </w:r>
    </w:p>
    <w:p>
      <w:pPr>
        <w:pStyle w:val="ListBullet"/>
      </w:pPr>
      <w:r>
        <w:t>Reviewed capability extensions can be staged from exact verified source and manifest snapshots, revalidated before activation, versioned, revoked, and quarantined. The lifecycle manager never imports plugin code.</w:t>
      </w:r>
    </w:p>
    <w:p>
      <w:pPr>
        <w:pStyle w:val="ListBullet"/>
      </w:pPr>
      <w:r>
        <w:t>Trust changes, source or manifest tampering, unsigned content, and entrypoint collisions fail closed before ModuleManager import.</w:t>
      </w:r>
    </w:p>
    <w:p>
      <w:pPr>
        <w:pStyle w:val="ListBullet"/>
      </w:pPr>
      <w:r>
        <w:t>Privacy-reviewed OCSF, STIX, OTLP, and Angerona envelopes use a durable signed queue with idempotency, bounded retry backoff, and dead letters. External egress remains denied by default.</w:t>
      </w:r>
    </w:p>
    <w:p>
      <w:pPr>
        <w:pStyle w:val="Heading2"/>
      </w:pPr>
      <w:r>
        <w:t>Enterprise governance baseline</w:t>
      </w:r>
    </w:p>
    <w:p>
      <w:pPr>
        <w:pStyle w:val="ListBullet"/>
      </w:pPr>
      <w:r>
        <w:t>Repository policy now defines supported editions and honest claims, semantic and protocol compatibility, downgrade/deprecation behavior, and six accepted architecture decisions.</w:t>
      </w:r>
    </w:p>
    <w:p>
      <w:pPr>
        <w:pStyle w:val="ListBullet"/>
      </w:pPr>
      <w:r>
        <w:t>Detection-content governance defines owner/reviewer roles, telemetry, fixtures, ATT&amp;CK mapping, false-positive risk, privacy, signing, and promotion gates. Support operations define ownership, severity, response targets, diagnostic privacy, escalation, and disclosure.</w:t>
      </w:r>
    </w:p>
    <w:p>
      <w:pPr>
        <w:pStyle w:val="Heading2"/>
      </w:pPr>
      <w:r>
        <w:t>Safe fleet hunts and collections</w:t>
      </w:r>
    </w:p>
    <w:p>
      <w:pPr>
        <w:pStyle w:val="ListBullet"/>
      </w:pPr>
      <w:r>
        <w:t>Fleet hunts use a closed artifact catalog, explicit device/group targets, host/byte/time/expiry budgets, independent approval, and two-person approval for restricted evidence.</w:t>
      </w:r>
    </w:p>
    <w:p>
      <w:pPr>
        <w:pStyle w:val="ListBullet"/>
      </w:pPr>
      <w:r>
        <w:t>Authenticated atomic state survives restart and fails on tampering. Terminal results are budget-checked and signed. Arbitrary commands, scripts, paths, and remote shells are forbidden.</w:t>
      </w:r>
    </w:p>
    <w:p>
      <w:pPr>
        <w:pStyle w:val="ListBullet"/>
      </w:pPr>
      <w:r>
        <w:t>The authenticated hunt workspace stores typed queries, bounded analyst notes, findings, decisions, and immutable result/evidence references with optimistic concurrency. It has no executable cells.</w:t>
      </w:r>
    </w:p>
    <w:p>
      <w:pPr>
        <w:pStyle w:val="ListBullet"/>
      </w:pPr>
      <w:r>
        <w:t>Sanitized notebook export redacts identities and paths, omits device tokens and raw artifacts, and excludes restricted results by default.</w:t>
      </w:r>
    </w:p>
    <w:p>
      <w:pPr>
        <w:pStyle w:val="ListBullet"/>
      </w:pPr>
      <w:r>
        <w:t>Per-host progress and coded failures persist as authenticated records with non-regressing timestamps and byte counters. Exact host and total byte budgets apply before insertion; bounded summaries expose the latest state without retaining raw device identity.</w:t>
      </w:r>
    </w:p>
    <w:p>
      <w:pPr>
        <w:pStyle w:val="ListBullet"/>
      </w:pPr>
      <w:r>
        <w:t>Verified result references promote idempotently into a deterministic investigating case. Evidence remains reference-only and every promoted item receives an authenticated custody chain.</w:t>
      </w:r>
    </w:p>
    <w:p>
      <w:pPr>
        <w:pStyle w:val="ListBullet"/>
      </w:pPr>
      <w:r>
        <w:t>Safe live-response sessions bind one target, requester, exact capability set and a maximum 30-minute expiry. Read-only sessions require an independent approval; host-changing sessions require two.</w:t>
      </w:r>
    </w:p>
    <w:p>
      <w:pPr>
        <w:pStyle w:val="ListBullet"/>
      </w:pPr>
      <w:r>
        <w:t>Only registered read-only query handlers and separately approval-gated Response Broker operations are available. Executable fields, target escape, unregistered capabilities, expiry, and duplicate execution fail closed. The privacy-minimized transcript forms an authenticated hash chain.</w:t>
      </w:r>
    </w:p>
    <w:p>
      <w:pPr>
        <w:pStyle w:val="ListBullet"/>
      </w:pPr>
      <w:r>
        <w:t>Read-only query handlers execute outside the session-manager lock so a slow collector cannot block close or expiry. Results arriving after the session ends are recorded as discarded and are not returned.</w:t>
      </w:r>
    </w:p>
    <w:p>
      <w:pPr>
        <w:pStyle w:val="Heading2"/>
      </w:pPr>
      <w:r>
        <w:t>Reliability and release evidence</w:t>
      </w:r>
    </w:p>
    <w:p>
      <w:pPr>
        <w:pStyle w:val="ListBullet"/>
      </w:pPr>
      <w:r>
        <w:t>A short bounded atomic-replacement retry tolerates temporary antivirus sharing locks on hunt state while persistent or unrelated failures remain visible.</w:t>
      </w:r>
    </w:p>
    <w:p>
      <w:pPr>
        <w:pStyle w:val="ListBullet"/>
      </w:pPr>
      <w:r>
        <w:t>Registered deterministic recovery drills enforce explicit retryable errors, attempt limits, delay caps, total time budgets, and content-addressed outcomes. Current fixtures cover transient database locks, collector outage, unknown errors, service restart, and dead letters.</w:t>
      </w:r>
    </w:p>
    <w:p>
      <w:pPr>
        <w:pStyle w:val="ListBullet"/>
      </w:pPr>
      <w:r>
        <w:t>The fixed local release gate runs serial tests, bytecode compilation, Ruff, dependency audit, and documentation drift without accepting operator-supplied commands or invoking a shell.</w:t>
      </w:r>
    </w:p>
    <w:p>
      <w:pPr>
        <w:pStyle w:val="ListBullet"/>
      </w:pPr>
      <w:r>
        <w:t>Its bounded evidence pack binds the complete source commit and source epoch to redacted summaries, command/output digests, limitations, and a canonical manifest digest. Publisher signing and long-duration physical-host soaks remain separate gates.</w:t>
      </w:r>
    </w:p>
    <w:p>
      <w:pPr>
        <w:pStyle w:val="ListBullet"/>
      </w:pPr>
      <w:r>
        <w:t>Core Manager and peer Watchdog now use separate HMAC-authenticated atomic recovery ledgers. Dead and suspended components receive a privacy-minimized authenticated health snapshot before recovery.</w:t>
      </w:r>
    </w:p>
    <w:p>
      <w:pPr>
        <w:pStyle w:val="ListBullet"/>
      </w:pPr>
      <w:r>
        <w:t>Exponential restart backoff, rolling crash budgets, restart deadlines, diagnostic digests, and safe mode survive supervisor restarts. A forged ledger fails closed until an authenticated manual restart resets it; stopped heartbeats and signed stand-down remain stopped.</w:t>
      </w:r>
    </w:p>
    <w:p>
      <w:pPr>
        <w:pStyle w:val="Heading2"/>
      </w:pPr>
      <w:r>
        <w:t>Encrypted backup, restore, and audit export</w:t>
      </w:r>
    </w:p>
    <w:p>
      <w:pPr>
        <w:pStyle w:val="ListBullet"/>
      </w:pPr>
      <w:r>
        <w:t>Selected canonical data-root files and consistent SQLite snapshots stream into an Advanced Encryption Standard Galois/Counter Mode (AES-GCM) authenticated archive. Filenames, paths, manifests, and payloads remain inside the encrypted stream.</w:t>
      </w:r>
    </w:p>
    <w:p>
      <w:pPr>
        <w:pStyle w:val="ListBullet"/>
      </w:pPr>
      <w:r>
        <w:t>Backup rejects traversal, symlink or reparse-point input, an in-root archive destination, missing required data, byte overflow, wrong keys, tampering, and digest mismatch.</w:t>
      </w:r>
    </w:p>
    <w:p>
      <w:pPr>
        <w:pStyle w:val="ListBullet"/>
      </w:pPr>
      <w:r>
        <w:t>Restore is planned separately and binds the exact archive, target, manifest, item list, requester, and expiry. It requires Angerona offline plus two distinct non-requester approvals, stages every item, and retains replaced files in a rollback scope.</w:t>
      </w:r>
    </w:p>
    <w:p>
      <w:pPr>
        <w:pStyle w:val="ListBullet"/>
      </w:pPr>
      <w:r>
        <w:t>An interrupted replacement restores the previous file. Protected key recovery, scheduling, retention, and full disaster-recovery exercises remain operational gates.</w:t>
      </w:r>
    </w:p>
    <w:p>
      <w:pPr>
        <w:pStyle w:val="ListBullet"/>
      </w:pPr>
      <w:r>
        <w:t>Backup policy is disabled by default and side-effect free. It computes cadence status, exact selections, destination class, a minimum verified copy floor, count/age retention, and an HMAC-authenticated deletion proposal; it never schedules work or removes an archive.</w:t>
      </w:r>
    </w:p>
    <w:p>
      <w:pPr>
        <w:pStyle w:val="ListBullet"/>
      </w:pPr>
      <w:r>
        <w:t>Named site-loss, database-corruption, control-plane-compromise, bad policy/update, and lost-signing-key scenarios define a Recovery Point Objective (RPO), Recovery Time Objective (RTO), minimum verified copies, owner, and review date.</w:t>
      </w:r>
    </w:p>
    <w:p>
      <w:pPr>
        <w:pStyle w:val="ListBullet"/>
      </w:pPr>
      <w:r>
        <w:t>Recovery drill evidence measures backup age and recovery duration, requires archive, manifest, service-health, and rollback verification, lists every objective violation, and authenticates the final result. Operational alternate-site and key-recovery exercises remain open.</w:t>
      </w:r>
    </w:p>
    <w:p>
      <w:pPr>
        <w:pStyle w:val="ListBullet"/>
      </w:pPr>
      <w:r>
        <w:t>Audit export filters an exact tenant, scope, inclusive time range and record limit. Restricted fields are removed, sensitive values and actors are tokenized, free text is redacted, and truncation is explicit.</w:t>
      </w:r>
    </w:p>
    <w:p>
      <w:pPr>
        <w:pStyle w:val="ListBullet"/>
      </w:pPr>
      <w:r>
        <w:t>Exported audit records form a cryptographic custody chain; an HMAC-authenticated manifest binds the chain head, record digest, scope, time range, privacy policy, and requester token.</w:t>
      </w:r>
    </w:p>
    <w:p>
      <w:pPr>
        <w:pStyle w:val="Heading2"/>
      </w:pPr>
      <w:r>
        <w:t>Engineering efficiency and verification</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A development-only toolkit pins GitHub release assets and SHA-256 digests for uv 0.12.0, py-spy 0.4.2, hyperfine 1.20.0, and the official GitHub CLI 2.96.0. Bandit 1.9.4, Vulture 2.16, and pytest-timeout 2.4.0 run in a separate ignored environment and are not product runtime dependencies.</w:t>
      </w:r>
    </w:p>
    <w:p>
      <w:pPr>
        <w:pStyle w:val="ListBullet"/>
      </w:pPr>
      <w:r>
        <w:t>The first Bandit pass exposed a weak SHA-1 alert identifier and shell-based console clearing. Both were corrected and the high-severity re-scan is clean.</w:t>
      </w:r>
    </w:p>
    <w:p>
      <w:pPr>
        <w:pStyle w:val="ListBullet"/>
      </w:pPr>
      <w:r>
        <w:t>Final repository evidence: 416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