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360"/>
      </w:pPr>
    </w:p>
    <w:p>
      <w:pPr>
        <w:pStyle w:val="CoverKicker"/>
        <w:jc w:val="center"/>
      </w:pPr>
      <w:r>
        <w:t>OPERATOR REFERENCE</w:t>
      </w:r>
    </w:p>
    <w:p>
      <w:pPr>
        <w:spacing w:after="200"/>
        <w:jc w:val="center"/>
      </w:pPr>
      <w:r>
        <w:rPr>
          <w:rFonts w:ascii="Calibri" w:hAnsi="Calibri" w:eastAsia="Calibri"/>
          <w:b/>
          <w:color w:val="0B2545"/>
          <w:sz w:val="64"/>
        </w:rPr>
        <w:t>ANGERONA</w:t>
      </w:r>
    </w:p>
    <w:p>
      <w:pPr>
        <w:spacing w:after="160"/>
        <w:jc w:val="center"/>
      </w:pPr>
      <w:r>
        <w:rPr>
          <w:rFonts w:ascii="Calibri" w:hAnsi="Calibri" w:eastAsia="Calibri"/>
          <w:b/>
          <w:color w:val="2E74B5"/>
          <w:sz w:val="40"/>
        </w:rPr>
        <w:t>Master Manual</w:t>
      </w:r>
    </w:p>
    <w:p>
      <w:pPr>
        <w:spacing w:after="520"/>
        <w:jc w:val="center"/>
      </w:pPr>
      <w:r>
        <w:rPr>
          <w:rFonts w:ascii="Calibri" w:hAnsi="Calibri" w:eastAsia="Calibri"/>
          <w:i/>
          <w:color w:val="1F4D78"/>
          <w:sz w:val="24"/>
        </w:rPr>
        <w:t>Local-first detection, investigation, response, recovery, and validation</w:t>
      </w: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r>
              <w:t>Current release: v1.10.3 - governed autonomous Adversary Combat, receipt-bound SOAR, typed ARIA authority, authenticated App Control decision evidence, exhaustive UI contracts, and a frozen zero-failure gate.</w:t>
            </w:r>
          </w:p>
        </w:tc>
      </w:tr>
    </w:tbl>
    <w:p>
      <w:pPr>
        <w:spacing w:after="40"/>
      </w:pPr>
    </w:p>
    <w:p/>
    <w:p/>
    <w:p>
      <w:pPr>
        <w:jc w:val="center"/>
      </w:pPr>
      <w:r>
        <w:rPr>
          <w:rFonts w:ascii="Calibri" w:hAnsi="Calibri" w:eastAsia="Calibri"/>
          <w:b/>
          <w:color w:val="0B2545"/>
          <w:sz w:val="22"/>
        </w:rPr>
        <w:t>25 August 2026</w:t>
      </w:r>
    </w:p>
    <w:p>
      <w:pPr>
        <w:jc w:val="center"/>
      </w:pPr>
      <w:r>
        <w:rPr>
          <w:rFonts w:ascii="Calibri" w:hAnsi="Calibri" w:eastAsia="Calibri"/>
          <w:color w:val="667085"/>
          <w:sz w:val="19"/>
        </w:rPr>
        <w:t>Windows Protect | macOS Observe | Linux Observe + optional eBPF</w:t>
      </w:r>
    </w:p>
    <w:p>
      <w:r>
        <w:br w:type="page"/>
      </w:r>
    </w:p>
    <w:p>
      <w:pPr>
        <w:pStyle w:val="Heading1"/>
      </w:pPr>
      <w:r>
        <w:t>Document control</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Field</w:t>
            </w:r>
          </w:p>
        </w:tc>
        <w:tc>
          <w:tcPr>
            <w:tcW w:type="dxa" w:w="66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value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Version</w:t>
            </w:r>
          </w:p>
        </w:tc>
        <w:tc>
          <w:tcPr>
            <w:tcW w:type="dxa" w:w="6660"/>
            <w:vAlign w:val="center"/>
            <w:tcMar>
              <w:top w:w="80" w:type="dxa"/>
              <w:bottom w:w="80" w:type="dxa"/>
              <w:start w:w="120" w:type="dxa"/>
              <w:end w:w="120" w:type="dxa"/>
            </w:tcMar>
          </w:tcPr>
          <w:p>
            <w:r>
              <w:t>1.10.3</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Release state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Frozen local release candidate; automated and live defensive validation complete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Primary audience</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Operators, defenders, home-lab users, security engineers, reviewers, and contributors</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Scope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Architecture, installation, operator surfaces, Adversary Combat, ARIA/model packs, validation, recovery, limits, and history</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Source of truth</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Current repository code and analysis/loop evidence as of 25 August 2026</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License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MIT</w:t>
            </w:r>
          </w:p>
        </w:tc>
      </w:tr>
    </w:tbl>
    <w:p>
      <w:pPr>
        <w:spacing w:after="40"/>
      </w:pP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Positioning: </w:t>
            </w:r>
            <w:r>
              <w:rPr>
                <w:rFonts w:ascii="Calibri" w:hAnsi="Calibri" w:eastAsia="Calibri"/>
                <w:color w:val="243447"/>
              </w:rPr>
              <w:t>Angerona is an advanced local defensive lab and engineering portfolio platform. It is not independently certified, commercially supported, or a drop-in enterprise EDR/XDR replacement.</w:t>
            </w:r>
          </w:p>
        </w:tc>
      </w:tr>
    </w:tbl>
    <w:p>
      <w:pPr>
        <w:spacing w:after="40"/>
      </w:pPr>
    </w:p>
    <w:p>
      <w:r>
        <w:rPr>
          <w:rFonts w:ascii="Calibri" w:hAnsi="Calibri" w:eastAsia="Calibri"/>
          <w:i w:val="0"/>
          <w:color w:val="243447"/>
        </w:rPr>
        <w:t>This manual replaces the superseded versioned Master Manual and capability Word files. The short current capability sheet is ANGERONA_CAPABILITIES.md. Detailed security and vulnerability records remain separate companion evidence.</w:t>
      </w:r>
    </w:p>
    <w:p>
      <w:pPr>
        <w:pStyle w:val="Heading1"/>
      </w:pPr>
      <w:r>
        <w:t>Contents</w:t>
      </w:r>
    </w:p>
    <w:p>
      <w:pPr>
        <w:numPr>
          <w:ilvl w:val="0"/>
          <w:numId w:val="10"/>
        </w:numPr>
        <w:spacing w:before="0" w:after="20" w:line="240" w:lineRule="auto"/>
      </w:pPr>
      <w:r>
        <w:rPr>
          <w:rFonts w:ascii="Calibri" w:hAnsi="Calibri" w:eastAsia="Calibri"/>
          <w:color w:val="243447"/>
          <w:sz w:val="19"/>
        </w:rPr>
        <w:t>1. Quick start and operating posture</w:t>
      </w:r>
    </w:p>
    <w:p>
      <w:pPr>
        <w:numPr>
          <w:ilvl w:val="0"/>
          <w:numId w:val="10"/>
        </w:numPr>
        <w:spacing w:before="0" w:after="20" w:line="240" w:lineRule="auto"/>
      </w:pPr>
      <w:r>
        <w:rPr>
          <w:rFonts w:ascii="Calibri" w:hAnsi="Calibri" w:eastAsia="Calibri"/>
          <w:color w:val="243447"/>
          <w:sz w:val="19"/>
        </w:rPr>
        <w:t>2. Product boundary and platform support</w:t>
      </w:r>
    </w:p>
    <w:p>
      <w:pPr>
        <w:numPr>
          <w:ilvl w:val="0"/>
          <w:numId w:val="10"/>
        </w:numPr>
        <w:spacing w:before="0" w:after="20" w:line="240" w:lineRule="auto"/>
      </w:pPr>
      <w:r>
        <w:rPr>
          <w:rFonts w:ascii="Calibri" w:hAnsi="Calibri" w:eastAsia="Calibri"/>
          <w:color w:val="243447"/>
          <w:sz w:val="19"/>
        </w:rPr>
        <w:t>3. Architecture and trust flow</w:t>
      </w:r>
    </w:p>
    <w:p>
      <w:pPr>
        <w:numPr>
          <w:ilvl w:val="0"/>
          <w:numId w:val="10"/>
        </w:numPr>
        <w:spacing w:before="0" w:after="20" w:line="240" w:lineRule="auto"/>
      </w:pPr>
      <w:r>
        <w:rPr>
          <w:rFonts w:ascii="Calibri" w:hAnsi="Calibri" w:eastAsia="Calibri"/>
          <w:color w:val="243447"/>
          <w:sz w:val="19"/>
        </w:rPr>
        <w:t>4. Installation, launch, data, and secrets</w:t>
      </w:r>
    </w:p>
    <w:p>
      <w:pPr>
        <w:numPr>
          <w:ilvl w:val="0"/>
          <w:numId w:val="10"/>
        </w:numPr>
        <w:spacing w:before="0" w:after="20" w:line="240" w:lineRule="auto"/>
      </w:pPr>
      <w:r>
        <w:rPr>
          <w:rFonts w:ascii="Calibri" w:hAnsi="Calibri" w:eastAsia="Calibri"/>
          <w:color w:val="243447"/>
          <w:sz w:val="19"/>
        </w:rPr>
        <w:t>5. Operator interface and menu map</w:t>
      </w:r>
    </w:p>
    <w:p>
      <w:pPr>
        <w:numPr>
          <w:ilvl w:val="0"/>
          <w:numId w:val="10"/>
        </w:numPr>
        <w:spacing w:before="0" w:after="20" w:line="240" w:lineRule="auto"/>
      </w:pPr>
      <w:r>
        <w:rPr>
          <w:rFonts w:ascii="Calibri" w:hAnsi="Calibri" w:eastAsia="Calibri"/>
          <w:color w:val="243447"/>
          <w:sz w:val="19"/>
        </w:rPr>
        <w:t>6. Detection, evidence, and interoperability</w:t>
      </w:r>
    </w:p>
    <w:p>
      <w:pPr>
        <w:numPr>
          <w:ilvl w:val="0"/>
          <w:numId w:val="10"/>
        </w:numPr>
        <w:spacing w:before="0" w:after="20" w:line="240" w:lineRule="auto"/>
      </w:pPr>
      <w:r>
        <w:rPr>
          <w:rFonts w:ascii="Calibri" w:hAnsi="Calibri" w:eastAsia="Calibri"/>
          <w:color w:val="243447"/>
          <w:sz w:val="19"/>
        </w:rPr>
        <w:t>7. Adversary Combat - autonomous response</w:t>
      </w:r>
    </w:p>
    <w:p>
      <w:pPr>
        <w:numPr>
          <w:ilvl w:val="0"/>
          <w:numId w:val="10"/>
        </w:numPr>
        <w:spacing w:before="0" w:after="20" w:line="240" w:lineRule="auto"/>
      </w:pPr>
      <w:r>
        <w:rPr>
          <w:rFonts w:ascii="Calibri" w:hAnsi="Calibri" w:eastAsia="Calibri"/>
          <w:color w:val="243447"/>
          <w:sz w:val="19"/>
        </w:rPr>
        <w:t>8. SOAR, manual action, and response receipts</w:t>
      </w:r>
    </w:p>
    <w:p>
      <w:pPr>
        <w:numPr>
          <w:ilvl w:val="0"/>
          <w:numId w:val="10"/>
        </w:numPr>
        <w:spacing w:before="0" w:after="20" w:line="240" w:lineRule="auto"/>
      </w:pPr>
      <w:r>
        <w:rPr>
          <w:rFonts w:ascii="Calibri" w:hAnsi="Calibri" w:eastAsia="Calibri"/>
          <w:color w:val="243447"/>
          <w:sz w:val="19"/>
        </w:rPr>
        <w:t>9. ARIA, Ollama, and governed model packs</w:t>
      </w:r>
    </w:p>
    <w:p>
      <w:pPr>
        <w:numPr>
          <w:ilvl w:val="0"/>
          <w:numId w:val="10"/>
        </w:numPr>
        <w:spacing w:before="0" w:after="20" w:line="240" w:lineRule="auto"/>
      </w:pPr>
      <w:r>
        <w:rPr>
          <w:rFonts w:ascii="Calibri" w:hAnsi="Calibri" w:eastAsia="Calibri"/>
          <w:color w:val="243447"/>
          <w:sz w:val="19"/>
        </w:rPr>
        <w:t>10. Host Adaptation, resilience, and resource governance</w:t>
      </w:r>
    </w:p>
    <w:p>
      <w:pPr>
        <w:numPr>
          <w:ilvl w:val="0"/>
          <w:numId w:val="10"/>
        </w:numPr>
        <w:spacing w:before="0" w:after="20" w:line="240" w:lineRule="auto"/>
      </w:pPr>
      <w:r>
        <w:rPr>
          <w:rFonts w:ascii="Calibri" w:hAnsi="Calibri" w:eastAsia="Calibri"/>
          <w:color w:val="243447"/>
          <w:sz w:val="19"/>
        </w:rPr>
        <w:t>11. Red Team, Shark Attack, and After-Action Reports</w:t>
      </w:r>
    </w:p>
    <w:p>
      <w:pPr>
        <w:numPr>
          <w:ilvl w:val="0"/>
          <w:numId w:val="10"/>
        </w:numPr>
        <w:spacing w:before="0" w:after="20" w:line="240" w:lineRule="auto"/>
      </w:pPr>
      <w:r>
        <w:rPr>
          <w:rFonts w:ascii="Calibri" w:hAnsi="Calibri" w:eastAsia="Calibri"/>
          <w:color w:val="243447"/>
          <w:sz w:val="19"/>
        </w:rPr>
        <w:t>12. Recovery, Undo, and emergency handling</w:t>
      </w:r>
    </w:p>
    <w:p>
      <w:pPr>
        <w:numPr>
          <w:ilvl w:val="0"/>
          <w:numId w:val="10"/>
        </w:numPr>
        <w:spacing w:before="0" w:after="20" w:line="240" w:lineRule="auto"/>
      </w:pPr>
      <w:r>
        <w:rPr>
          <w:rFonts w:ascii="Calibri" w:hAnsi="Calibri" w:eastAsia="Calibri"/>
          <w:color w:val="243447"/>
          <w:sz w:val="19"/>
        </w:rPr>
        <w:t>13. Validation and release evidence</w:t>
      </w:r>
    </w:p>
    <w:p>
      <w:pPr>
        <w:numPr>
          <w:ilvl w:val="0"/>
          <w:numId w:val="10"/>
        </w:numPr>
        <w:spacing w:before="0" w:after="20" w:line="240" w:lineRule="auto"/>
      </w:pPr>
      <w:r>
        <w:rPr>
          <w:rFonts w:ascii="Calibri" w:hAnsi="Calibri" w:eastAsia="Calibri"/>
          <w:color w:val="243447"/>
          <w:sz w:val="19"/>
        </w:rPr>
        <w:t>14. Performance evidence</w:t>
      </w:r>
    </w:p>
    <w:p>
      <w:pPr>
        <w:numPr>
          <w:ilvl w:val="0"/>
          <w:numId w:val="10"/>
        </w:numPr>
        <w:spacing w:before="0" w:after="20" w:line="240" w:lineRule="auto"/>
      </w:pPr>
      <w:r>
        <w:rPr>
          <w:rFonts w:ascii="Calibri" w:hAnsi="Calibri" w:eastAsia="Calibri"/>
          <w:color w:val="243447"/>
          <w:sz w:val="19"/>
        </w:rPr>
        <w:t>15. Security posture, limits, and external gates</w:t>
      </w:r>
    </w:p>
    <w:p>
      <w:pPr>
        <w:numPr>
          <w:ilvl w:val="0"/>
          <w:numId w:val="10"/>
        </w:numPr>
        <w:spacing w:before="0" w:after="20" w:line="240" w:lineRule="auto"/>
      </w:pPr>
      <w:r>
        <w:rPr>
          <w:rFonts w:ascii="Calibri" w:hAnsi="Calibri" w:eastAsia="Calibri"/>
          <w:color w:val="243447"/>
          <w:sz w:val="19"/>
        </w:rPr>
        <w:t>16. Project positioning and resume value</w:t>
      </w:r>
    </w:p>
    <w:p>
      <w:pPr>
        <w:numPr>
          <w:ilvl w:val="0"/>
          <w:numId w:val="10"/>
        </w:numPr>
        <w:spacing w:before="0" w:after="20" w:line="240" w:lineRule="auto"/>
      </w:pPr>
      <w:r>
        <w:rPr>
          <w:rFonts w:ascii="Calibri" w:hAnsi="Calibri" w:eastAsia="Calibri"/>
          <w:color w:val="243447"/>
          <w:sz w:val="19"/>
        </w:rPr>
        <w:t>17. Version history and changelog</w:t>
      </w:r>
    </w:p>
    <w:p>
      <w:pPr>
        <w:numPr>
          <w:ilvl w:val="0"/>
          <w:numId w:val="10"/>
        </w:numPr>
        <w:spacing w:before="0" w:after="20" w:line="240" w:lineRule="auto"/>
      </w:pPr>
      <w:r>
        <w:rPr>
          <w:rFonts w:ascii="Calibri" w:hAnsi="Calibri" w:eastAsia="Calibri"/>
          <w:color w:val="243447"/>
          <w:sz w:val="19"/>
        </w:rPr>
        <w:t>Appendices: commands, data locations, evidence sources, glossary</w:t>
      </w:r>
    </w:p>
    <w:p>
      <w:pPr>
        <w:pStyle w:val="Heading1"/>
        <w:pageBreakBefore/>
      </w:pPr>
      <w:r>
        <w:t>1. Quick start and operating posture</w:t>
      </w:r>
    </w:p>
    <w:p>
      <w:pPr>
        <w:pStyle w:val="Heading2"/>
      </w:pPr>
      <w:r>
        <w:t>1.1 What Angerona does</w:t>
      </w:r>
    </w:p>
    <w:p>
      <w:r>
        <w:rPr>
          <w:rFonts w:ascii="Calibri" w:hAnsi="Calibri" w:eastAsia="Calibri"/>
          <w:i w:val="0"/>
          <w:color w:val="243447"/>
        </w:rPr>
        <w:t>Angerona unifies Windows endpoint and network visibility, local evidence retention, case work, MITRE ATT&amp;CK mapping, governed containment, recovery, local AI assistance, and non-destructive purple-team validation. Its 68 discovered modules share a typed EventBus and explicit platform contracts.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2600"/>
        <w:gridCol w:w="48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Need</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surface</w:t>
            </w:r>
          </w:p>
        </w:tc>
        <w:tc>
          <w:tcPr>
            <w:tcW w:type="dxa" w:w="48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Expected outcome</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a new alert</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 Resolve Center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evidence, acknowledge, investigate, or submit a bounded action</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Contain active behavior</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SOAR Queue / Adversary Combat</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signed request, durable intent, verified action, truthful receipt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Investigate a case</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Flow Dashboard / Local SOC</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Bounded hunt, evidence custody, notes, lifecycle, sanitized export</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Ask for local guidance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Evidence-backed answer from local runbooks and approved typed tools</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Prove a control</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 Shark Attack / Combat validator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Benign campaign, AAR, fresh-rerun closure, complete cleanup</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Recover a response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Action History</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Undo selected/all, verify rollback, inspect recovery-required state</w:t>
            </w:r>
          </w:p>
        </w:tc>
      </w:tr>
    </w:tbl>
    <w:p>
      <w:pPr>
        <w:spacing w:after="40"/>
      </w:pPr>
    </w:p>
    <w:p>
      <w:pPr>
        <w:pStyle w:val="Heading2"/>
      </w:pPr>
      <w:r>
        <w:t>1.2 Recommended starting posture</w:t>
      </w:r>
    </w:p>
    <w:p>
      <w:pPr>
        <w:numPr>
          <w:ilvl w:val="0"/>
          <w:numId w:val="12"/>
        </w:numPr>
      </w:pPr>
      <w:r>
        <w:rPr>
          <w:rFonts w:ascii="Calibri" w:hAnsi="Calibri" w:eastAsia="Calibri"/>
          <w:color w:val="243447"/>
        </w:rPr>
        <w:t>Install into a reviewed, protected runtime and keep mutable data in the protected canonical data root.</w:t>
      </w:r>
    </w:p>
    <w:p>
      <w:pPr>
        <w:numPr>
          <w:ilvl w:val="0"/>
          <w:numId w:val="12"/>
        </w:numPr>
      </w:pPr>
      <w:r>
        <w:rPr>
          <w:rFonts w:ascii="Calibri" w:hAnsi="Calibri" w:eastAsia="Calibri"/>
          <w:color w:val="243447"/>
        </w:rPr>
        <w:t>Run Windows Protect with elevation when full telemetry and response are required. Use macOS and Linux according to their Observe contracts.</w:t>
      </w:r>
    </w:p>
    <w:p>
      <w:pPr>
        <w:numPr>
          <w:ilvl w:val="0"/>
          <w:numId w:val="12"/>
        </w:numPr>
      </w:pPr>
      <w:r>
        <w:rPr>
          <w:rFonts w:ascii="Calibri" w:hAnsi="Calibri" w:eastAsia="Calibri"/>
          <w:color w:val="243447"/>
        </w:rPr>
        <w:t>Leave cloud, messaging, peer, SIEM, voice, camera, and other egress-capable integrations off until each is explicitly needed and configured.</w:t>
      </w:r>
    </w:p>
    <w:p>
      <w:pPr>
        <w:numPr>
          <w:ilvl w:val="0"/>
          <w:numId w:val="12"/>
        </w:numPr>
      </w:pPr>
      <w:r>
        <w:rPr>
          <w:rFonts w:ascii="Calibri" w:hAnsi="Calibri" w:eastAsia="Calibri"/>
          <w:color w:val="243447"/>
        </w:rPr>
        <w:t>Start Combat in a policy appropriate to the host. Review the protected-target list, exact response catalog, Undo history, and recovery state before Maximum mode.</w:t>
      </w:r>
    </w:p>
    <w:p>
      <w:pPr>
        <w:numPr>
          <w:ilvl w:val="0"/>
          <w:numId w:val="12"/>
        </w:numPr>
      </w:pPr>
      <w:r>
        <w:rPr>
          <w:rFonts w:ascii="Calibri" w:hAnsi="Calibri" w:eastAsia="Calibri"/>
          <w:color w:val="243447"/>
        </w:rPr>
        <w:t>Run direct selfcheck, ARIA self-tests, and the non-destructive Combat validation before relying on a new installation or major configuration change.</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Important: </w:t>
            </w:r>
            <w:r>
              <w:rPr>
                <w:rFonts w:ascii="Calibri" w:hAnsi="Calibri" w:eastAsia="Calibri"/>
                <w:color w:val="243447"/>
              </w:rPr>
              <w:t>Elevation is authority, not evidence. A host mutation still requires a typed policy, a signed exact-target response contract, current target identity, and a verified postcondition.</w:t>
            </w:r>
          </w:p>
        </w:tc>
      </w:tr>
    </w:tbl>
    <w:p>
      <w:pPr>
        <w:spacing w:after="40"/>
      </w:pPr>
    </w:p>
    <w:p>
      <w:pPr>
        <w:pStyle w:val="Heading1"/>
        <w:pageBreakBefore/>
      </w:pPr>
      <w:r>
        <w:t>2. Product boundary and platform support</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00"/>
        <w:gridCol w:w="1800"/>
        <w:gridCol w:w="6060"/>
      </w:tblGrid>
      <w:tr>
        <w:trPr>
          <w:tblHeader w:val="true"/>
        </w:trPr>
        <w:tc>
          <w:tcPr>
            <w:tcW w:type="dxa" w:w="1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Platform</w:t>
            </w:r>
          </w:p>
        </w:tc>
        <w:tc>
          <w:tcPr>
            <w:tcW w:type="dxa" w:w="1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Level</w:t>
            </w:r>
          </w:p>
        </w:tc>
        <w:tc>
          <w:tcPr>
            <w:tcW w:type="dxa" w:w="6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boundary</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Full supported user-mode telemetry and governed response. Runs elevated for the complete path. No unsigned kernel driver ships.</w:t>
            </w:r>
          </w:p>
        </w:tc>
      </w:tr>
      <w:tr>
        <w:tc>
          <w:tcPr>
            <w:tcW w:type="dxa" w:w="1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1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preview</w:t>
            </w:r>
          </w:p>
        </w:tc>
        <w:tc>
          <w:tcPr>
            <w:tcW w:type="dxa" w:w="6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Privacy-minimized process and established-flow observation with shared core and Keychain custody. No Endpoint Security or Network Extension enforcement claim.</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 optional eBPF</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Rootless process, flow, and posture observation. BCC/eBPF is an explicit privileged supplement, not a universal signed CO-RE release.</w:t>
            </w:r>
          </w:p>
        </w:tc>
      </w:tr>
    </w:tbl>
    <w:p>
      <w:pPr>
        <w:spacing w:after="40"/>
      </w:pPr>
    </w:p>
    <w:p>
      <w:pPr>
        <w:pStyle w:val="Heading2"/>
      </w:pPr>
      <w:r>
        <w:t>2.1 Intended use</w:t>
      </w:r>
    </w:p>
    <w:p>
      <w:pPr>
        <w:numPr>
          <w:ilvl w:val="0"/>
          <w:numId w:val="10"/>
        </w:numPr>
      </w:pPr>
      <w:r>
        <w:rPr>
          <w:rFonts w:ascii="Calibri" w:hAnsi="Calibri" w:eastAsia="Calibri"/>
          <w:color w:val="243447"/>
        </w:rPr>
        <w:t>Advanced Windows home-lab and self-hosted endpoint defense.</w:t>
      </w:r>
    </w:p>
    <w:p>
      <w:pPr>
        <w:numPr>
          <w:ilvl w:val="0"/>
          <w:numId w:val="10"/>
        </w:numPr>
      </w:pPr>
      <w:r>
        <w:rPr>
          <w:rFonts w:ascii="Calibri" w:hAnsi="Calibri" w:eastAsia="Calibri"/>
          <w:color w:val="243447"/>
        </w:rPr>
        <w:t>Blue-team, SOC, DFIR, detection-engineering, and ATT&amp;CK learning.</w:t>
      </w:r>
    </w:p>
    <w:p>
      <w:pPr>
        <w:numPr>
          <w:ilvl w:val="0"/>
          <w:numId w:val="10"/>
        </w:numPr>
      </w:pPr>
      <w:r>
        <w:rPr>
          <w:rFonts w:ascii="Calibri" w:hAnsi="Calibri" w:eastAsia="Calibri"/>
          <w:color w:val="243447"/>
        </w:rPr>
        <w:t>Safe purple-team validation with reversible defensive markers.</w:t>
      </w:r>
    </w:p>
    <w:p>
      <w:pPr>
        <w:numPr>
          <w:ilvl w:val="0"/>
          <w:numId w:val="10"/>
        </w:numPr>
      </w:pPr>
      <w:r>
        <w:rPr>
          <w:rFonts w:ascii="Calibri" w:hAnsi="Calibri" w:eastAsia="Calibri"/>
          <w:color w:val="243447"/>
        </w:rPr>
        <w:t>Research on local AI, typed authority, signed evidence, response receipts, and recovery.</w:t>
      </w:r>
    </w:p>
    <w:p>
      <w:pPr>
        <w:numPr>
          <w:ilvl w:val="0"/>
          <w:numId w:val="10"/>
        </w:numPr>
      </w:pPr>
      <w:r>
        <w:rPr>
          <w:rFonts w:ascii="Calibri" w:hAnsi="Calibri" w:eastAsia="Calibri"/>
          <w:color w:val="243447"/>
        </w:rPr>
        <w:t>A security-engineering portfolio demonstrating breadth plus disciplined boundaries and testing.</w:t>
      </w:r>
    </w:p>
    <w:p>
      <w:pPr>
        <w:pStyle w:val="Heading2"/>
      </w:pPr>
      <w:r>
        <w:t>2.2 Explicit non-goals</w:t>
      </w:r>
    </w:p>
    <w:p>
      <w:pPr>
        <w:numPr>
          <w:ilvl w:val="0"/>
          <w:numId w:val="10"/>
        </w:numPr>
      </w:pPr>
      <w:r>
        <w:rPr>
          <w:rFonts w:ascii="Calibri" w:hAnsi="Calibri" w:eastAsia="Calibri"/>
          <w:color w:val="243447"/>
        </w:rPr>
        <w:t>No offensive payloads, exploit generation, credential theft, evasion, remote scanning, attack infrastructure, or hack-back.</w:t>
      </w:r>
    </w:p>
    <w:p>
      <w:pPr>
        <w:numPr>
          <w:ilvl w:val="0"/>
          <w:numId w:val="10"/>
        </w:numPr>
      </w:pPr>
      <w:r>
        <w:rPr>
          <w:rFonts w:ascii="Calibri" w:hAnsi="Calibri" w:eastAsia="Calibri"/>
          <w:color w:val="243447"/>
        </w:rPr>
        <w:t>No arbitrary response shell or model-authored host mutation.</w:t>
      </w:r>
    </w:p>
    <w:p>
      <w:pPr>
        <w:numPr>
          <w:ilvl w:val="0"/>
          <w:numId w:val="10"/>
        </w:numPr>
      </w:pPr>
      <w:r>
        <w:rPr>
          <w:rFonts w:ascii="Calibri" w:hAnsi="Calibri" w:eastAsia="Calibri"/>
          <w:color w:val="243447"/>
        </w:rPr>
        <w:t>No downloaded executable skill, bulk unreviewed community artifact, insecure model pull, or unsigned kernel component.</w:t>
      </w:r>
    </w:p>
    <w:p>
      <w:pPr>
        <w:numPr>
          <w:ilvl w:val="0"/>
          <w:numId w:val="10"/>
        </w:numPr>
      </w:pPr>
      <w:r>
        <w:rPr>
          <w:rFonts w:ascii="Calibri" w:hAnsi="Calibri" w:eastAsia="Calibri"/>
          <w:color w:val="243447"/>
        </w:rPr>
        <w:t>No claim of 100 percent technique coverage, commercial fleet parity, independent certification, or third-party efficacy validation.</w:t>
      </w:r>
    </w:p>
    <w:p>
      <w:pPr>
        <w:pStyle w:val="Heading1"/>
        <w:pageBreakBefore/>
      </w:pPr>
      <w:r>
        <w:t>3. Architecture and trust flow</w:t>
      </w:r>
    </w:p>
    <w:p>
      <w:r>
        <w:rPr>
          <w:rFonts w:ascii="Calibri" w:hAnsi="Calibri" w:eastAsia="Calibri"/>
          <w:i w:val="0"/>
          <w:color w:val="243447"/>
        </w:rPr>
        <w:t>Independent modules collect or derive bounded evidence and publish typed events. The EventBus authenticates events, the recorder retains them, correlation creates incidents and response proposals, and Adversary Combat is the central mutation boundary.</w:t>
      </w:r>
    </w:p>
    <w:p>
      <w:pPr>
        <w:pStyle w:val="CodeBlock"/>
        <w:keepLines/>
      </w:pPr>
      <w:r>
        <w:rPr>
          <w:rFonts w:ascii="Consolas" w:hAnsi="Consolas" w:eastAsia="Consolas"/>
          <w:color w:val="0B2545"/>
          <w:sz w:val="18"/>
        </w:rPr>
        <w:t>Sensor / module</w:t>
        <w:br/>
        <w:t xml:space="preserve">  -&gt; typed Event + HMAC</w:t>
        <w:br/>
        <w:t xml:space="preserve">  -&gt; EventBus + Flight Recorder</w:t>
        <w:br/>
        <w:t xml:space="preserve">  -&gt; correlation / incident / SOAR</w:t>
        <w:br/>
        <w:t xml:space="preserve">  -&gt; signed exact-target response contract</w:t>
        <w:br/>
        <w:t xml:space="preserve">  -&gt; Adversary Combat durable intent</w:t>
        <w:br/>
        <w:t xml:space="preserve">  -&gt; local defensive action</w:t>
        <w:br/>
        <w:t xml:space="preserve">  -&gt; verified postcondition + signed receipt</w:t>
        <w:br/>
        <w:t xml:space="preserve">  -&gt; Undo / recovery / AAR</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300"/>
        <w:gridCol w:w="46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Layer</w:t>
            </w:r>
          </w:p>
        </w:tc>
        <w:tc>
          <w:tcPr>
            <w:tcW w:type="dxa" w:w="33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Responsibility</w:t>
            </w:r>
          </w:p>
        </w:tc>
        <w:tc>
          <w:tcPr>
            <w:tcW w:type="dxa" w:w="46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Trust boundary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Sensors</w:t>
            </w:r>
          </w:p>
        </w:tc>
        <w:tc>
          <w:tcPr>
            <w:tcW w:type="dxa" w:w="3300"/>
            <w:vAlign w:val="center"/>
            <w:tcMar>
              <w:top w:w="80" w:type="dxa"/>
              <w:bottom w:w="80" w:type="dxa"/>
              <w:start w:w="120" w:type="dxa"/>
              <w:end w:w="120" w:type="dxa"/>
            </w:tcMar>
          </w:tcPr>
          <w:p>
            <w:r>
              <w:t>ETW, Sysmon, WFP, Defender, App Control/Code Integrity, process/file/network, and platform observers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 can be incomplete; quality and platform availability remain visible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EventBus</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publication, bounded history, HMAC authority</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Details are signed; invalid or legacy evidence is distinguished</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Storage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SQLite recorder, cases, evidence, audit, journals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Tamper detection is local; key and data custody depend on protected deployment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Correlation</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Incidents, ATT&amp;CK, Evidence Lattice, telemetry contracts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Weak signals cannot automatically gain stronger action authority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Response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SOAR requests and Adversary Combat execution</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action/target contract, current identity, protected targets, verified result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AI</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RAG, Ollama, provider adapters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Untrusted text and model output are evidence, not authorization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GUI</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Operator review, configuration, evidence, history, Undo</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Visible state follows signed receipts; SUBMITTED is not VERIFIED</w:t>
            </w:r>
          </w:p>
        </w:tc>
      </w:tr>
    </w:tbl>
    <w:p>
      <w:pPr>
        <w:spacing w:after="40"/>
      </w:pPr>
    </w:p>
    <w:p>
      <w:pPr>
        <w:pStyle w:val="Heading2"/>
      </w:pPr>
      <w:r>
        <w:t>3.1 Key implementation directories</w:t>
      </w:r>
    </w:p>
    <w:p>
      <w:pPr>
        <w:numPr>
          <w:ilvl w:val="0"/>
          <w:numId w:val="10"/>
        </w:numPr>
        <w:spacing w:before="0" w:after="0" w:line="240" w:lineRule="auto"/>
      </w:pPr>
      <w:r>
        <w:rPr>
          <w:rFonts w:ascii="Calibri" w:hAnsi="Calibri" w:eastAsia="Calibri"/>
          <w:color w:val="243447"/>
          <w:sz w:val="19"/>
        </w:rPr>
        <w:t>src/angerona/core - event, storage, response, ARIA, model-pack, policy, credential, evidence, and interoperability primitives.</w:t>
      </w:r>
    </w:p>
    <w:p>
      <w:pPr>
        <w:numPr>
          <w:ilvl w:val="0"/>
          <w:numId w:val="10"/>
        </w:numPr>
        <w:spacing w:before="0" w:after="0" w:line="240" w:lineRule="auto"/>
      </w:pPr>
      <w:r>
        <w:rPr>
          <w:rFonts w:ascii="Calibri" w:hAnsi="Calibri" w:eastAsia="Calibri"/>
          <w:color w:val="243447"/>
          <w:sz w:val="19"/>
        </w:rPr>
        <w:t>src/angerona/modules - built-in detectors, observers, response and resilience modules.</w:t>
      </w:r>
    </w:p>
    <w:p>
      <w:pPr>
        <w:numPr>
          <w:ilvl w:val="0"/>
          <w:numId w:val="10"/>
        </w:numPr>
        <w:spacing w:before="0" w:after="0" w:line="240" w:lineRule="auto"/>
      </w:pPr>
      <w:r>
        <w:rPr>
          <w:rFonts w:ascii="Calibri" w:hAnsi="Calibri" w:eastAsia="Calibri"/>
          <w:color w:val="243447"/>
          <w:sz w:val="19"/>
        </w:rPr>
        <w:t>src/angerona/gui - Classic and Flow dashboards, settings, operations, Red Team, Combat history, and Upgrade Console.</w:t>
      </w:r>
    </w:p>
    <w:p>
      <w:pPr>
        <w:numPr>
          <w:ilvl w:val="0"/>
          <w:numId w:val="10"/>
        </w:numPr>
        <w:spacing w:before="0" w:after="0" w:line="240" w:lineRule="auto"/>
      </w:pPr>
      <w:r>
        <w:rPr>
          <w:rFonts w:ascii="Calibri" w:hAnsi="Calibri" w:eastAsia="Calibri"/>
          <w:color w:val="243447"/>
          <w:sz w:val="19"/>
        </w:rPr>
        <w:t>src/angerona/shark - Shark Attack, Red Team simulation, and After-Action Reports.</w:t>
      </w:r>
    </w:p>
    <w:p>
      <w:pPr>
        <w:pStyle w:val="Heading1"/>
        <w:pageBreakBefore/>
      </w:pPr>
      <w:r>
        <w:t>4. Installation, launch, data, and secrets</w:t>
      </w:r>
    </w:p>
    <w:p>
      <w:pPr>
        <w:pStyle w:val="Heading2"/>
      </w:pPr>
      <w:r>
        <w:t>4.1 Windows tagged release</w:t>
      </w:r>
    </w:p>
    <w:p>
      <w:pPr>
        <w:numPr>
          <w:ilvl w:val="0"/>
          <w:numId w:val="13"/>
        </w:numPr>
      </w:pPr>
      <w:r>
        <w:rPr>
          <w:rFonts w:ascii="Calibri" w:hAnsi="Calibri" w:eastAsia="Calibri"/>
          <w:color w:val="243447"/>
        </w:rPr>
        <w:t>Download the Setup executable and its adjacent SHA-256 file from the GitHub Releases page.</w:t>
      </w:r>
    </w:p>
    <w:p>
      <w:pPr>
        <w:numPr>
          <w:ilvl w:val="0"/>
          <w:numId w:val="13"/>
        </w:numPr>
      </w:pPr>
      <w:r>
        <w:rPr>
          <w:rFonts w:ascii="Calibri" w:hAnsi="Calibri" w:eastAsia="Calibri"/>
          <w:color w:val="243447"/>
        </w:rPr>
        <w:t>Verify the digest and GitHub build attestation. The current publication path is not backed by an Authenticode publisher certificate, so Windows may show Unknown Publisher.</w:t>
      </w:r>
    </w:p>
    <w:p>
      <w:pPr>
        <w:numPr>
          <w:ilvl w:val="0"/>
          <w:numId w:val="13"/>
        </w:numPr>
      </w:pPr>
      <w:r>
        <w:rPr>
          <w:rFonts w:ascii="Calibri" w:hAnsi="Calibri" w:eastAsia="Calibri"/>
          <w:color w:val="243447"/>
        </w:rPr>
        <w:t>Run Setup, approve UAC, and complete Full Setup. The protected data root prefers D:\AngeronaData and uses protected %ProgramData%\Angerona only when D: is unavailable.</w:t>
      </w:r>
    </w:p>
    <w:p>
      <w:pPr>
        <w:numPr>
          <w:ilvl w:val="0"/>
          <w:numId w:val="13"/>
        </w:numPr>
      </w:pPr>
      <w:r>
        <w:rPr>
          <w:rFonts w:ascii="Calibri" w:hAnsi="Calibri" w:eastAsia="Calibri"/>
          <w:color w:val="243447"/>
        </w:rPr>
        <w:t>Run the selfcheck and confirm the expected platform/operator skips rather than treating every unavailable optional integration as a defect.</w:t>
      </w:r>
    </w:p>
    <w:p>
      <w:pPr>
        <w:pStyle w:val="Heading2"/>
      </w:pPr>
      <w:r>
        <w:t>4.2 Reviewed source deployment</w:t>
      </w:r>
    </w:p>
    <w:p>
      <w:pPr>
        <w:pStyle w:val="CodeBlock"/>
        <w:keepLines/>
      </w:pPr>
      <w:r>
        <w:rPr>
          <w:rFonts w:ascii="Consolas" w:hAnsi="Consolas" w:eastAsia="Consolas"/>
          <w:color w:val="0B2545"/>
          <w:sz w:val="18"/>
        </w:rPr>
        <w:t>git clone https://github.com/Ag3nt47/AngeronaSuite.git</w:t>
        <w:br/>
        <w:t>cd AngeronaSuite</w:t>
        <w:br/>
        <w:t>.\Install-Angerona.bat</w:t>
        <w:br/>
        <w:t>.\start-angerona.bat</w:t>
      </w:r>
    </w:p>
    <w:p>
      <w:r>
        <w:rPr>
          <w:rFonts w:ascii="Calibri" w:hAnsi="Calibri" w:eastAsia="Calibri"/>
          <w:i w:val="0"/>
          <w:color w:val="243447"/>
        </w:rPr>
        <w:t>The hardened source bootstrap targets the reviewed CPython 3.12 x64 wheel lock, rejects unverified installer paths, protects the runtime, and separates writable development from elevated execution. Contributors should use a separate writable development clone.</w:t>
      </w:r>
    </w:p>
    <w:p>
      <w:pPr>
        <w:pStyle w:val="Heading2"/>
      </w:pPr>
      <w:r>
        <w:t>4.3 Linux and macOS</w:t>
      </w:r>
    </w:p>
    <w:p>
      <w:pPr>
        <w:pStyle w:val="CodeBlock"/>
        <w:keepLines/>
      </w:pPr>
      <w:r>
        <w:rPr>
          <w:rFonts w:ascii="Consolas" w:hAnsi="Consolas" w:eastAsia="Consolas"/>
          <w:color w:val="0B2545"/>
          <w:sz w:val="18"/>
        </w:rPr>
        <w:t>bash Install-Angerona-Release.sh     # verified release archive</w:t>
        <w:br/>
        <w:t>bash install-angerona.sh             # reviewed source install</w:t>
        <w:br/>
        <w:t>bash install-angerona.sh --headless  # Linux local-user sensor</w:t>
      </w:r>
    </w:p>
    <w:p>
      <w:pPr>
        <w:pStyle w:val="Heading2"/>
      </w:pPr>
      <w:r>
        <w:t>4.4 Data and secret custody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300"/>
        <w:gridCol w:w="7060"/>
      </w:tblGrid>
      <w:tr>
        <w:trPr>
          <w:tblHeader w:val="true"/>
        </w:trPr>
        <w:tc>
          <w:tcPr>
            <w:tcW w:type="dxa" w:w="23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Area</w:t>
            </w:r>
          </w:p>
        </w:tc>
        <w:tc>
          <w:tcPr>
            <w:tcW w:type="dxa" w:w="7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Default / contract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packaged data</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Protected D:\AngeronaData; protected %ProgramData%\Angerona fallback</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source/development</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Configured canonical data root; never trust a working-directory .env as privileged authority</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Support data; secrets in Keychain</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XDG state; secrets in an unlocked Secret Service or managed service environment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Runtime evidence</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Databases, journals, diagnostics, models, cases, reports, and credentials are not source artifacts and must not be committed</w:t>
            </w:r>
          </w:p>
        </w:tc>
      </w:tr>
    </w:tbl>
    <w:p>
      <w:pPr>
        <w:spacing w:after="40"/>
      </w:pPr>
    </w:p>
    <w:p>
      <w:pPr>
        <w:pStyle w:val="Heading1"/>
        <w:pageBreakBefore/>
      </w:pPr>
      <w:r>
        <w:t>5. Operator interface and menu map</w:t>
      </w:r>
    </w:p>
    <w:p>
      <w:r>
        <w:rPr>
          <w:rFonts w:ascii="Calibri" w:hAnsi="Calibri" w:eastAsia="Calibri"/>
          <w:i w:val="0"/>
          <w:color w:val="243447"/>
        </w:rPr>
        <w:t>Angerona exposes seven canonical Info/menu sections, plus dedicated Host Adaptation and Adversary Combat surfaces. Labels below are destinations, not separate trust domains.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900"/>
        <w:gridCol w:w="40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Section</w:t>
            </w:r>
          </w:p>
        </w:tc>
        <w:tc>
          <w:tcPr>
            <w:tcW w:type="dxa" w:w="3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destinations</w:t>
            </w:r>
          </w:p>
        </w:tc>
        <w:tc>
          <w:tcPr>
            <w:tcW w:type="dxa" w:w="40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Operator job</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Help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Help &amp; Info, interactive tour, limitations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capability, privacy, maturity, and verification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Dashboard</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SOAR Queue, Scan Center, Resolve Center, Top Talkers</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Triage current evidence and submit bounded actions</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Settings</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General, System, Enterprise, ARIA, Trusted Processes, Mobile, API Keys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Configure the single canonical owner for each option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Operations</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Overview, Cases, Hunt, Assets, Detection Content, Parity &amp; Interop, Audit</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local SOC investigation and evidence workflow</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ATT&amp;CK Map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Heat, Coverage, Top Techniques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mapped activity, gaps, and current focus</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History, Device Security Lab, Sandbox Editor</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Execute and review non-destructive validation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Advanced Console</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Mobile, AI Sandbox &amp; Models, Watchdog, Telemetry</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Inspect integrations, models, liveness, and resource state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Audit, baseline, drift, preview, sandbox, apply, rollback, automation, activity</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Apply closed firewall posture profiles with preview and recovery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Adversary Combat</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Policy, mode, history, verified filters, Undo, recovery, validation</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Govern autonomous local containment and recovery</w:t>
            </w:r>
          </w:p>
        </w:tc>
      </w:tr>
    </w:tbl>
    <w:p>
      <w:pPr>
        <w:spacing w:after="40"/>
      </w:pPr>
    </w:p>
    <w:p>
      <w:pPr>
        <w:pStyle w:val="Heading2"/>
      </w:pPr>
      <w:r>
        <w:t>5.1 Status language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State</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Queued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proposal exists; no action authority has been exercised.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Submitted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request entered Combat; success has not yet been proven.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 / 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action journal committed and the expected postcondition was observed.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Failed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 execution, postcondition, or receipt reconciliation failed.</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Recovery required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Compensation or commit evidence could not be proven; the mutation circuit is open.</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Undone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exact reversible action was reversed and the rollback postcondition was verified.</w:t>
            </w:r>
          </w:p>
        </w:tc>
      </w:tr>
    </w:tbl>
    <w:p>
      <w:pPr>
        <w:spacing w:after="40"/>
      </w:pPr>
    </w:p>
    <w:p>
      <w:pPr>
        <w:pStyle w:val="Heading1"/>
        <w:pageBreakBefore/>
      </w:pPr>
      <w:r>
        <w:t>6. Detection, evidence, and interoperability</w:t>
      </w:r>
    </w:p>
    <w:p>
      <w:pPr>
        <w:pStyle w:val="Heading2"/>
      </w:pPr>
      <w:r>
        <w:t>6.1 Windows telemetry</w:t>
      </w:r>
    </w:p>
    <w:p>
      <w:pPr>
        <w:numPr>
          <w:ilvl w:val="0"/>
          <w:numId w:val="10"/>
        </w:numPr>
      </w:pPr>
      <w:r>
        <w:rPr>
          <w:rFonts w:ascii="Calibri" w:hAnsi="Calibri" w:eastAsia="Calibri"/>
          <w:color w:val="243447"/>
        </w:rPr>
        <w:t>ETW process creation and bounded PID/name state, with live-process fallback and PID-reuse handling.</w:t>
      </w:r>
    </w:p>
    <w:p>
      <w:pPr>
        <w:numPr>
          <w:ilvl w:val="0"/>
          <w:numId w:val="10"/>
        </w:numPr>
      </w:pPr>
      <w:r>
        <w:rPr>
          <w:rFonts w:ascii="Calibri" w:hAnsi="Calibri" w:eastAsia="Calibri"/>
          <w:color w:val="243447"/>
        </w:rPr>
        <w:t>Sysmon event IDs 1-29 plus 255, bounded XML parsing, and an HMAC-authenticated restart cursor.</w:t>
      </w:r>
    </w:p>
    <w:p>
      <w:pPr/>
      <w:r>
        <w:t>Windows App Control/Code Integrity decisions distinguish audit would-block from enforced block outcomes and strictly join bounded 3089 signature evidence by ActivityID. Policy-health events remain separate from threat claims, and this read-only sensor cannot change policy or authorize response.</w:t>
      </w:r>
    </w:p>
    <w:p>
      <w:pPr/>
      <w:r>
        <w:t>The App Control cursor and incomplete joins are HMAC-authenticated and atomically persisted. Exact record anchors expose retention loss, clears, record-ID reuse, and generation changes before, during, or at the end of a poll. Ordinary UI/export details use basenames and keyed tokens instead of full local paths.</w:t>
      </w:r>
    </w:p>
    <w:p>
      <w:pPr>
        <w:numPr>
          <w:ilvl w:val="0"/>
          <w:numId w:val="10"/>
        </w:numPr>
      </w:pPr>
      <w:r>
        <w:rPr>
          <w:rFonts w:ascii="Calibri" w:hAnsi="Calibri" w:eastAsia="Calibri"/>
          <w:color w:val="243447"/>
        </w:rPr>
        <w:t>Windows Security, Defender, AMSI, WMI/CIM, WFP, service, driver, USB, and recovery-state sources when available and configured.</w:t>
      </w:r>
    </w:p>
    <w:p>
      <w:pPr>
        <w:numPr>
          <w:ilvl w:val="0"/>
          <w:numId w:val="10"/>
        </w:numPr>
      </w:pPr>
      <w:r>
        <w:rPr>
          <w:rFonts w:ascii="Calibri" w:hAnsi="Calibri" w:eastAsia="Calibri"/>
          <w:color w:val="243447"/>
        </w:rPr>
        <w:t>Sensor absence, policy gaps, access denial, rollover, malformed records, and truncation remain visible rather than being scored as healthy.</w:t>
      </w:r>
    </w:p>
    <w:p>
      <w:pPr>
        <w:pStyle w:val="Heading2"/>
      </w:pPr>
      <w:r>
        <w:t>6.2 Detection families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Family</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Examples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Execution and lineage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Process starts, parent/child anomalies, temp/deleted execution, Office lineage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Credential and memory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LSASS role-aware access, remote thread, RWX/unbacked memory, injection indicators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File and persistence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FIM, startup/service persistence, YARA/YARA-X, quarantine evidence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Ransomware and recovery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Same-directory entropy/rename correlation, canaries, shadow-copy and boot-recovery tamper</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Network</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Novel peers, beacon cadence, WFP, packet evidence, Community ID flow fusion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Kernel and drivers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Driver load evidence, vulnerable-driver posture, signature/hash/version context</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Identity and device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Authentication events, USB trust, device lab enrollment and bounded checks</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Control health</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Telemetry expectation contracts, watchdog, evidence integrity, sensor visibility gaps</w:t>
            </w:r>
          </w:p>
        </w:tc>
      </w:tr>
    </w:tbl>
    <w:p>
      <w:pPr>
        <w:spacing w:after="40"/>
      </w:pPr>
    </w:p>
    <w:p>
      <w:pPr>
        <w:pStyle w:val="Heading2"/>
      </w:pPr>
      <w:r>
        <w:t>6.3 Evidence and interoperability</w:t>
      </w:r>
    </w:p>
    <w:p>
      <w:pPr>
        <w:numPr>
          <w:ilvl w:val="0"/>
          <w:numId w:val="10"/>
        </w:numPr>
      </w:pPr>
      <w:r>
        <w:rPr>
          <w:rFonts w:ascii="Calibri" w:hAnsi="Calibri" w:eastAsia="Calibri"/>
          <w:color w:val="243447"/>
        </w:rPr>
        <w:t>Community ID v1 provides deterministic five-tuple identity across native, Suricata, and Zeek records when complete tuple data exists.</w:t>
      </w:r>
    </w:p>
    <w:p>
      <w:pPr>
        <w:numPr>
          <w:ilvl w:val="0"/>
          <w:numId w:val="10"/>
        </w:numPr>
      </w:pPr>
      <w:r>
        <w:rPr>
          <w:rFonts w:ascii="Calibri" w:hAnsi="Calibri" w:eastAsia="Calibri"/>
          <w:color w:val="243447"/>
        </w:rPr>
        <w:t>OCSF 1.8 maps supported observations, findings, and remediation activity while preserving honest unsupported or lossy fields.</w:t>
      </w:r>
    </w:p>
    <w:p>
      <w:pPr>
        <w:numPr>
          <w:ilvl w:val="0"/>
          <w:numId w:val="10"/>
        </w:numPr>
      </w:pPr>
      <w:r>
        <w:rPr>
          <w:rFonts w:ascii="Calibri" w:hAnsi="Calibri" w:eastAsia="Calibri"/>
          <w:color w:val="243447"/>
        </w:rPr>
        <w:t>Guarded osquery integration uses fixed read-only snapshots; callers cannot supply arbitrary SQL, extensions, targets, or installers. Imported evidence cannot authorize a host action merely because it contains response-looking fields.</w:t>
      </w:r>
    </w:p>
    <w:p>
      <w:pPr>
        <w:pStyle w:val="Heading1"/>
        <w:pageBreakBefore/>
      </w:pPr>
      <w:r>
        <w:t>7. Adversary Combat - autonomous response</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Operating model: </w:t>
            </w:r>
            <w:r>
              <w:rPr>
                <w:rFonts w:ascii="Calibri" w:hAnsi="Calibri" w:eastAsia="Calibri"/>
                <w:color w:val="243447"/>
              </w:rPr>
              <w:t>Combat acts automatically on the operator's behalf only inside a preconfigured, typed local policy. It is intentionally decisive but cannot widen an exact signed contract into arbitrary host authority.</w:t>
            </w:r>
          </w:p>
        </w:tc>
      </w:tr>
    </w:tbl>
    <w:p>
      <w:pPr>
        <w:spacing w:after="40"/>
      </w:pPr>
    </w:p>
    <w:p>
      <w:pPr>
        <w:pStyle w:val="Heading2"/>
      </w:pPr>
      <w:r>
        <w:t>7.1 Response catalog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000"/>
        <w:gridCol w:w="4400"/>
        <w:gridCol w:w="2960"/>
      </w:tblGrid>
      <w:tr>
        <w:trPr>
          <w:tblHeader w:val="true"/>
        </w:trPr>
        <w:tc>
          <w:tcPr>
            <w:tcW w:type="dxa" w:w="20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Action</w:t>
            </w:r>
          </w:p>
        </w:tc>
        <w:tc>
          <w:tcPr>
            <w:tcW w:type="dxa" w:w="44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Required binding</w:t>
            </w:r>
          </w:p>
        </w:tc>
        <w:tc>
          <w:tcPr>
            <w:tcW w:type="dxa" w:w="29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Recovery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Block remote peer</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IP/peer plus current evidence and allowed network action</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Delete exact Angerona rule; verify peer rule absent</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executable</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canonical executable plus process/connection evidence</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program firewall rules; verify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Suspend process</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PID, process creation time, exact executable, protected-target check</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Resume same process identity; verify</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Terminate process</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PID, creation time, exact executable, explicit terminate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generally reversible; receipt remains</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Quarantine file</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validated file and parent identity; pinned Windows operations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Restore exact file, including verified cross-volume path</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Activate deception</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bounded deception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or expire run-owned artifact only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host</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Explicit host escalation contract from high-confidence semantics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host-isolation rule set; verify connectivity policy</w:t>
            </w:r>
          </w:p>
        </w:tc>
      </w:tr>
    </w:tbl>
    <w:p>
      <w:pPr>
        <w:spacing w:after="40"/>
      </w:pPr>
    </w:p>
    <w:p>
      <w:pPr>
        <w:pStyle w:val="Heading2"/>
      </w:pPr>
      <w:r>
        <w:t>7.2 Action lifecycle</w:t>
      </w:r>
    </w:p>
    <w:p>
      <w:pPr>
        <w:numPr>
          <w:ilvl w:val="0"/>
          <w:numId w:val="14"/>
        </w:numPr>
      </w:pPr>
      <w:r>
        <w:rPr>
          <w:rFonts w:ascii="Calibri" w:hAnsi="Calibri" w:eastAsia="Calibri"/>
          <w:color w:val="243447"/>
        </w:rPr>
        <w:t>Admission revalidates policy, event freshness, signature, exact target, allowed action, and protected boundaries.</w:t>
      </w:r>
    </w:p>
    <w:p>
      <w:pPr>
        <w:numPr>
          <w:ilvl w:val="0"/>
          <w:numId w:val="14"/>
        </w:numPr>
      </w:pPr>
      <w:r>
        <w:rPr>
          <w:rFonts w:ascii="Calibri" w:hAnsi="Calibri" w:eastAsia="Calibri"/>
          <w:color w:val="243447"/>
        </w:rPr>
        <w:t>A durable fsynced intent is appended before the host mutation.</w:t>
      </w:r>
    </w:p>
    <w:p>
      <w:pPr>
        <w:numPr>
          <w:ilvl w:val="0"/>
          <w:numId w:val="14"/>
        </w:numPr>
      </w:pPr>
      <w:r>
        <w:rPr>
          <w:rFonts w:ascii="Calibri" w:hAnsi="Calibri" w:eastAsia="Calibri"/>
          <w:color w:val="243447"/>
        </w:rPr>
        <w:t>The target is revalidated at the last safe point; Windows file operations pin and recheck path components.</w:t>
      </w:r>
    </w:p>
    <w:p>
      <w:pPr>
        <w:numPr>
          <w:ilvl w:val="0"/>
          <w:numId w:val="14"/>
        </w:numPr>
      </w:pPr>
      <w:r>
        <w:rPr>
          <w:rFonts w:ascii="Calibri" w:hAnsi="Calibri" w:eastAsia="Calibri"/>
          <w:color w:val="243447"/>
        </w:rPr>
        <w:t>The action executes using a closed adapter, not arbitrary shell text.</w:t>
      </w:r>
    </w:p>
    <w:p>
      <w:pPr>
        <w:numPr>
          <w:ilvl w:val="0"/>
          <w:numId w:val="14"/>
        </w:numPr>
      </w:pPr>
      <w:r>
        <w:rPr>
          <w:rFonts w:ascii="Calibri" w:hAnsi="Calibri" w:eastAsia="Calibri"/>
          <w:color w:val="243447"/>
        </w:rPr>
        <w:t>A postcondition is measured. Success is committed only when the expected state is observed.</w:t>
      </w:r>
    </w:p>
    <w:p>
      <w:pPr>
        <w:numPr>
          <w:ilvl w:val="0"/>
          <w:numId w:val="14"/>
        </w:numPr>
      </w:pPr>
      <w:r>
        <w:rPr>
          <w:rFonts w:ascii="Calibri" w:hAnsi="Calibri" w:eastAsia="Calibri"/>
          <w:color w:val="243447"/>
        </w:rPr>
        <w:t>A signed receipt carries the event/action/queue identity and result. Duplicate work is idempotent.</w:t>
      </w:r>
    </w:p>
    <w:p>
      <w:pPr>
        <w:numPr>
          <w:ilvl w:val="0"/>
          <w:numId w:val="14"/>
        </w:numPr>
      </w:pPr>
      <w:r>
        <w:rPr>
          <w:rFonts w:ascii="Calibri" w:hAnsi="Calibri" w:eastAsia="Calibri"/>
          <w:color w:val="243447"/>
        </w:rPr>
        <w:t>If commit or compensation cannot be proven, Combat records a recovery-required orphan and opens the mutation circuit.</w:t>
      </w:r>
    </w:p>
    <w:p>
      <w:pPr>
        <w:pStyle w:val="Heading2"/>
      </w:pPr>
      <w:r>
        <w:t>7.3 Semantic authority boundaries</w:t>
      </w:r>
    </w:p>
    <w:p>
      <w:r>
        <w:rPr>
          <w:rFonts w:ascii="Calibri" w:hAnsi="Calibri" w:eastAsia="Calibri"/>
          <w:i w:val="0"/>
          <w:color w:val="243447"/>
        </w:rPr>
        <w:t>Whole-host authority is intentionally rare. LSASS and recovery-tamper paths require trusted canonical system images plus role-aware destructive arguments. Harmless filenames, documentation text, read-only queries, ambiguous PowerShell, weak Office/RWX/cadence signals, cross-PID beacons, and cross-directory ransomware evidence do not mint host isolation.</w:t>
      </w:r>
    </w:p>
    <w:p>
      <w:pPr>
        <w:pStyle w:val="Heading2"/>
      </w:pPr>
      <w:r>
        <w:t>7.4 Modes and adjustment</w:t>
      </w:r>
    </w:p>
    <w:p>
      <w:r>
        <w:rPr>
          <w:rFonts w:ascii="Calibri" w:hAnsi="Calibri" w:eastAsia="Calibri"/>
          <w:i w:val="0"/>
          <w:color w:val="243447"/>
        </w:rPr>
        <w:t>The operator may adjust Combat policy and intensity through the application. Higher modes change the eligible response catalog and cadence; they do not remove signed contracts, protected targets, exact identity, durable journal, postcondition, Undo, or recovery gates. Policy changes should be validated with the maximum campaign before unattended use.</w:t>
      </w:r>
    </w:p>
    <w:p>
      <w:pPr>
        <w:pStyle w:val="Heading1"/>
        <w:pageBreakBefore/>
      </w:pPr>
      <w:r>
        <w:t>8. SOAR, manual action, and response receipts</w:t>
      </w:r>
    </w:p>
    <w:p>
      <w:r>
        <w:rPr>
          <w:rFonts w:ascii="Calibri" w:hAnsi="Calibri" w:eastAsia="Calibri"/>
          <w:i w:val="0"/>
          <w:color w:val="243447"/>
        </w:rPr>
        <w:t>Legacy direct process/file actions have been routed behind Combat. SOAR approval means permission to submit the exact request; it is not proof that the action occurred.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Workflow</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Boundary</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SOAR Queue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Approve/reject an exact proposal. Deduplication and request IDs prevent silent resubmission.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Manual suspend</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Builds an exact `suspend_process` contract and delegates to Combat; no direct psutil suspend.</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Top Talkers containment</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Revalidates PID birth, executable, and live peer, then submits typed containment.</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Mobile directives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Observe/delegate within current exact-response boundaries; no broad cached rollback or false issuance claim.</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Posture guidance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AI-authored content is inert advisory text. Only deterministic vetted remediation may enter an action path.</w:t>
            </w:r>
          </w:p>
        </w:tc>
      </w:tr>
    </w:tbl>
    <w:p>
      <w:pPr>
        <w:spacing w:after="40"/>
      </w:pPr>
    </w:p>
    <w:p>
      <w:pPr>
        <w:pStyle w:val="Heading2"/>
      </w:pPr>
      <w:r>
        <w:t>8.1 Receipt reconciliation</w:t>
      </w:r>
    </w:p>
    <w:p>
      <w:pPr>
        <w:numPr>
          <w:ilvl w:val="0"/>
          <w:numId w:val="10"/>
        </w:numPr>
      </w:pPr>
      <w:r>
        <w:rPr>
          <w:rFonts w:ascii="Calibri" w:hAnsi="Calibri" w:eastAsia="Calibri"/>
          <w:color w:val="243447"/>
        </w:rPr>
        <w:t>Match the exact queue request ID, event/action identity, and trusted Combat producer.</w:t>
      </w:r>
    </w:p>
    <w:p>
      <w:pPr>
        <w:numPr>
          <w:ilvl w:val="0"/>
          <w:numId w:val="10"/>
        </w:numPr>
      </w:pPr>
      <w:r>
        <w:rPr>
          <w:rFonts w:ascii="Calibri" w:hAnsi="Calibri" w:eastAsia="Calibri"/>
          <w:color w:val="243447"/>
        </w:rPr>
        <w:t>Require a valid signed receipt; unsigned lookalikes cannot close the queue.</w:t>
      </w:r>
    </w:p>
    <w:p>
      <w:pPr>
        <w:numPr>
          <w:ilvl w:val="0"/>
          <w:numId w:val="10"/>
        </w:numPr>
      </w:pPr>
      <w:r>
        <w:rPr>
          <w:rFonts w:ascii="Calibri" w:hAnsi="Calibri" w:eastAsia="Calibri"/>
          <w:color w:val="243447"/>
        </w:rPr>
        <w:t>Preserve SUBMITTED as terminal for the submission step while separately displaying verified success, failure, or timeout.</w:t>
      </w:r>
    </w:p>
    <w:p>
      <w:pPr>
        <w:numPr>
          <w:ilvl w:val="0"/>
          <w:numId w:val="10"/>
        </w:numPr>
      </w:pPr>
      <w:r>
        <w:rPr>
          <w:rFonts w:ascii="Calibri" w:hAnsi="Calibri" w:eastAsia="Calibri"/>
          <w:color w:val="243447"/>
        </w:rPr>
        <w:t>Release deduplication after an authenticated admission failure so the operator can correct and resubmit deliberately.</w:t>
      </w:r>
    </w:p>
    <w:p>
      <w:pPr>
        <w:pStyle w:val="Heading1"/>
        <w:pageBreakBefore/>
      </w:pPr>
      <w:r>
        <w:t>9. ARIA, Ollama, and governed model packs</w:t>
      </w:r>
    </w:p>
    <w:p>
      <w:pPr>
        <w:pStyle w:val="Heading2"/>
      </w:pPr>
      <w:r>
        <w:t>9.1 ARIA authority</w:t>
      </w:r>
    </w:p>
    <w:p>
      <w:pPr>
        <w:numPr>
          <w:ilvl w:val="0"/>
          <w:numId w:val="10"/>
        </w:numPr>
      </w:pPr>
      <w:r>
        <w:rPr>
          <w:rFonts w:ascii="Calibri" w:hAnsi="Calibri" w:eastAsia="Calibri"/>
          <w:color w:val="243447"/>
        </w:rPr>
        <w:t>ARIA uses registered typed tools and evidence-aware runbook retrieval; arbitrary shell is not a tool.</w:t>
      </w:r>
    </w:p>
    <w:p>
      <w:pPr>
        <w:numPr>
          <w:ilvl w:val="0"/>
          <w:numId w:val="10"/>
        </w:numPr>
      </w:pPr>
      <w:r>
        <w:rPr>
          <w:rFonts w:ascii="Calibri" w:hAnsi="Calibri" w:eastAsia="Calibri"/>
          <w:color w:val="243447"/>
        </w:rPr>
        <w:t>Consequential actions require exact typed keyboard confirmation. Voice, gestures, callbacks, model output, and retrieved text cannot confirm a write.</w:t>
      </w:r>
    </w:p>
    <w:p>
      <w:pPr>
        <w:numPr>
          <w:ilvl w:val="0"/>
          <w:numId w:val="10"/>
        </w:numPr>
      </w:pPr>
      <w:r>
        <w:rPr>
          <w:rFonts w:ascii="Calibri" w:hAnsi="Calibri" w:eastAsia="Calibri"/>
          <w:color w:val="243447"/>
        </w:rPr>
        <w:t>Untrusted pages, email, imported reports, runbooks, and model responses may influence quoted analysis but cannot rewrite tool or policy authority.</w:t>
      </w:r>
    </w:p>
    <w:p>
      <w:pPr>
        <w:numPr>
          <w:ilvl w:val="0"/>
          <w:numId w:val="10"/>
        </w:numPr>
      </w:pPr>
      <w:r>
        <w:rPr>
          <w:rFonts w:ascii="Calibri" w:hAnsi="Calibri" w:eastAsia="Calibri"/>
          <w:color w:val="243447"/>
        </w:rPr>
        <w:t>Optional cloud/provider use is a separate consent surface with protected credentials and bounded sanitized evidence.</w:t>
      </w:r>
    </w:p>
    <w:p>
      <w:pPr>
        <w:pStyle w:val="Heading2"/>
      </w:pPr>
      <w:r>
        <w:t>9.2 Ollama transport attestation</w:t>
      </w:r>
    </w:p>
    <w:p>
      <w:r>
        <w:rPr>
          <w:rFonts w:ascii="Calibri" w:hAnsi="Calibri" w:eastAsia="Calibri"/>
          <w:i w:val="0"/>
          <w:color w:val="243447"/>
        </w:rPr>
        <w:t>Every approved Ollama API path uses the central transport boundary. It validates loopback destination, fixed API route, response bounds, no proxy, no redirect, listener ownership, process creation time, executable path, and signature/identity policy. A raw SDK or alternate direct transport is not an authorized bypass.</w:t>
      </w:r>
    </w:p>
    <w:p>
      <w:pPr>
        <w:pStyle w:val="Heading2"/>
      </w:pPr>
      <w:r>
        <w:t>9.3 Governed model and knowledge packs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74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Stage</w:t>
            </w:r>
          </w:p>
        </w:tc>
        <w:tc>
          <w:tcPr>
            <w:tcW w:type="dxa" w:w="74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Control</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Catalog</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Bounded approved manifest with publisher, exact digests, model metadata, resources, license, and evaluation profile</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Staging</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Confined path, size/time/free-space limits, no links/devices/path escapes/executable knowledge content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Verification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Manifest and content-addressed Ollama blobs must match exact expected identities</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Hardware/resource fit, safe/hostile evaluation, capabilities, version, and rollback target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Activation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Serialized atomic change with authenticated state and retained last known good</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Rollback/remove</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prior revision restoration and bounded unused-content cleanup</w:t>
            </w:r>
          </w:p>
        </w:tc>
      </w:tr>
    </w:tbl>
    <w:p>
      <w:pPr>
        <w:spacing w:after="40"/>
      </w:pPr>
    </w:p>
    <w:p>
      <w:r>
        <w:rPr>
          <w:rFonts w:ascii="Calibri" w:hAnsi="Calibri" w:eastAsia="Calibri"/>
          <w:i w:val="0"/>
          <w:color w:val="243447"/>
        </w:rPr>
        <w:t>The current approved pack is `aria-defense-llama3`. Live verification observed five exact blobs totaling 4,661,224,676 bytes. Pack installation improves approved local analysis/runbooks; it cannot download executable skills or grant new host actions.</w:t>
      </w:r>
    </w:p>
    <w:p>
      <w:pPr>
        <w:pStyle w:val="Heading1"/>
        <w:pageBreakBefore/>
      </w:pPr>
      <w:r>
        <w:t>10. Host Adaptation, resilience, and resource governance</w:t>
      </w:r>
    </w:p>
    <w:p>
      <w:pPr>
        <w:pStyle w:val="Heading2"/>
      </w:pPr>
      <w:r>
        <w:t>10.1 Host Adaptation</w:t>
      </w:r>
    </w:p>
    <w:p>
      <w:r>
        <w:rPr>
          <w:rFonts w:ascii="Calibri" w:hAnsi="Calibri" w:eastAsia="Calibri"/>
          <w:i w:val="0"/>
          <w:color w:val="243447"/>
        </w:rPr>
        <w:t>Host Adaptation inventories hardware, services, listeners, network context, effective Firewall ActiveStore profiles, and a bounded rule set. It captures baselines, reports drift and collector quality, previews closed firewall-only profiles, simulates without writes, applies only after exact confirmation and verified backup, and rolls back with signed artifact verification.</w:t>
      </w:r>
    </w:p>
    <w:p>
      <w:pPr>
        <w:pStyle w:val="Heading2"/>
      </w:pPr>
      <w:r>
        <w:t>10.2 Resilience</w:t>
      </w:r>
    </w:p>
    <w:p>
      <w:pPr>
        <w:numPr>
          <w:ilvl w:val="0"/>
          <w:numId w:val="10"/>
        </w:numPr>
      </w:pPr>
      <w:r>
        <w:rPr>
          <w:rFonts w:ascii="Calibri" w:hAnsi="Calibri" w:eastAsia="Calibri"/>
          <w:color w:val="243447"/>
        </w:rPr>
        <w:t>Watchdog and supervisor track liveness, use bounded restart/backoff, and surface safe mode rather than uncontrolled loops.</w:t>
      </w:r>
    </w:p>
    <w:p>
      <w:pPr>
        <w:numPr>
          <w:ilvl w:val="0"/>
          <w:numId w:val="10"/>
        </w:numPr>
      </w:pPr>
      <w:r>
        <w:rPr>
          <w:rFonts w:ascii="Calibri" w:hAnsi="Calibri" w:eastAsia="Calibri"/>
          <w:color w:val="243447"/>
        </w:rPr>
        <w:t>Event and storage lanes are bounded, batch where durability permits, and use durable fallback when asynchronous queues saturate.</w:t>
      </w:r>
    </w:p>
    <w:p>
      <w:pPr>
        <w:numPr>
          <w:ilvl w:val="0"/>
          <w:numId w:val="10"/>
        </w:numPr>
      </w:pPr>
      <w:r>
        <w:rPr>
          <w:rFonts w:ascii="Calibri" w:hAnsi="Calibri" w:eastAsia="Calibri"/>
          <w:color w:val="243447"/>
        </w:rPr>
        <w:t>Source Sandbox is inert, confines paths, rejects runtime installers, and does not hot-reload production code.</w:t>
      </w:r>
    </w:p>
    <w:p>
      <w:pPr>
        <w:numPr>
          <w:ilvl w:val="0"/>
          <w:numId w:val="10"/>
        </w:numPr>
      </w:pPr>
      <w:r>
        <w:rPr>
          <w:rFonts w:ascii="Calibri" w:hAnsi="Calibri" w:eastAsia="Calibri"/>
          <w:color w:val="243447"/>
        </w:rPr>
        <w:t>Shutdown helpers verify exact Angerona launch grammar and process creation time; test runners and substring lookalikes are excluded.</w:t>
      </w:r>
    </w:p>
    <w:p>
      <w:pPr>
        <w:pStyle w:val="Heading2"/>
      </w:pPr>
      <w:r>
        <w:t>10.3 Chill and active response</w:t>
      </w:r>
    </w:p>
    <w:p>
      <w:r>
        <w:rPr>
          <w:rFonts w:ascii="Calibri" w:hAnsi="Calibri" w:eastAsia="Calibri"/>
          <w:i w:val="0"/>
          <w:color w:val="243447"/>
        </w:rPr>
        <w:t>Chill reduces idle auxiliary work while keeping network, endpoint-event, USB, response, and resilience sentinels active. An authenticated hostile event restores full defense cadence. Combat uses mode-aware fresh process/network sensor ages so Maximum mode does not unintentionally inherit a slower default snapshot.</w:t>
      </w:r>
    </w:p>
    <w:p>
      <w:pPr>
        <w:pStyle w:val="Heading1"/>
        <w:pageBreakBefore/>
      </w:pPr>
      <w:r>
        <w:t>11. Red Team, Shark Attack, and After-Action Reports</w:t>
      </w:r>
    </w:p>
    <w:p>
      <w:r>
        <w:rPr>
          <w:rFonts w:ascii="Calibri" w:hAnsi="Calibri" w:eastAsia="Calibri"/>
          <w:i w:val="0"/>
          <w:color w:val="243447"/>
        </w:rPr>
        <w:t>The validation subsystem is defensive. It uses benign, bounded, reversible markers and safe local behaviors. It does not deliver a real exploit, steal credentials, establish persistence, scan remote systems, or evade protection.</w:t>
      </w:r>
    </w:p>
    <w:p>
      <w:pPr>
        <w:pStyle w:val="Heading2"/>
      </w:pPr>
      <w:r>
        <w:t>11.1 Campaign workflow</w:t>
      </w:r>
    </w:p>
    <w:p>
      <w:pPr>
        <w:numPr>
          <w:ilvl w:val="0"/>
          <w:numId w:val="15"/>
        </w:numPr>
      </w:pPr>
      <w:r>
        <w:rPr>
          <w:rFonts w:ascii="Calibri" w:hAnsi="Calibri" w:eastAsia="Calibri"/>
          <w:color w:val="243447"/>
        </w:rPr>
        <w:t>Choose intensity and campaign mode, then record the run ID and starting state.</w:t>
      </w:r>
    </w:p>
    <w:p>
      <w:pPr>
        <w:numPr>
          <w:ilvl w:val="0"/>
          <w:numId w:val="15"/>
        </w:numPr>
      </w:pPr>
      <w:r>
        <w:rPr>
          <w:rFonts w:ascii="Calibri" w:hAnsi="Calibri" w:eastAsia="Calibri"/>
          <w:color w:val="243447"/>
        </w:rPr>
        <w:t>Execute the non-destructive ATT&amp;CK stages while sensors and response paths remain active.</w:t>
      </w:r>
    </w:p>
    <w:p>
      <w:pPr>
        <w:numPr>
          <w:ilvl w:val="0"/>
          <w:numId w:val="15"/>
        </w:numPr>
      </w:pPr>
      <w:r>
        <w:rPr>
          <w:rFonts w:ascii="Calibri" w:hAnsi="Calibri" w:eastAsia="Calibri"/>
          <w:color w:val="243447"/>
        </w:rPr>
        <w:t>Review the AAR timeline, raw catches, correlated actions, signed receipts, verified closures, and cleanup state.</w:t>
      </w:r>
    </w:p>
    <w:p>
      <w:pPr>
        <w:numPr>
          <w:ilvl w:val="0"/>
          <w:numId w:val="15"/>
        </w:numPr>
      </w:pPr>
      <w:r>
        <w:rPr>
          <w:rFonts w:ascii="Calibri" w:hAnsi="Calibri" w:eastAsia="Calibri"/>
          <w:color w:val="243447"/>
        </w:rPr>
        <w:t>Apply only exact deterministic Purple Guard candidates or vetted genuine-host remediation.</w:t>
      </w:r>
    </w:p>
    <w:p>
      <w:pPr>
        <w:numPr>
          <w:ilvl w:val="0"/>
          <w:numId w:val="15"/>
        </w:numPr>
      </w:pPr>
      <w:r>
        <w:rPr>
          <w:rFonts w:ascii="Calibri" w:hAnsi="Calibri" w:eastAsia="Calibri"/>
          <w:color w:val="243447"/>
        </w:rPr>
        <w:t>Run a fresh technique-bound campaign. Only new evidence can close a gap; a later miss reopens it.</w:t>
      </w:r>
    </w:p>
    <w:p>
      <w:pPr>
        <w:numPr>
          <w:ilvl w:val="0"/>
          <w:numId w:val="15"/>
        </w:numPr>
      </w:pPr>
      <w:r>
        <w:rPr>
          <w:rFonts w:ascii="Calibri" w:hAnsi="Calibri" w:eastAsia="Calibri"/>
          <w:color w:val="243447"/>
        </w:rPr>
        <w:t>Clean exact run-owned artifacts and verify no Combat firewall rules, tagged probes, or active reversible records remain.</w:t>
      </w:r>
    </w:p>
    <w:p>
      <w:pPr>
        <w:pStyle w:val="Heading2"/>
      </w:pPr>
      <w:r>
        <w:t>11.2 Maximum validation</w:t>
      </w:r>
    </w:p>
    <w:p>
      <w:pPr>
        <w:pStyle w:val="CodeBlock"/>
        <w:keepLines/>
      </w:pPr>
      <w:r>
        <w:rPr>
          <w:rFonts w:ascii="Consolas" w:hAnsi="Consolas" w:eastAsia="Consolas"/>
          <w:color w:val="0B2545"/>
          <w:sz w:val="18"/>
        </w:rPr>
        <w:t>run-adversary-combat-validation.bat</w:t>
      </w:r>
    </w:p>
    <w:p>
      <w:r>
        <w:rPr>
          <w:rFonts w:ascii="Calibri" w:hAnsi="Calibri" w:eastAsia="Calibri"/>
          <w:i w:val="0"/>
          <w:color w:val="243447"/>
        </w:rPr>
        <w:t>The final live campaign required five automatic rounds. The winning round recorded 52/52 detections, 52/52 responses, 13/13 action contracts, and 13/13 verified closures, with resilience PASS. Post-cleanup state was empty and journal integrity remained valid. This proves the tested campaign, not every possible attack.</w:t>
      </w:r>
    </w:p>
    <w:p>
      <w:pPr>
        <w:pStyle w:val="Heading1"/>
        <w:pageBreakBefore/>
      </w:pPr>
      <w:r>
        <w:t>12. Recovery, Undo, and emergency handling</w:t>
      </w:r>
    </w:p>
    <w:p>
      <w:pPr>
        <w:pStyle w:val="Heading2"/>
      </w:pPr>
      <w:r>
        <w:t>12.1 Normal Undo</w:t>
      </w:r>
    </w:p>
    <w:p>
      <w:pPr>
        <w:numPr>
          <w:ilvl w:val="0"/>
          <w:numId w:val="16"/>
        </w:numPr>
      </w:pPr>
      <w:r>
        <w:rPr>
          <w:rFonts w:ascii="Calibri" w:hAnsi="Calibri" w:eastAsia="Calibri"/>
          <w:color w:val="243447"/>
        </w:rPr>
        <w:t>Open Adversary Combat Action History and filter to verified reversible actions.</w:t>
      </w:r>
    </w:p>
    <w:p>
      <w:pPr>
        <w:numPr>
          <w:ilvl w:val="0"/>
          <w:numId w:val="16"/>
        </w:numPr>
      </w:pPr>
      <w:r>
        <w:rPr>
          <w:rFonts w:ascii="Calibri" w:hAnsi="Calibri" w:eastAsia="Calibri"/>
          <w:color w:val="243447"/>
        </w:rPr>
        <w:t>Select one exact action or choose Undo all. Review target, action, origin, and current state.</w:t>
      </w:r>
    </w:p>
    <w:p>
      <w:pPr>
        <w:numPr>
          <w:ilvl w:val="0"/>
          <w:numId w:val="16"/>
        </w:numPr>
      </w:pPr>
      <w:r>
        <w:rPr>
          <w:rFonts w:ascii="Calibri" w:hAnsi="Calibri" w:eastAsia="Calibri"/>
          <w:color w:val="243447"/>
        </w:rPr>
        <w:t>Submit Undo. Combat revalidates journal integrity and current target constraints before reversal.</w:t>
      </w:r>
    </w:p>
    <w:p>
      <w:pPr>
        <w:numPr>
          <w:ilvl w:val="0"/>
          <w:numId w:val="16"/>
        </w:numPr>
      </w:pPr>
      <w:r>
        <w:rPr>
          <w:rFonts w:ascii="Calibri" w:hAnsi="Calibri" w:eastAsia="Calibri"/>
          <w:color w:val="243447"/>
        </w:rPr>
        <w:t>Confirm the rollback postcondition and the signed Undone receipt. A button is disabled when no eligible action exists.</w:t>
      </w:r>
    </w:p>
    <w:p>
      <w:pPr>
        <w:pStyle w:val="Heading2"/>
      </w:pPr>
      <w:r>
        <w:t>12.2 Crash recovery and mutation circuit</w:t>
      </w:r>
    </w:p>
    <w:p>
      <w:r>
        <w:rPr>
          <w:rFonts w:ascii="Calibri" w:hAnsi="Calibri" w:eastAsia="Calibri"/>
          <w:i w:val="0"/>
          <w:color w:val="243447"/>
        </w:rPr>
        <w:t>At startup, Combat verifies its journal and reconciles incomplete intents. An action with an unproven commit or compensation becomes recovery-required. The mutation circuit blocks later actions until the orphan is resolved or the operator deliberately performs the exact documented recovery. Irreversible commit loss disarms Combat rather than pretending success.</w:t>
      </w:r>
    </w:p>
    <w:p>
      <w:pPr>
        <w:pStyle w:val="Heading2"/>
      </w:pPr>
      <w:r>
        <w:t>12.3 Emergency checks</w:t>
      </w:r>
    </w:p>
    <w:p>
      <w:pPr>
        <w:pStyle w:val="CodeBlock"/>
        <w:keepLines/>
      </w:pPr>
      <w:r>
        <w:rPr>
          <w:rFonts w:ascii="Consolas" w:hAnsi="Consolas" w:eastAsia="Consolas"/>
          <w:color w:val="0B2545"/>
          <w:sz w:val="18"/>
        </w:rPr>
        <w:t># Review current Combat validation and cleanup evidence</w:t>
        <w:br/>
        <w:t>run-adversary-combat-validation.bat</w:t>
        <w:br/>
        <w:br/>
        <w:t># Run complete application checks</w:t>
        <w:br/>
        <w:t>python tools/selfcheck.py</w:t>
        <w:br/>
        <w:t>run-selfcheck.bat</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Do not improvise: </w:t>
            </w:r>
            <w:r>
              <w:rPr>
                <w:rFonts w:ascii="Calibri" w:hAnsi="Calibri" w:eastAsia="Calibri"/>
                <w:color w:val="243447"/>
              </w:rPr>
              <w:t>Do not delete the journal, bulk-delete firewall policy, kill processes by name, or move protected evidence to clear an error. Preserve the signed record and recover the exact action target.</w:t>
            </w:r>
          </w:p>
        </w:tc>
      </w:tr>
    </w:tbl>
    <w:p>
      <w:pPr>
        <w:spacing w:after="40"/>
      </w:pPr>
    </w:p>
    <w:p>
      <w:pPr>
        <w:pStyle w:val="Heading1"/>
        <w:pageBreakBefore/>
      </w:pPr>
      <w:r>
        <w:t>13. Validation and release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450"/>
        <w:gridCol w:w="6910"/>
      </w:tblGrid>
      <w:tr>
        <w:trPr>
          <w:tblHeader w:val="true"/>
        </w:trPr>
        <w:tc>
          <w:tcPr>
            <w:tcW w:type="dxa" w:w="2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Gate</w:t>
            </w:r>
          </w:p>
        </w:tc>
        <w:tc>
          <w:tcPr>
            <w:tcW w:type="dxa" w:w="69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Final result</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Full pytest</w:t>
            </w:r>
          </w:p>
        </w:tc>
        <w:tc>
          <w:tcPr>
            <w:tcW w:type="dxa" w:w="6910"/>
            <w:vAlign w:val="center"/>
            <w:tcMar>
              <w:top w:w="80" w:type="dxa"/>
              <w:bottom w:w="80" w:type="dxa"/>
              <w:start w:w="120" w:type="dxa"/>
              <w:end w:w="120" w:type="dxa"/>
            </w:tcMar>
          </w:tcPr>
          <w:p>
            <w:r>
              <w:t>1,308 collected across 201 files; 1,305 passed; 3 intentional skips; 0 failed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Compile</w:t>
            </w:r>
          </w:p>
        </w:tc>
        <w:tc>
          <w:tcPr>
            <w:tcW w:type="dxa" w:w="6910"/>
            <w:shd w:fill="FAFBFC"/>
            <w:vAlign w:val="center"/>
            <w:tcMar>
              <w:top w:w="80" w:type="dxa"/>
              <w:bottom w:w="80" w:type="dxa"/>
              <w:start w:w="120" w:type="dxa"/>
              <w:end w:w="120" w:type="dxa"/>
            </w:tcMar>
          </w:tcPr>
          <w:p>
            <w:r>
              <w:t>310/310 product Python files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Static/runtime quality</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Ruff, imports, discovery, duplicate name/code, and patch-integrity gates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Module self-tests</w:t>
            </w:r>
          </w:p>
        </w:tc>
        <w:tc>
          <w:tcPr>
            <w:tcW w:type="dxa" w:w="6910"/>
            <w:shd w:fill="FAFBFC"/>
            <w:vAlign w:val="center"/>
            <w:tcMar>
              <w:top w:w="80" w:type="dxa"/>
              <w:bottom w:w="80" w:type="dxa"/>
              <w:start w:w="120" w:type="dxa"/>
              <w:end w:w="120" w:type="dxa"/>
            </w:tcMar>
          </w:tcPr>
          <w:p>
            <w:r>
              <w:t>48 genuine pass; 0 genuine fail; 13 expected inactive; 8 platform/operator skips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Core/Shark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20/20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15/15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Application selfcheck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26/26 direct and 26/26 batch</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Dependency audit</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pip-audit reported no known vulnerabilities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negative controls</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128/128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Combat winning round</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52/52 detect; 52/52 respond; 13/13 contracts; 13/13 verified closure; resilience PASS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Live cleanup</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0 active reversible; 0 Angerona-Combat firewall rules; 0 tagged probes; blank integrity error; 0 legacy unsigned; 2,220 signed records</w:t>
            </w:r>
          </w:p>
        </w:tc>
      </w:tr>
      <w:tr>
        <w:tc>
          <w:tcPr>
            <w:tcW w:type="dxa" w:w="2450"/>
          </w:tcPr>
          <w:p>
            <w:r>
              <w:t>App Control evidence</w:t>
            </w:r>
          </w:p>
        </w:tc>
        <w:tc>
          <w:tcPr>
            <w:tcW w:type="dxa" w:w="6910"/>
          </w:tcPr>
          <w:p>
            <w:r>
              <w:t>35/35 focused; live read-only sample 256/256 parsed and 107/107 complete correlations; independent late-clear fixture replayed 6/6 exactly once</w:t>
            </w:r>
          </w:p>
        </w:tc>
      </w:tr>
    </w:tbl>
    <w:p>
      <w:pPr>
        <w:spacing w:after="40"/>
      </w:pPr>
    </w:p>
    <w:p>
      <w:pPr>
        <w:pStyle w:val="Heading2"/>
      </w:pPr>
      <w:r>
        <w:t>13.1 Final bug closures</w:t>
      </w:r>
    </w:p>
    <w:p>
      <w:pPr/>
      <w:r>
        <w:t>App Control signature cardinality, restart persistence, hard bounds, path privacy, retained-range gaps, clear/refill, and checkpoint timing races now have deterministic regression coverage.</w:t>
      </w:r>
    </w:p>
    <w:p>
      <w:pPr/>
      <w:r>
        <w:t>Selfcheck uses structured skip classification and an explicit stopped-module allowlist; incidental timeout text and unknown stopped states cannot waive a real failure.</w:t>
      </w:r>
    </w:p>
    <w:p>
      <w:pPr/>
      <w:r>
        <w:t>Contextual Info, Settings source sandboxes, and the Red Team editor fail soft. A ContextInfo-owned timer closes cleanly during rapid heatmap/upgrade shutdown, and the ATT&amp;CK heatmap remains usable at 800x600.</w:t>
      </w:r>
    </w:p>
    <w:p>
      <w:pPr>
        <w:numPr>
          <w:ilvl w:val="0"/>
          <w:numId w:val="10"/>
        </w:numPr>
      </w:pPr>
      <w:r>
        <w:rPr>
          <w:rFonts w:ascii="Calibri" w:hAnsi="Calibri" w:eastAsia="Calibri"/>
          <w:color w:val="243447"/>
        </w:rPr>
        <w:t>Stale exact-contract test fixtures now prove signed authority and include uncontracted negative cases.</w:t>
      </w:r>
    </w:p>
    <w:p>
      <w:pPr>
        <w:numPr>
          <w:ilvl w:val="0"/>
          <w:numId w:val="10"/>
        </w:numPr>
      </w:pPr>
      <w:r>
        <w:rPr>
          <w:rFonts w:ascii="Calibri" w:hAnsi="Calibri" w:eastAsia="Calibri"/>
          <w:color w:val="243447"/>
        </w:rPr>
        <w:t>Combat Undo controls disable correctly on empty or unverified-only history.</w:t>
      </w:r>
    </w:p>
    <w:p>
      <w:pPr>
        <w:numPr>
          <w:ilvl w:val="0"/>
          <w:numId w:val="10"/>
        </w:numPr>
      </w:pPr>
      <w:r>
        <w:rPr>
          <w:rFonts w:ascii="Calibri" w:hAnsi="Calibri" w:eastAsia="Calibri"/>
          <w:color w:val="243447"/>
        </w:rPr>
        <w:t>Posture advisory paths persist while the output remains unconditionally non-executable.</w:t>
      </w:r>
    </w:p>
    <w:p>
      <w:pPr>
        <w:numPr>
          <w:ilvl w:val="0"/>
          <w:numId w:val="10"/>
        </w:numPr>
      </w:pPr>
      <w:r>
        <w:rPr>
          <w:rFonts w:ascii="Calibri" w:hAnsi="Calibri" w:eastAsia="Calibri"/>
          <w:color w:val="243447"/>
        </w:rPr>
        <w:t>Red Team rapid reruns snapshot and clean exact prior run artifacts in the correct order.</w:t>
      </w:r>
    </w:p>
    <w:p>
      <w:pPr>
        <w:numPr>
          <w:ilvl w:val="0"/>
          <w:numId w:val="10"/>
        </w:numPr>
      </w:pPr>
      <w:r>
        <w:rPr>
          <w:rFonts w:ascii="Calibri" w:hAnsi="Calibri" w:eastAsia="Calibri"/>
          <w:color w:val="243447"/>
        </w:rPr>
        <w:t>SOAR receipt reconciliation proves signed success, failure, timeout, and unsigned-lookalike refusal.</w:t>
      </w:r>
    </w:p>
    <w:p>
      <w:pPr>
        <w:numPr>
          <w:ilvl w:val="0"/>
          <w:numId w:val="10"/>
        </w:numPr>
      </w:pPr>
      <w:r>
        <w:rPr>
          <w:rFonts w:ascii="Calibri" w:hAnsi="Calibri" w:eastAsia="Calibri"/>
          <w:color w:val="243447"/>
        </w:rPr>
        <w:t>Selfcheck now verifies inert model advice instead of expecting execution.</w:t>
      </w:r>
    </w:p>
    <w:p>
      <w:r>
        <w:rPr>
          <w:rFonts w:ascii="Calibri" w:hAnsi="Calibri" w:eastAsia="Calibri"/>
          <w:i w:val="0"/>
          <w:color w:val="243447"/>
        </w:rPr>
        <w:t>The three skipped pytest cases are intentional platform gates. Expected inactive module results identify stopped sensors, idle/unarmed SOAR or Combat, and unavailable optional Ollama; they are not hidden failures.</w:t>
      </w:r>
    </w:p>
    <w:p>
      <w:pPr>
        <w:pStyle w:val="Heading1"/>
        <w:pageBreakBefore/>
      </w:pPr>
      <w:r>
        <w:t>14. Performance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600"/>
        <w:gridCol w:w="2600"/>
        <w:gridCol w:w="4160"/>
      </w:tblGrid>
      <w:tr>
        <w:trPr>
          <w:tblHeader w:val="true"/>
        </w:trPr>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Change</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Measured result</w:t>
            </w:r>
          </w:p>
        </w:tc>
        <w:tc>
          <w:tcPr>
            <w:tcW w:type="dxa" w:w="41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Preserved boundary</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Runbook BM25 pre-index</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25.5x real index; 4.38x synthetic</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score/ranking equivalence</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ETW PID/name LRU</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92.2% lower peak tracked allocation</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4,096 entries, live-parent fallback, PID reuse</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Upgrade Console async snapshots</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~0.036 ms Qt submission for 50 ms read</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Qt-owned render, single-flight coalescing</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loopback validation</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2.16x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Hostname resolution and full call-time Ollama attestation retained</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Ransomware normalization</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6.91x faster at 100,000 records</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Same-directory entropy/rename authority unchanged</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Network novelty expiry</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1.88x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Cadence, freshness, Community ID, and cap unchanged</w:t>
            </w:r>
          </w:p>
        </w:tc>
      </w:tr>
    </w:tbl>
    <w:p>
      <w:pPr>
        <w:spacing w:after="40"/>
      </w:pPr>
    </w:p>
    <w:p>
      <w:pPr>
        <w:pStyle w:val="Heading2"/>
      </w:pPr>
      <w:r>
        <w:t>14.1 Deliberately deferred optimizations</w:t>
      </w:r>
    </w:p>
    <w:p>
      <w:pPr>
        <w:numPr>
          <w:ilvl w:val="0"/>
          <w:numId w:val="10"/>
        </w:numPr>
      </w:pPr>
      <w:r>
        <w:rPr>
          <w:rFonts w:ascii="Calibri" w:hAnsi="Calibri" w:eastAsia="Calibri"/>
          <w:color w:val="243447"/>
        </w:rPr>
        <w:t>Signed Combat journal segmentation remains proposed until forged-prefix, crash-between-segment, rotation, recovery, and old-action Undo tests exist.</w:t>
      </w:r>
    </w:p>
    <w:p>
      <w:pPr>
        <w:numPr>
          <w:ilvl w:val="0"/>
          <w:numId w:val="10"/>
        </w:numPr>
      </w:pPr>
      <w:r>
        <w:rPr>
          <w:rFonts w:ascii="Calibri" w:hAnsi="Calibri" w:eastAsia="Calibri"/>
          <w:color w:val="243447"/>
        </w:rPr>
        <w:t>Ollama listener ownership is not cached; a short cache could create a process/port replacement window. An OS-native listener-bound proof is the prerequisite.</w:t>
      </w:r>
    </w:p>
    <w:p>
      <w:pPr>
        <w:numPr>
          <w:ilvl w:val="0"/>
          <w:numId w:val="10"/>
        </w:numPr>
      </w:pPr>
      <w:r>
        <w:rPr>
          <w:rFonts w:ascii="Calibri" w:hAnsi="Calibri" w:eastAsia="Calibri"/>
          <w:color w:val="243447"/>
        </w:rPr>
        <w:t>First-run Sysmon seek and asynchronous initial ARIA manager/index construction remain proposed pending Windows-native cursor and startup lifecycle tests.</w:t>
      </w:r>
    </w:p>
    <w:p>
      <w:pPr>
        <w:pStyle w:val="Heading1"/>
        <w:pageBreakBefore/>
      </w:pPr>
      <w:r>
        <w:t>15. Security posture, limits, and external gates</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r>
              <w:t>Final red-team verdict: No open Critical, High, or Medium release blocker remains in the frozen v1.10.3 deterministic tree. Physical WEVT lifecycle soak and the external gates below remain outstanding acceptance work.</w:t>
            </w:r>
          </w:p>
        </w:tc>
      </w:tr>
    </w:tbl>
    <w:p>
      <w:pPr>
        <w:spacing w:after="40"/>
      </w:pPr>
    </w:p>
    <w:p>
      <w:pPr>
        <w:pStyle w:val="Heading2"/>
      </w:pPr>
      <w:r>
        <w:t>15.1 Non-blocking defense-in-depth item</w:t>
      </w:r>
    </w:p>
    <w:p>
      <w:r>
        <w:rPr>
          <w:rFonts w:ascii="Calibri" w:hAnsi="Calibri" w:eastAsia="Calibri"/>
          <w:i w:val="0"/>
          <w:color w:val="243447"/>
        </w:rPr>
        <w:t>R6-03 remains open as a Medium defense-in-depth improvement, not a release blocker: path-wide program firewall work would be stronger if Combat retained an OS process handle and a bounded executable-file identity lease for the full action interval. Current controls revalidate PID birth and executable identity, and the final audit found no reproducing unsafe mutation in this surface.</w:t>
      </w:r>
    </w:p>
    <w:p>
      <w:pPr>
        <w:pStyle w:val="Heading2"/>
      </w:pPr>
      <w:r>
        <w:t>15.2 External acceptance gates</w:t>
      </w:r>
    </w:p>
    <w:p>
      <w:pPr>
        <w:numPr>
          <w:ilvl w:val="0"/>
          <w:numId w:val="10"/>
        </w:numPr>
      </w:pPr>
      <w:r>
        <w:rPr>
          <w:rFonts w:ascii="Calibri" w:hAnsi="Calibri" w:eastAsia="Calibri"/>
          <w:color w:val="243447"/>
        </w:rPr>
        <w:t>Long elevated interactive soak with all sensors and Ollama enabled.</w:t>
      </w:r>
    </w:p>
    <w:p>
      <w:pPr>
        <w:numPr>
          <w:ilvl w:val="0"/>
          <w:numId w:val="10"/>
        </w:numPr>
      </w:pPr>
      <w:r>
        <w:rPr>
          <w:rFonts w:ascii="Calibri" w:hAnsi="Calibri" w:eastAsia="Calibri"/>
          <w:color w:val="243447"/>
        </w:rPr>
        <w:t>Physical sleep/resume and power-interruption recovery exercises.</w:t>
      </w:r>
    </w:p>
    <w:p>
      <w:pPr>
        <w:numPr>
          <w:ilvl w:val="0"/>
          <w:numId w:val="10"/>
        </w:numPr>
      </w:pPr>
      <w:r>
        <w:rPr>
          <w:rFonts w:ascii="Calibri" w:hAnsi="Calibri" w:eastAsia="Calibri"/>
          <w:color w:val="243447"/>
        </w:rPr>
        <w:t>Clean-machine install, upgrade, downgrade refusal, rollback, and uninstall matrices.</w:t>
      </w:r>
    </w:p>
    <w:p>
      <w:pPr>
        <w:numPr>
          <w:ilvl w:val="0"/>
          <w:numId w:val="10"/>
        </w:numPr>
      </w:pPr>
      <w:r>
        <w:rPr>
          <w:rFonts w:ascii="Calibri" w:hAnsi="Calibri" w:eastAsia="Calibri"/>
          <w:color w:val="243447"/>
        </w:rPr>
        <w:t>Publisher signing/notarization and native Linux/macOS release execution.</w:t>
      </w:r>
    </w:p>
    <w:p>
      <w:pPr>
        <w:numPr>
          <w:ilvl w:val="0"/>
          <w:numId w:val="10"/>
        </w:numPr>
      </w:pPr>
      <w:r>
        <w:rPr>
          <w:rFonts w:ascii="Calibri" w:hAnsi="Calibri" w:eastAsia="Calibri"/>
          <w:color w:val="243447"/>
        </w:rPr>
        <w:t>Fleet-scale throughput, multi-host operational testing, and third-party false-positive/efficacy evaluation.</w:t>
      </w:r>
    </w:p>
    <w:p>
      <w:pPr>
        <w:numPr>
          <w:ilvl w:val="0"/>
          <w:numId w:val="10"/>
        </w:numPr>
      </w:pPr>
      <w:r>
        <w:rPr>
          <w:rFonts w:ascii="Calibri" w:hAnsi="Calibri" w:eastAsia="Calibri"/>
          <w:color w:val="243447"/>
        </w:rPr>
        <w:t>Independent review of release artifacts, threat models, and measured detection outcomes.</w:t>
      </w:r>
    </w:p>
    <w:p>
      <w:pPr>
        <w:pStyle w:val="Heading2"/>
      </w:pPr>
      <w:r>
        <w:t>15.3 Current research backlog</w:t>
      </w:r>
    </w:p>
    <w:p>
      <w:r>
        <w:t>The ranked next work is a digest-pinned ATT&amp;CK v19.2 registry, a protected PowerShell Operational/4104 sensor, an EPSS v5 + KEV + SSVC host-risk queue, event-driven Task Scheduler/BITS persistence evidence, and an App Control policy-inventory lifecycle. These are proposals, not current product claims.</w:t>
      </w:r>
    </w:p>
    <w:p>
      <w:pPr>
        <w:pStyle w:val="Heading1"/>
        <w:pageBreakBefore/>
      </w:pPr>
      <w:r>
        <w:t>16. Project positioning and resume value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3500"/>
        <w:gridCol w:w="43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Audience</w:t>
            </w:r>
          </w:p>
        </w:tc>
        <w:tc>
          <w:tcPr>
            <w:tcW w:type="dxa" w:w="35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Likely reaction</w:t>
            </w:r>
          </w:p>
        </w:tc>
        <w:tc>
          <w:tcPr>
            <w:tcW w:type="dxa" w:w="43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What strengthens the claim</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Employers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Substantial portfolio project with unusually broad defensive scope</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Explain exact components you authored; demo one detection-to-Undo chain; discuss tradeoffs and limits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Developers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Impressive integration and test discipline; will inspect maintainability and architecture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Keep modules coherent, documentation current, commits reviewable, and dependencies reproducible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Blue team / SOC</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Useful lab for alert triage, ATT&amp;CK, cases, and defensive automation</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Provide false-positive data, realistic telemetry, repeatable AARs, and incident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Purple team</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Strong safe-validation framework, not an offensive platform</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Show negative controls, exact contracts, rerun closure, and complete cleanup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reviewers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Will challenge outage paths, confused deputies, TOCTOU, and evidence spoofing</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Lead with final findings, fixes, remaining R6-03, and immutable test evidence</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Enterprise buyers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procurement-ready without independent support and scale evidence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Add signing, clean-VM release matrices, fleet pilots, support model, efficacy testing, and audits</w:t>
            </w:r>
          </w:p>
        </w:tc>
      </w:tr>
    </w:tbl>
    <w:p>
      <w:pPr>
        <w:spacing w:after="40"/>
      </w:pPr>
    </w:p>
    <w:p>
      <w:r>
        <w:rPr>
          <w:rFonts w:ascii="Calibri" w:hAnsi="Calibri" w:eastAsia="Calibri"/>
          <w:i w:val="0"/>
          <w:color w:val="243447"/>
        </w:rPr>
        <w:t>Candid rating: rare and ambitious for a home-lab project, viable as an advanced local security lab, and valuable on a resume when the owner can explain and defend the engineering. It is not a unicorn or commercial contender yet. The differentiator is not the feature count alone; it is the combination of exact response authority, truthful receipts, recovery, red-team closure, performance evidence, and explicit limitations.</w:t>
      </w:r>
    </w:p>
    <w:p>
      <w:pPr>
        <w:pStyle w:val="Heading1"/>
        <w:pageBreakBefore/>
      </w:pPr>
      <w:r>
        <w:t>17. Version history and changelog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78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Version</w:t>
            </w:r>
          </w:p>
        </w:tc>
        <w:tc>
          <w:tcPr>
            <w:tcW w:type="dxa" w:w="78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Net change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1.0.x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Initial modular local security suite, EventBus, GUI, core monitoring, and local-AI direction.</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Reliability and security hardening; bounded operations and clearer module health.</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1.2.x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Behavioral tuning, VPN awareness, hardware integrity, and multi-node experiments.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1.3.x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Black Box, live sandbox, mobile and Linux/eBPF foundations, richer analysis UI.</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1.4.x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Decoupled resilience ecosystem, new detection/intelligence modules, and operator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Resolve Center, ATT&amp;CK heatmap, Red Team overhaul, active-defense and incident chain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1.6.x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Remediation routing, complete module inventory, self-test parity, and GUI polish.</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1.7.4</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Long-session responsiveness and bounded GUI/event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1.7.5</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Three-round security loop: AI/PowerShell gates, event integrity, MCP bounds, ELAT, TECT, YARA atomic activation, and measured cache improvements.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1.7.6-1.7.8</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assistant foundations, next-generation defensive MVPs, deterministic drill remediation, supervised trust, D-drive storage, and staged scanner wake-up.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1.8.0</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ARIA/RAG, Cycle 2 convergence, expanded security, storage, and operational controls.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1.9.1-1.9.3</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Crash hardening, ARIA console integration, self-install, weakness hunt, public-release and installer gates.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1.9.4</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Cycle 4 response-proof, privacy, release, and long-session performance pass.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1.10.0</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Control-plane, local fleet, evidence, setup/supply, Flow Dashboard, interoperability, Linux/multi-platform, and unattended-defense cycles.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1.10.1</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 workbench with audited firewall profiles, drift, preview, apply, automation, rollback, and recovery.</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1.10.2</w:t>
            </w:r>
          </w:p>
        </w:tc>
        <w:tc>
          <w:tcPr>
            <w:tcW w:type="dxa" w:w="7810"/>
            <w:shd w:fill="FAFBFC"/>
            <w:vAlign w:val="center"/>
            <w:tcMar>
              <w:top w:w="80" w:type="dxa"/>
              <w:bottom w:w="80" w:type="dxa"/>
              <w:start w:w="120" w:type="dxa"/>
              <w:end w:w="120" w:type="dxa"/>
            </w:tcMar>
          </w:tcPr>
          <w:p>
            <w:r>
              <w:t>Governed autonomous Combat; signed exact contracts and receipts; typed ARIA; verified llama3 pack; Ollama process/path attestation; Sysmon 1-29+255; Community ID v1; OCSF 1.8; trust, credential, semantic-response, recovery, and performance hardening; frozen 1,258-pass gate.</w:t>
            </w:r>
          </w:p>
        </w:tc>
      </w:tr>
      <w:tr>
        <w:tc>
          <w:tcPr>
            <w:tcW w:type="dxa" w:w="1550"/>
          </w:tcPr>
          <w:p>
            <w:r>
              <w:t>1.10.3</w:t>
            </w:r>
          </w:p>
        </w:tc>
        <w:tc>
          <w:tcPr>
            <w:tcW w:type="dxa" w:w="7810"/>
          </w:tcPr>
          <w:p>
            <w:r>
              <w:t>Authenticated App Control decision/signature evidence; clear/refill and restart continuity; exhaustive UI/sandbox contracts; fail-soft shutdown fixes; truthful selfcheck policy; 1,305-pass frozen gate.</w:t>
            </w:r>
          </w:p>
        </w:tc>
      </w:tr>
    </w:tbl>
    <w:p>
      <w:pPr>
        <w:spacing w:after="40"/>
      </w:pPr>
    </w:p>
    <w:p>
      <w:pPr>
        <w:pStyle w:val="Heading2"/>
      </w:pPr>
      <w:r>
        <w:t>17.1 v1.10.2 loop disposition</w:t>
      </w:r>
    </w:p>
    <w:p>
      <w:pPr>
        <w:numPr>
          <w:ilvl w:val="0"/>
          <w:numId w:val="10"/>
        </w:numPr>
      </w:pPr>
      <w:r>
        <w:rPr>
          <w:rFonts w:ascii="Calibri" w:hAnsi="Calibri" w:eastAsia="Calibri"/>
          <w:color w:val="243447"/>
        </w:rPr>
        <w:t>Research ranked current open-source and standards gaps without claiming parity. Built items are separated from proposals.</w:t>
      </w:r>
    </w:p>
    <w:p>
      <w:pPr>
        <w:numPr>
          <w:ilvl w:val="0"/>
          <w:numId w:val="10"/>
        </w:numPr>
      </w:pPr>
      <w:r>
        <w:rPr>
          <w:rFonts w:ascii="Calibri" w:hAnsi="Calibri" w:eastAsia="Calibri"/>
          <w:color w:val="243447"/>
        </w:rPr>
        <w:t>The release audit found broad raw-response, path race, direct SOAR/mobile action, source custody, and Ollama owner gaps; remediation narrowed every mutation to exact signed authority.</w:t>
      </w:r>
    </w:p>
    <w:p>
      <w:pPr>
        <w:numPr>
          <w:ilvl w:val="0"/>
          <w:numId w:val="10"/>
        </w:numPr>
      </w:pPr>
      <w:r>
        <w:rPr>
          <w:rFonts w:ascii="Calibri" w:hAnsi="Calibri" w:eastAsia="Calibri"/>
          <w:color w:val="243447"/>
        </w:rPr>
        <w:t>The semantic re-audit closed LSASS/VSS spoofing, cross-directory ransomware escalation, commit/recovery, model-advice execution, cleanup, helper, Top Talkers, and SOAR receipt gaps.</w:t>
      </w:r>
    </w:p>
    <w:p>
      <w:pPr>
        <w:numPr>
          <w:ilvl w:val="0"/>
          <w:numId w:val="10"/>
        </w:numPr>
      </w:pPr>
      <w:r>
        <w:rPr>
          <w:rFonts w:ascii="Calibri" w:hAnsi="Calibri" w:eastAsia="Calibri"/>
          <w:color w:val="243447"/>
        </w:rPr>
        <w:t>The frozen QA pass closed six low-risk regressions and recorded no release-blocking defect.</w:t>
      </w:r>
    </w:p>
    <w:p>
      <w:pPr>
        <w:pStyle w:val="Heading2"/>
      </w:pPr>
      <w:r>
        <w:t>17.2 Automatic Red Team validation correction (2026-08-25)</w:t>
      </w:r>
    </w:p>
    <w:p>
      <w:pPr/>
      <w:r>
        <w:t>A live Extreme GUI campaign exposed a launch-contract defect: Auto-contain armed the response tier but did not activate Purple Guard's fixed simulation detector pack. The report therefore recorded only 4/52 eligible detections. This was a real validation-path failure, not acceptable detector latency.</w:t>
      </w:r>
    </w:p>
    <w:p>
      <w:pPr>
        <w:pStyle w:val="ListBullet"/>
      </w:pPr>
      <w:r>
        <w:t>Corrected launch behavior: an Auto-contain Red Team run activates all 13 reviewed simulation-only technique signatures before the first marker is created. Activation preserves earlier signed candidate lineage and fails closed if the pack cannot be persisted.</w:t>
      </w:r>
    </w:p>
    <w:p>
      <w:pPr>
        <w:pStyle w:val="ListBullet"/>
      </w:pPr>
      <w:r>
        <w:t>Scope remains exact: the pack recognizes only inert _redteam_* artifacts in the dedicated or explicitly registered drill target and nonce-tagged idle processes. It does not convert suspicious filenames elsewhere into host-wide threat authority.</w:t>
      </w:r>
    </w:p>
    <w:p>
      <w:pPr>
        <w:pStyle w:val="ListBullet"/>
      </w:pPr>
      <w:r>
        <w:t>AAR correlation now prefers the exact Adversary Combat receipt with a verified postcondition over an earlier delegation wrapper. A real verified Combat receipt counts as both an applied action contract and a closure.</w:t>
      </w:r>
    </w:p>
    <w:p>
      <w:pPr>
        <w:pStyle w:val="ListBullet"/>
      </w:pPr>
      <w:r>
        <w:t>The first corrected live round achieved 52/52 detection but only 51/52 response and 12/13 closure, so the validator rejected it and automatically continued.</w:t>
      </w:r>
    </w:p>
    <w:p>
      <w:pPr>
        <w:pStyle w:val="ListBullet"/>
      </w:pPr>
      <w:r>
        <w:t>The second round, run redteam-1787697587-bf119f, achieved 52/52 detection, 52/52 automatic response, 13/13 action contracts, 13/13 verified closure, and a passing no-false-alert resilience control. Average detection was 0.57 seconds and average mitigation was 1.09 seconds.</w:t>
      </w:r>
    </w:p>
    <w:p>
      <w:pPr>
        <w:pStyle w:val="ListBullet"/>
      </w:pPr>
      <w:r>
        <w:t>Post-run cleanup verified 223 authenticated action records, zero active reversible actions, an empty journal error, zero recovery requirements, zero remaining drill markers, and zero tagged probe processes.</w:t>
      </w:r>
    </w:p>
    <w:p>
      <w:pPr>
        <w:pStyle w:val="ListBullet"/>
      </w:pPr>
      <w:r>
        <w:t>Regression evidence: 1,257 tests passed with three intentional platform skips; 308 Python files compiled; repository-wide Ruff checks passed; the headless application self-check passed 26/26; and 128 adversary-boundary negative controls passed before the live campaign.</w:t>
      </w:r>
    </w:p>
    <w:p>
      <w:pPr/>
      <w:r>
        <w:t>Interpretation limit: this proves 100% end-to-end handling of the defined 13-class, 52-step inert campaign. It is not a claim that any finite product detects every possible real-world threat.</w:t>
      </w:r>
    </w:p>
    <w:p>
      <w:pPr>
        <w:pStyle w:val="Heading2"/>
      </w:pPr>
      <w:r>
        <w:t>17.3 Tab-aware Settings code sandbox (2026-08-25)</w:t>
      </w:r>
    </w:p>
    <w:p>
      <w:pPr/>
      <w:r>
        <w:t>Every functional tab in Settings now exposes a tab-aware code-sandbox button. The button follows the selected tab, resolves its registered implementation files, opens isolated editable working copies, and places the editor at the corresponding tab-builder code.</w:t>
      </w:r>
    </w:p>
    <w:p>
      <w:pPr>
        <w:pStyle w:val="ListBullet"/>
      </w:pPr>
      <w:r>
        <w:t>Covered tabs: Overview, Information, General, System, Adversary Combat, Enterprise, ARIA, Trusted Processes, Mobile Integration, and API Keys.</w:t>
      </w:r>
    </w:p>
    <w:p>
      <w:pPr>
        <w:pStyle w:val="ListBullet"/>
      </w:pPr>
      <w:r>
        <w:t>Each sandbox includes the tab's related implementation files in a picker. For example, ARIA opens the Settings UI at _tab_aria and also exposes its assistant and configuration implementation files.</w:t>
      </w:r>
    </w:p>
    <w:p>
      <w:pPr>
        <w:pStyle w:val="ListBullet"/>
      </w:pPr>
      <w:r>
        <w:t>Check Syntax, Save Sandbox Copy, Reset Current Copy, and Reset All Sandbox Changes operate only on the private working copy. Installed Angerona code and live sensors are never rewritten or hot-loaded by this editor.</w:t>
      </w:r>
    </w:p>
    <w:p>
      <w:pPr>
        <w:pStyle w:val="ListBullet"/>
      </w:pPr>
      <w:r>
        <w:t>The Adversary Combat Settings topic now has a complete source mapping for its policy, action, receipt, history, and Undo implementation.</w:t>
      </w:r>
    </w:p>
    <w:p>
      <w:pPr>
        <w:pStyle w:val="ListBullet"/>
      </w:pPr>
      <w:r>
        <w:t>Verification: 49 focused Settings/UI regression tests passed; the full suite passed 1,258 tests with three intentional platform skips; Ruff and documentation-drift checks passed.</w:t>
      </w:r>
    </w:p>
    <w:p>
      <w:pPr>
        <w:pStyle w:val="Heading2"/>
      </w:pPr>
      <w:r>
        <w:t>17.4 v1.10.3 evidence and UI closure (2026-08-25)</w:t>
      </w:r>
    </w:p>
    <w:p>
      <w:pPr/>
      <w:r>
        <w:t>The highest-value researched evidence gap shipped as the App Control Decision Evidence sensor. Six adversarial design loops closed strict correlation, restart, privacy, clear/refill, and mid-checkpoint timing defects.</w:t>
      </w:r>
    </w:p>
    <w:p>
      <w:pPr/>
      <w:r>
        <w:t>The UI audit covered 46 construction paths, 46 tab sites, 244 button sites, 9 actions, 3 menus, and 32 Info topics. All 10 functional Settings tabs open their exact isolated sandbox sources; the focused UI gate passed 153/153.</w:t>
      </w:r>
    </w:p>
    <w:p>
      <w:pPr/>
      <w:r>
        <w:t>Final automated evidence is 1,305 passed and 3 intentional platform skips from 1,308 collected tests, 310/310 compiled product Python files, 68 modules with zero discovery errors, Ruff clean, and selfcheck 26/26.</w:t>
      </w:r>
    </w:p>
    <w:p>
      <w:pPr/>
      <w:r>
        <w:t>Limit: deterministic and read-only live-source evidence does not replace a physical Windows clear/rollover/restart/suspend-resume soak or independent real-world efficacy assessment.</w:t>
      </w:r>
    </w:p>
    <w:p>
      <w:pPr>
        <w:pStyle w:val="Heading1"/>
        <w:pageBreakBefore/>
      </w:pPr>
      <w:r>
        <w:t>Appendix A. Command reference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800"/>
        <w:gridCol w:w="6560"/>
      </w:tblGrid>
      <w:tr>
        <w:trPr>
          <w:tblHeader w:val="true"/>
        </w:trPr>
        <w:tc>
          <w:tcPr>
            <w:tcW w:type="dxa" w:w="2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Task</w:t>
            </w:r>
          </w:p>
        </w:tc>
        <w:tc>
          <w:tcPr>
            <w:tcW w:type="dxa" w:w="65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Command</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Launch source install</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start-angerona.bat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Compile gate</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tools/compile_check.py</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Test suite</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pytest -q</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Lint</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ruff check src tests tools</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selfcheck</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tools/selfcheck.py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Batch selfcheck</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run-selfcheck.bat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ARIA self-tests</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run_aria_selftests.py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Combat validation</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run-adversary-combat-validation.bat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 reviewed Python</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Repair-Angerona-Python.bat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Stop suite-owned processes</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kill-all-angerona.bat</w:t>
            </w:r>
          </w:p>
        </w:tc>
      </w:tr>
    </w:tbl>
    <w:p>
      <w:pPr>
        <w:spacing w:after="40"/>
      </w:pPr>
    </w:p>
    <w:p>
      <w:pPr>
        <w:pStyle w:val="Heading1"/>
      </w:pPr>
      <w:r>
        <w:t>Appendix B. Evidence sources</w:t>
      </w:r>
    </w:p>
    <w:p>
      <w:r>
        <w:rPr>
          <w:rFonts w:ascii="Calibri" w:hAnsi="Calibri" w:eastAsia="Calibri"/>
          <w:i w:val="0"/>
          <w:color w:val="243447"/>
        </w:rPr>
        <w:t>Repository evidence: analysis/loop/LOOP_LOG.md; innovation_ideas.md; round1-round7 findings, remediation, bug-test, and performance summaries; cycle7/round3 validation; final Combat validation artifacts; and the frozen source/tests.</w:t>
      </w:r>
    </w:p>
    <w:p>
      <w:pPr>
        <w:numPr>
          <w:ilvl w:val="0"/>
          <w:numId w:val="10"/>
        </w:numPr>
      </w:pPr>
      <w:r>
        <w:rPr>
          <w:rFonts w:ascii="Calibri" w:hAnsi="Calibri" w:eastAsia="Calibri"/>
          <w:color w:val="243447"/>
        </w:rPr>
        <w:t>Microsoft Sysmon events: https://learn.microsoft.com/en-us/windows/security/operating-system-security/sysmon/sysmon-events</w:t>
      </w:r>
    </w:p>
    <w:p>
      <w:pPr>
        <w:numPr>
          <w:ilvl w:val="0"/>
          <w:numId w:val="10"/>
        </w:numPr>
      </w:pPr>
      <w:r>
        <w:rPr>
          <w:rFonts w:ascii="Calibri" w:hAnsi="Calibri" w:eastAsia="Calibri"/>
          <w:color w:val="243447"/>
        </w:rPr>
        <w:t>Microsoft Event Log bookmarks: https://learn.microsoft.com/en-us/windows/win32/wes/bookmarking-events</w:t>
      </w:r>
    </w:p>
    <w:p>
      <w:pPr>
        <w:numPr>
          <w:ilvl w:val="0"/>
          <w:numId w:val="10"/>
        </w:numPr>
      </w:pPr>
      <w:r>
        <w:rPr>
          <w:rFonts w:ascii="Calibri" w:hAnsi="Calibri" w:eastAsia="Calibri"/>
          <w:color w:val="243447"/>
        </w:rPr>
        <w:t>OCSF schema: https://github.com/ocsf/ocsf-schema</w:t>
      </w:r>
    </w:p>
    <w:p>
      <w:pPr>
        <w:numPr>
          <w:ilvl w:val="0"/>
          <w:numId w:val="10"/>
        </w:numPr>
      </w:pPr>
      <w:r>
        <w:rPr>
          <w:rFonts w:ascii="Calibri" w:hAnsi="Calibri" w:eastAsia="Calibri"/>
          <w:color w:val="243447"/>
        </w:rPr>
        <w:t>Sigma specification: https://sigmahq.io/sigma-specification/</w:t>
      </w:r>
    </w:p>
    <w:p>
      <w:pPr>
        <w:numPr>
          <w:ilvl w:val="0"/>
          <w:numId w:val="10"/>
        </w:numPr>
      </w:pPr>
      <w:r>
        <w:rPr>
          <w:rFonts w:ascii="Calibri" w:hAnsi="Calibri" w:eastAsia="Calibri"/>
          <w:color w:val="243447"/>
        </w:rPr>
        <w:t>Ollama API and model documentation: https://docs.ollama.com/</w:t>
      </w:r>
    </w:p>
    <w:p>
      <w:pPr>
        <w:numPr>
          <w:ilvl w:val="0"/>
          <w:numId w:val="10"/>
        </w:numPr>
      </w:pPr>
      <w:r>
        <w:rPr>
          <w:rFonts w:ascii="Calibri" w:hAnsi="Calibri" w:eastAsia="Calibri"/>
          <w:color w:val="243447"/>
        </w:rPr>
        <w:t>SLSA artifact verification: https://slsa.dev/spec/v1.2/verifying-artifacts</w:t>
      </w:r>
    </w:p>
    <w:p>
      <w:pPr>
        <w:numPr>
          <w:ilvl w:val="0"/>
          <w:numId w:val="10"/>
        </w:numPr>
      </w:pPr>
      <w:r>
        <w:rPr>
          <w:rFonts w:ascii="Calibri" w:hAnsi="Calibri" w:eastAsia="Calibri"/>
          <w:color w:val="243447"/>
        </w:rPr>
        <w:t>MITRE ATT&amp;CK: https://attack.mitre.org/</w:t>
      </w:r>
    </w:p>
    <w:p>
      <w:pPr>
        <w:numPr>
          <w:ilvl w:val="0"/>
          <w:numId w:val="10"/>
        </w:numPr>
      </w:pPr>
      <w:r>
        <w:rPr>
          <w:rFonts w:ascii="Calibri" w:hAnsi="Calibri" w:eastAsia="Calibri"/>
          <w:color w:val="243447"/>
        </w:rPr>
        <w:t>NIST incident response and continuous monitoring publications: https://csrc.nist.gov/publications</w:t>
      </w:r>
    </w:p>
    <w:p>
      <w:pPr>
        <w:numPr>
          <w:ilvl w:val="0"/>
          <w:numId w:val="10"/>
        </w:numPr>
      </w:pPr>
      <w:r>
        <w:rPr>
          <w:rFonts w:ascii="Calibri" w:hAnsi="Calibri" w:eastAsia="Calibri"/>
          <w:color w:val="243447"/>
        </w:rPr>
        <w:t>OASIS STIX/TAXII: https://oasis-open.github.io/cti-documentation/</w:t>
      </w:r>
    </w:p>
    <w:p>
      <w:pPr>
        <w:numPr>
          <w:ilvl w:val="0"/>
          <w:numId w:val="10"/>
        </w:numPr>
      </w:pPr>
      <w:r>
        <w:rPr>
          <w:rFonts w:ascii="Calibri" w:hAnsi="Calibri" w:eastAsia="Calibri"/>
          <w:color w:val="243447"/>
        </w:rPr>
        <w:t>YARA-X: https://virustotal.github.io/yara-x/</w:t>
      </w:r>
    </w:p>
    <w:p>
      <w:r>
        <w:rPr>
          <w:rFonts w:ascii="Calibri" w:hAnsi="Calibri" w:eastAsia="Calibri"/>
          <w:i w:val="0"/>
          <w:color w:val="243447"/>
        </w:rPr>
        <w:t>Comparison conclusions are Angerona-specific engineering inferences. External sources describe their own products and standards; they do not certify this project.</w:t>
      </w:r>
    </w:p>
    <w:p>
      <w:pPr>
        <w:pStyle w:val="Heading1"/>
      </w:pPr>
      <w:r>
        <w:t>Appendix C. Glossary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Term</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 in Angerona</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Admitted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exact request passed policy and target checks; no success claim yet.</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journal recorded the post-action phase with valid chain integrity.</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expected observable postcondition was measured.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reversal of a verified reversible action, followed by rollback verification.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Response contract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Typed signed authority binding permitted actions and exact target identity.</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Collect or analyze evidence without native enforcement.</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Supported detection and governed response path for the platform.</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Expected inactive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deliberate stopped, unarmed, unavailable optional-service, or platform state; not a genuine self-test defect.</w:t>
            </w:r>
          </w:p>
        </w:tc>
      </w:tr>
    </w:tbl>
    <w:p>
      <w:pPr>
        <w:spacing w:after="40"/>
      </w:pPr>
    </w:p>
    <w:sectPr w:rsidR="00FC693F" w:rsidRPr="0006063C" w:rsidSect="00034616">
      <w:headerReference w:type="default" r:id="rId9"/>
      <w:footerReference w:type="default" r:id="rId10"/>
      <w:footerReference w:type="first" r:id="rId11"/>
      <w:head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920"/>
      <w:gridCol w:w="1440"/>
    </w:tblGrid>
    <w:tr>
      <w:tc>
        <w:tcPr>
          <w:tcW w:type="dxa" w:w="4680"/>
          <w:tcMar>
            <w:top w:w="0" w:type="dxa"/>
            <w:bottom w:w="0" w:type="dxa"/>
            <w:start w:w="0" w:type="dxa"/>
            <w:end w:w="0" w:type="dxa"/>
          </w:tcMar>
        </w:tcPr>
        <w:p>
          <w:pPr>
            <w:jc w:val="left"/>
          </w:pPr>
          <w:r>
            <w:rPr>
              <w:rFonts w:ascii="Calibri" w:hAnsi="Calibri" w:eastAsia="Calibri"/>
              <w:color w:val="667085"/>
              <w:sz w:val="17"/>
            </w:rPr>
            <w:t>Local-first defensive security reference</w:t>
          </w:r>
        </w:p>
      </w:tc>
      <w:tc>
        <w:tcPr>
          <w:tcW w:type="dxa" w:w="4680"/>
          <w:tcMar>
            <w:top w:w="0" w:type="dxa"/>
            <w:bottom w:w="0" w:type="dxa"/>
            <w:start w:w="0" w:type="dxa"/>
            <w:end w:w="0" w:type="dxa"/>
          </w:tcMar>
        </w:tcPr>
        <w:p>
          <w:pPr>
            <w:jc w:val="right"/>
          </w:pPr>
          <w:r>
            <w:rPr>
              <w:rFonts w:ascii="Calibri" w:hAnsi="Calibri" w:eastAsia="Calibri"/>
              <w:color w:val="667085"/>
              <w:sz w:val="17"/>
            </w:rPr>
            <w:t xml:space="preserve">Page </w:t>
          </w:r>
          <w:r>
            <w:rPr>
              <w:rFonts w:ascii="Calibri" w:hAnsi="Calibri" w:eastAsia="Calibri"/>
              <w:color w:val="667085"/>
              <w:sz w:val="18"/>
            </w:rPr>
            <w:fldChar w:fldCharType="begin"/>
            <w:instrText xml:space="preserve"> PAGE </w:instrText>
            <w:fldChar w:fldCharType="separate"/>
            <w:t>1</w: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67085"/>
        <w:sz w:val="17"/>
      </w:rPr>
      <w:t>Angerona Suite  |  v1.10.3  |  25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667085"/>
        <w:sz w:val="17"/>
      </w:rPr>
      <w:t>ANGERONA  |  MASTER MANUAL  |  v1.10.3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spacing w:after="360"/>
      <w:jc w:val="center"/>
    </w:pPr>
    <w:rPr>
      <w:rFonts w:ascii="Calibri" w:hAnsi="Calibri"/>
      <w:b/>
      <w:color w:val="C58B2A"/>
      <w:sz w:val="20"/>
    </w:rPr>
  </w:style>
  <w:style w:type="paragraph" w:customStyle="1" w:styleId="TableCitation">
    <w:name w:val="Table Citation"/>
    <w:pPr>
      <w:spacing w:before="80" w:after="80"/>
    </w:pPr>
    <w:rPr>
      <w:rFonts w:ascii="Calibri" w:hAnsi="Calibri"/>
      <w:i/>
      <w:color w:val="667085"/>
      <w:sz w:val="17"/>
    </w:rPr>
  </w:style>
  <w:style w:type="paragraph" w:customStyle="1" w:styleId="CodeBlock">
    <w:name w:val="Code Block"/>
    <w:pPr>
      <w:spacing w:before="60" w:after="120" w:line="252" w:lineRule="auto"/>
      <w:ind w:left="360" w:right="216"/>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Master Manual v1.10.3</dc:title>
  <dc:subject>Current architecture, operation, capability, validation, recovery, and history</dc:subject>
  <dc:creator>Angerona Project</dc:creator>
  <cp:keywords>Angerona, EDR, NDR, SOAR, DFIR, Adversary Combat, ARIA, Ollama</cp:keywords>
  <dc:description>Canonical manual; supersedes versioned capability and assessment Word files.</dc:description>
  <cp:lastModifiedBy/>
  <cp:revision>1</cp:revision>
  <dcterms:created xsi:type="dcterms:W3CDTF">2026-08-25T00:00:00Z</dcterms:created>
  <dcterms:modified xsi:type="dcterms:W3CDTF">2026-08-25T18:54:20Z</dcterms:modified>
  <cp:category/>
</cp:coreProperties>
</file>