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t>Cycle 9 current-development edition  |  1 August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t>12. Cycle 7 Enterprise Control-Plane Foundations</w:t>
      </w:r>
    </w:p>
    <w:p>
      <w:pPr>
        <w:pStyle w:val="ListBullet"/>
      </w:pPr>
      <w:r>
        <w:t>13. Cycle 8 Local Fleet Preview and Response Safety</w:t>
      </w:r>
    </w:p>
    <w:p>
      <w:pPr>
        <w:pStyle w:val="ListBullet"/>
      </w:pPr>
      <w:r>
        <w:t>14. Cycle 9 Security, Reliability, Performance, and Enterprise Evidence</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Local Fleet Preview identity, scoped Role-Based Access Control, signed policy, hunts, cases, and evidence are shipped foundations. Production mutual Transport Layer Security, OpenID Connect, cross-host high availability/search, publisher signing, and independent disaster recovery remain external gates.</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pStyle w:val="Heading1"/>
      </w:pPr>
      <w:r>
        <w:t>12. Cycle 7 Enterprise Control-Plane Foundations</w:t>
      </w:r>
    </w:p>
    <w:p>
      <w:pPr>
        <w:pStyle w:val="Heading1"/>
      </w:pPr>
      <w:r>
        <w:t>13. Cycle 8 Local Fleet Preview and Response Safety</w:t>
      </w:r>
    </w:p>
    <w:p>
      <w:pPr>
        <w:pStyle w:val="Heading1"/>
      </w:pPr>
      <w:r>
        <w:t>14. Cycle 9 Security, Reliability, Performance, and Enterprise Evidence</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The current local user-mode security-boundary matrix is complete. Its 74-test selection covers forged endpoint identity, signed policy and update content, authenticated receipts, After-Action Reports, tenant isolation, replay and expiry, path traversal and reparse points, untrusted extensions, and model prompt/tool abuse.</w:t>
      </w:r>
    </w:p>
    <w:p>
      <w:pPr>
        <w:pStyle w:val="ListBullet"/>
      </w:pPr>
      <w:r>
        <w:t>Initial endpoint enrollment now binds the stable device identifier to the enrolling Ed25519 public key. Identity and access state use a current-key signature, and rotation is accepted only against the caller's already-trusted device identifier and old public key. Malformed, expired, replayed, wrong-key, or modified envelopes fail closed.</w:t>
      </w:r>
    </w:p>
    <w:p>
      <w:pPr>
        <w:pStyle w:val="ListBullet"/>
      </w:pPr>
      <w:r>
        <w:t>External plugin catalogs are untrusted exact-schema input. Capability identifiers, portable one-file entrypoints, digests, state, timestamps, and catalog size are bounded; duplicate fields, traversal, aliases, symlink or reparse roots, and out-of-root quarantine paths are refused. Activation rebinds the verified capability identity, entrypoint, and source digest. Protected launch disables the unsigned-development override even if it was inherited from the user environment.</w:t>
      </w:r>
    </w:p>
    <w:p>
      <w:pPr>
        <w:pStyle w:val="ListBullet"/>
      </w:pPr>
      <w:r>
        <w:t>The Artificial Intelligence Security Broker now accepts only plain, finite, exact-schema JavaScript Object Notation with conclusions tied to known evidence. Typed tool requests receive a private broker Hash-based Message Authentication Code using Secure Hash Algorithm 256 authorization, expire after 1 to 300 seconds, and are consumed before handler entry. Forged, modified, cross-broker, expired, or replayed calls cannot invoke a handler; results are bounded JSON. Authenticated audit receipts can be minted only for a response validated by that broker.</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Telemetry Scanner process-start evidence now includes the resolved executable location, parent process name and identifier, and a bounded command line. Common inline credential, token, API-key, authorization, and bearer values are redacted before authenticated ring persistence. Only new process identifiers are enriched, preserving the lightweight recurring table-diff path. Access denied, process exited, and unavailable states are represented explicitly.</w:t>
      </w:r>
    </w:p>
    <w:p>
      <w:pPr>
        <w:pStyle w:val="ListBullet"/>
      </w:pPr>
      <w:r>
        <w:t>Alert Detail keeps the signed JSON as its source of truth and adds an Observed evidence panel for Event, Subject, Location, Parent, Command line, and Source. The strict two-kibibyte IPC slot accepts the enriched schema and normalizes legacy frames without fabricating evidence.</w:t>
      </w:r>
    </w:p>
    <w:p>
      <w:pPr>
        <w:pStyle w:val="ListBullet"/>
      </w:pPr>
      <w:r>
        <w:t>The universal open and close transition now covers later top-level Angerona dialogs globally, including legacy and indirect paths, reused hidden dialogs, Black Box, Watchdog and Scanner status windows, and standalone Sandbox and Upgrade Console processes. Overlapping windows remain masked as a live accent line until their serialized reveal; a close-time confirmation can open safely while its owner reverses. ARIA Voice and Microphone settings are explicitly routed from their source button. Tooltips, pop-up menus, and the holographic token retain their purpose-built motion, and reduced-motion settings remain authoritative.</w:t>
      </w:r>
    </w:p>
    <w:p>
      <w:pPr>
        <w:pStyle w:val="ListBullet"/>
      </w:pPr>
      <w:r>
        <w:t>Final repository evidence: 522 tests passed, 2 intentional platform-dependent skips, 0 failures; Python compilation, Ruff, and whitespace checks passed. The focused universal-window lifecycle gate passed 16 tests.</w:t>
      </w:r>
    </w:p>
    <w:p>
      <w:r>
        <w:br w:type="page"/>
      </w:r>
    </w:p>
    <w:p>
      <w:pPr>
        <w:pStyle w:val="Heading1"/>
      </w:pPr>
      <w:r>
        <w:t>Cycle 9. Security, Reliability, Performance, and Enterprise Evidence</w:t>
      </w:r>
    </w:p>
    <w:p>
      <w:r>
        <w:t>Verification date: 1 August 2026. This section records a five-loop engineering pass over security and privacy, crash recovery, sustained responsiveness, enterprise controls, and public-release evidence. Claims below describe shipped local behavior; production deployment dependencies remain explicit external gates.</w:t>
      </w:r>
    </w:p>
    <w:p>
      <w:pPr>
        <w:pStyle w:val="Heading2"/>
      </w:pPr>
      <w:r>
        <w:t>Security and privacy boundaries</w:t>
      </w:r>
    </w:p>
    <w:p>
      <w:pPr>
        <w:pStyle w:val="ListBullet"/>
      </w:pPr>
      <w:r>
        <w:t>Process-baseline trust now validates exact canonical executable paths, rejects redirection and reparse points, authenticates durable state, uses non-blocking lifecycle control, and keeps trust approval separate from observation.</w:t>
      </w:r>
    </w:p>
    <w:p>
      <w:pPr>
        <w:pStyle w:val="ListBullet"/>
      </w:pPr>
      <w:r>
        <w:t>A central outbound URL policy constrains schemes, credentials, host and address classes, redirects, request size, response size, and timeouts. Local model traffic is restricted to loopback and public retrieval rejects private, link-local, loopback, and metadata-service destinations.</w:t>
      </w:r>
    </w:p>
    <w:p>
      <w:pPr>
        <w:pStyle w:val="ListBullet"/>
      </w:pPr>
      <w:r>
        <w:t>Extensible Markup Language parsing uses hardened parsers and explicit document-size budgets. Product network callers no longer bypass the central transport boundary.</w:t>
      </w:r>
    </w:p>
    <w:p>
      <w:pPr>
        <w:pStyle w:val="ListBullet"/>
      </w:pPr>
      <w:r>
        <w:t>Startup and enterprise diagnostics retain exception type and impact without copying raw paths, credentials, prompts, responses, or host identifiers into public-safe evidence.</w:t>
      </w:r>
    </w:p>
    <w:p>
      <w:pPr>
        <w:pStyle w:val="Heading2"/>
      </w:pPr>
      <w:r>
        <w:t>Crash visibility and recovery</w:t>
      </w:r>
    </w:p>
    <w:p>
      <w:pPr>
        <w:pStyle w:val="ListBullet"/>
      </w:pPr>
      <w:r>
        <w:t>Optional service startup failures publish signed Startup Health evidence instead of disappearing in daemon threads. A protection-module loader failure is classified Critical because it can stop protection coverage.</w:t>
      </w:r>
    </w:p>
    <w:p>
      <w:pPr>
        <w:pStyle w:val="ListBullet"/>
      </w:pPr>
      <w:r>
        <w:t>Black Box text presentation, Settings save compatibility, dialog worker lifecycle, Watchdog restart state, and hidden-window timer behavior have deterministic regression coverage.</w:t>
      </w:r>
    </w:p>
    <w:p>
      <w:pPr>
        <w:pStyle w:val="ListBullet"/>
      </w:pPr>
      <w:r>
        <w:t>Failures remain degraded and observable rather than crashing the core. No recovery path receives a generic command shell or model authority.</w:t>
      </w:r>
    </w:p>
    <w:p>
      <w:pPr>
        <w:pStyle w:val="Heading2"/>
      </w:pPr>
      <w:r>
        <w:t>Sustained responsiveness and local model governance</w:t>
      </w:r>
    </w:p>
    <w:p>
      <w:pPr>
        <w:pStyle w:val="ListBullet"/>
      </w:pPr>
      <w:r>
        <w:t>World View no longer performs a synthetic model generation every eight seconds. It reads aggregate timing from the last real inference, avoiding continuous model wakeups and unnecessary processor use.</w:t>
      </w:r>
    </w:p>
    <w:p>
      <w:pPr>
        <w:pStyle w:val="ListBullet"/>
      </w:pPr>
      <w:r>
        <w:t>All Ollama generation routes through one guarded client with loopback-only transport, bounded request/response streams, redaction before display, safe errors, and aggregate-only diagnostics. Prompt and response bodies are not cached for performance reporting.</w:t>
      </w:r>
    </w:p>
    <w:p>
      <w:pPr>
        <w:pStyle w:val="ListBullet"/>
      </w:pPr>
      <w:r>
        <w:t>The Artificial Intelligence proxy moves upstream work off its event loop, bounds request bodies, and rejects invalid JSON. Cloud code synthesis is off by default and no longer places provider credentials in a URL.</w:t>
      </w:r>
    </w:p>
    <w:p>
      <w:pPr>
        <w:pStyle w:val="ListBullet"/>
      </w:pPr>
      <w:r>
        <w:t>Long-running histories, voice work, scanner queues, legacy defense queues, and diagnostic text widgets have fixed bounds and non-blocking overflow behavior. Hidden threat-intelligence polling stops until the window is shown again.</w:t>
      </w:r>
    </w:p>
    <w:p>
      <w:pPr>
        <w:pStyle w:val="ListBullet"/>
      </w:pPr>
      <w:r>
        <w:t>Closed asynchronous windows reject late completion without deleting live workers prematurely. The full lifecycle suite covers these boundaries.</w:t>
      </w:r>
    </w:p>
    <w:p>
      <w:pPr>
        <w:pStyle w:val="Heading2"/>
      </w:pPr>
      <w:r>
        <w:t>Runtime enterprise identity and readiness evidence</w:t>
      </w:r>
    </w:p>
    <w:p>
      <w:pPr>
        <w:pStyle w:val="ListBullet"/>
      </w:pPr>
      <w:r>
        <w:t>Enabling Fleet Preview creates or loads a protected per-endpoint Ed25519 identity, registers its stable public identity under the configured tenant, and stores the hostname only as a tenant-keyed token.</w:t>
      </w:r>
    </w:p>
    <w:p>
      <w:pPr>
        <w:pStyle w:val="ListBullet"/>
      </w:pPr>
      <w:r>
        <w:t>The authenticated preview remains loopback-only. It uses freshness, full-target request authentication, durable replay resistance, tenant-scoped inventory, deduplicated ingestion, quarantine and revocation enforcement, and authenticated receipts.</w:t>
      </w:r>
    </w:p>
    <w:p>
      <w:pPr>
        <w:pStyle w:val="ListBullet"/>
      </w:pPr>
      <w:r>
        <w:t>Enterprise Readiness assessment version 2 credits tested local identity, Role-Based Access Control, signed policy rollout, backup/restore, release, audit, privacy, integrity, and bounded-storage foundations. It separately lists production-only dependencies rather than treating them as local bugs.</w:t>
      </w:r>
    </w:p>
    <w:p>
      <w:pPr>
        <w:pStyle w:val="ListBullet"/>
      </w:pPr>
      <w:r>
        <w:t>Settings shows whether Fleet Preview is disabled, configured, or running, plus a low-cardinality endpoint-identity state and registered-device count. A deterministic Copy public-safe evidence action excludes hostnames, user names, paths, credentials, event payloads, and endpoint identifiers.</w:t>
      </w:r>
    </w:p>
    <w:p>
      <w:pPr>
        <w:pStyle w:val="Heading2"/>
      </w:pPr>
      <w:r>
        <w:t>Production deployment gates</w:t>
      </w:r>
    </w:p>
    <w:p>
      <w:pPr>
        <w:pStyle w:val="ListBullet"/>
      </w:pPr>
      <w:r>
        <w:t>Mutual Transport Layer Security (mTLS), external certificate authority custody, and preferably non-exportable hardware-backed endpoint keys.</w:t>
      </w:r>
    </w:p>
    <w:p>
      <w:pPr>
        <w:pStyle w:val="ListBullet"/>
      </w:pPr>
      <w:r>
        <w:t>Single Sign-On (SSO), OpenID Connect (OIDC), organization lifecycle, separation of duties, and an independently retained administrator ledger.</w:t>
      </w:r>
    </w:p>
    <w:p>
      <w:pPr>
        <w:pStyle w:val="ListBullet"/>
      </w:pPr>
      <w:r>
        <w:t>High-availability ingestion/search, independent-host backup and disaster-recovery drills, long-duration physical-host soak evidence, and external penetration testing.</w:t>
      </w:r>
    </w:p>
    <w:p>
      <w:pPr>
        <w:pStyle w:val="ListBullet"/>
      </w:pPr>
      <w:r>
        <w:t>Authenticode publisher identity, enforced repository rulesets, signed release promotion, and platform-vendor signing/notarization where required.</w:t>
      </w:r>
    </w:p>
    <w:p>
      <w:pPr>
        <w:pStyle w:val="ListBullet"/>
      </w:pPr>
      <w:r>
        <w:t>No local score or test result is a claim of enterprise certification, kernel tamper-proofing, or a production multi-tenant service.</w:t>
      </w:r>
    </w:p>
    <w:p>
      <w:pPr>
        <w:pStyle w:val="Heading2"/>
      </w:pPr>
      <w:r>
        <w:t>Final verification evidence</w:t>
      </w:r>
    </w:p>
    <w:p>
      <w:pPr>
        <w:pStyle w:val="ListBullet"/>
      </w:pPr>
      <w:r>
        <w:t>The authoritative serial Windows suite passes 556 tests with 2 intentional platform-dependent skips and 0 failures.</w:t>
      </w:r>
    </w:p>
    <w:p>
      <w:pPr>
        <w:pStyle w:val="ListBullet"/>
      </w:pPr>
      <w:r>
        <w:t>Python bytecode compilation and Ruff correctness checks pass. The release gate records dependency audit, documentation drift, unit tests, lint, and bytecode results as bounded content-addressed evidence.</w:t>
      </w:r>
    </w:p>
    <w:p>
      <w:pPr>
        <w:pStyle w:val="ListBullet"/>
      </w:pPr>
      <w:r>
        <w:t>The public-facing repository and documentation are scanned for tracked credentials, private keys, user-profile paths, databases, runtime state, and cache artifacts. Synthetic screenshots remain explicitly labeled.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9 consolidated 2026-08-01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