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t>Cycle 11 current-development edition  |  1 August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t>12. Cycle 7 Enterprise Control-Plane Foundations</w:t>
      </w:r>
    </w:p>
    <w:p>
      <w:pPr>
        <w:pStyle w:val="ListBullet"/>
      </w:pPr>
      <w:r>
        <w:t>13. Cycle 8 Local Fleet Preview and Response Safety</w:t>
      </w:r>
    </w:p>
    <w:p>
      <w:pPr>
        <w:pStyle w:val="ListBullet"/>
      </w:pPr>
      <w:r>
        <w:t>14. Cycle 9 Security, Reliability, Performance, and Enterprise Evidence</w:t>
      </w:r>
    </w:p>
    <w:p>
      <w:pPr>
        <w:pStyle w:val="ListBullet"/>
      </w:pPr>
      <w:r>
        <w:t>15. Cycle 10 Fleet Integrity and Access Governance</w:t>
      </w:r>
    </w:p>
    <w:p>
      <w:pPr>
        <w:pStyle w:val="ListBullet"/>
      </w:pPr>
      <w:r>
        <w:t>16. Cycle 11 Atomic Fleet Delivery</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Local Fleet Preview identity, scoped Role-Based Access Control, signed policy, hunts, cases, and evidence are shipped foundations. Production mutual Transport Layer Security, OpenID Connect, cross-host high availability/search, publisher signing, and independent disaster recovery remain external gates.</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pStyle w:val="Heading1"/>
      </w:pPr>
      <w:r>
        <w:t>12. Cycle 7 Enterprise Control-Plane Foundations</w:t>
      </w:r>
    </w:p>
    <w:p>
      <w:pPr>
        <w:pStyle w:val="Heading1"/>
      </w:pPr>
      <w:r>
        <w:t>13. Cycle 8 Local Fleet Preview and Response Safety</w:t>
      </w:r>
    </w:p>
    <w:p>
      <w:pPr>
        <w:pStyle w:val="Heading1"/>
      </w:pPr>
      <w:r>
        <w:t>14. Cycle 9 Security, Reliability, Performance, and Enterprise Evidence</w:t>
      </w:r>
    </w:p>
    <w:p>
      <w:pPr>
        <w:pStyle w:val="Heading1"/>
      </w:pPr>
      <w:r>
        <w:t>15. Cycle 10 Fleet Integrity and Access Governance</w:t>
      </w:r>
    </w:p>
    <w:p>
      <w:pPr>
        <w:pStyle w:val="Heading1"/>
      </w:pPr>
      <w:r>
        <w:t>16. Cycle 11 Atomic Fleet Delivery</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ListBullet"/>
      </w:pPr>
      <w:r>
        <w:t>The elevated source launcher validates its volume through the Windows DriveInfo API and requires a ready fixed drive. This replaces a blank PowerShell path-object DriveType property that incorrectly refused a valid D: checkout. Reparse-point, required-file, protected-key-custody, and independent Python source/interpreter checks remain fail closed.</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ListBullet"/>
      </w:pPr>
      <w:r>
        <w:t>Core Manager and peer Watchdog now use separate HMAC-authenticated atomic recovery ledgers. Dead and suspended components receive a privacy-minimized authenticated health snapshot before recovery.</w:t>
      </w:r>
    </w:p>
    <w:p>
      <w:pPr>
        <w:pStyle w:val="ListBullet"/>
      </w:pPr>
      <w:r>
        <w:t>Exponential restart backoff, rolling crash budgets, restart deadlines, diagnostic digests, and safe mode survive supervisor restarts. A forged ledger fails closed until an authenticated manual restart resets it; stopped heartbeats and signed stand-down remain stopped.</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Proof-driven drill remediation</w:t>
      </w:r>
    </w:p>
    <w:p>
      <w:pPr>
        <w:pStyle w:val="ListBullet"/>
      </w:pPr>
      <w:r>
        <w:t>The After-Action Report closure counter previously had no producer, which structurally kept simulated finding closure at zero. Closure now uses a durable lifecycle rather than a display-only flag.</w:t>
      </w:r>
    </w:p>
    <w:p>
      <w:pPr>
        <w:pStyle w:val="ListBullet"/>
      </w:pPr>
      <w:r>
        <w:t>Each unique actionable technique receives a typed action contract with exact detector and marker scope, preconditions, operator-reviewed authorization, safety checks, idempotency, verification expiry, and an exact rollback. The contract accepts no command, shell, script, code, or arbitrary executable field.</w:t>
      </w:r>
    </w:p>
    <w:p>
      <w:pPr>
        <w:pStyle w:val="ListBullet"/>
      </w:pPr>
      <w:r>
        <w:t>Installing a Purple Remediation Guard candidate and cleaning inert markers creates an HMAC-authenticated applied receipt. Applied does not mean fixed and cannot close the source run.</w:t>
      </w:r>
    </w:p>
    <w:p>
      <w:pPr>
        <w:pStyle w:val="ListBullet"/>
      </w:pPr>
      <w:r>
        <w:t>The VERIFIED_CLOSED state requires a fresh, technique-bound Purple Guard echo from a different run and after the action was applied. Wrong run, detector, technique, contract identifier or digest, pre-apply evidence, and tampered lifecycle state fail closed.</w:t>
      </w:r>
    </w:p>
    <w:p>
      <w:pPr>
        <w:pStyle w:val="ListBullet"/>
      </w:pPr>
      <w:r>
        <w:t>Application, verification, and exact-policy rollback produce standalone authenticated receipts. Rollback removes only the selected technique and preserves unrelated detector candidates.</w:t>
      </w:r>
    </w:p>
    <w:p>
      <w:pPr>
        <w:pStyle w:val="ListBullet"/>
      </w:pPr>
      <w:r>
        <w:t>Verification expires after a bounded interval and a later miss reopens the issue. Repeated occurrences are idempotent and retained within a fixed bound.</w:t>
      </w:r>
    </w:p>
    <w:p>
      <w:pPr>
        <w:pStyle w:val="ListBullet"/>
      </w:pPr>
      <w:r>
        <w:t>The scorecard separately reports detector coverage, same-run correlated Security Orchestration, Automation, and Response (SOAR), deterministic action application, and verified closure. Closure counts unique actionable techniques; resilience and no-detector-by-design stages remain outside the denominator.</w:t>
      </w:r>
    </w:p>
    <w:p>
      <w:pPr>
        <w:pStyle w:val="Heading2"/>
      </w:pPr>
      <w:r>
        <w:t>Engineering efficiency and verification</w:t>
      </w:r>
    </w:p>
    <w:p>
      <w:pPr>
        <w:pStyle w:val="ListBullet"/>
      </w:pPr>
      <w:r>
        <w:t>Hypothesis 6.163.0 provides deterministic, database-free, synthetic, offline property fuzzing as a development-only dependency. It derives 120 replayable examples per property for normalized sensor events, authenticated Inter-Process Communication frames, signed capability manifests, detection packages, fleet authentication, encrypted-backup metadata, portable restore paths, signed release envelopes, portable archive metadata, and bounded Sigma rule documents.</w:t>
      </w:r>
    </w:p>
    <w:p>
      <w:pPr>
        <w:pStyle w:val="ListBullet"/>
      </w:pPr>
      <w:r>
        <w:t>The property contract requires complete normalization or the documented fail-closed validation error. Its first pass found and corrected malformed platform and authentication-header exception leaks, mixed-type diagnostics, silent list truncation, non-finite values, schema smuggling, Windows alternate-data-stream/device aliases, permissive signed-release metadata, archive collisions and expansion hazards, an unpinned speech redirect, and unbounded Sigma aliases and types.</w:t>
      </w:r>
    </w:p>
    <w:p>
      <w:pPr>
        <w:pStyle w:val="ListBullet"/>
      </w:pPr>
      <w:r>
        <w:t>Update packages, verified offline speech models, and inert drill-marker archives share one pre-read validator. It enforces canonical portable paths, Unicode normalization, entry/member/expanded-size and compression ratio budgets, duplicate and case-collision rejection, supported compression, and regular-file-only content. No encrypted or special members are accepted.</w:t>
      </w:r>
    </w:p>
    <w:p>
      <w:pPr>
        <w:pStyle w:val="ListBullet"/>
      </w:pPr>
      <w:r>
        <w:t>Signed update envelopes use exact schemas, bounded typed artifact metadata, strict Ed25519 signature encoding, and exact 32-byte trusted keys. Speech downloads remain on their approved Hypertext Transfer Protocol Secure (HTTPS) origin. Sigma YAML is byte, document, node, and depth bounded; aliases, non-plain types, and non-finite values fail closed. Current local user-mode document/archive coverage is complete. A future native Input/Output Control boundary requires a separate gate.</w:t>
      </w:r>
    </w:p>
    <w:p>
      <w:pPr>
        <w:pStyle w:val="ListBullet"/>
      </w:pPr>
      <w:r>
        <w:t>Shared-memory ring version 2 authenticates scanner-to-core records with a dedicated protected per-install Hash-based Message Authentication Code using Secure Hash Algorithm 256 key. Schema, sensor identifier, full 64-bit sequence, and payload are bound before parsing. Wrong-key, modified, replayed, out-of-position, unknown-schema, oversized, and malformed records are discarded and counted.</w:t>
      </w:r>
    </w:p>
    <w:p>
      <w:pPr>
        <w:pStyle w:val="ListBullet"/>
      </w:pPr>
      <w:r>
        <w:t>Known process telemetry uses strict UTF-8 JavaScript Object Notation (JSON) with exact bounded fields and finite values. A valid non-object JSON payload can no longer terminate the ring-drain thread. Rejection alerts are rate-limited and never retain rejected raw payloads.</w:t>
      </w:r>
    </w:p>
    <w:p>
      <w:pPr>
        <w:pStyle w:val="ListBullet"/>
      </w:pPr>
      <w:r>
        <w:t>Ring authentication detects corruption, replay, and forgery without the protected key. It is not process isolation: a fully compromised scanner that can read the key can forge a valid record. Code integrity, supervision, and future native isolation remain separate controls.</w:t>
      </w:r>
    </w:p>
    <w:p>
      <w:pPr>
        <w:pStyle w:val="ListBullet"/>
      </w:pPr>
      <w:r>
        <w:t>Long-running Graphical User Interface telemetry now bounds both sides of its queued signal. Worker and presentation queues retain the newest 2,000 events, signal and render batches are capped at 250, and EventBus identity retention is limited to 4,096 identity/timestamp pairs. Observable counters distinguish retained and dropped work.</w:t>
      </w:r>
    </w:p>
    <w:p>
      <w:pPr>
        <w:pStyle w:val="ListBullet"/>
      </w:pPr>
      <w:r>
        <w:t>Stopping the presentation flusher rejects stale completion. System Pulse ignores post-shutdown samples. Voice resolver/listener startup and full self-test execution are single-flight, and canary echo ingestion is non-blocking with a newest-64 bound.</w:t>
      </w:r>
    </w:p>
    <w:p>
      <w:pPr>
        <w:pStyle w:val="ListBullet"/>
      </w:pPr>
      <w:r>
        <w:t>Deterministic lifecycle coverage proves non-overlapping generation restart, deferred-restart cancellation, shutdown draining, sleep and resume, closed-dialog result suppression, duplicate-action rejection, and queue saturation. A synthetic 100,000-event burst retained exactly 2,000 newest records, accounted for 98,000 drops, and enqueued in 216.46 milliseconds.</w:t>
      </w:r>
    </w:p>
    <w:p>
      <w:pPr>
        <w:pStyle w:val="ListBullet"/>
      </w:pPr>
      <w:r>
        <w:t>The current local user-mode security-boundary matrix is complete. Its 74-test selection covers forged endpoint identity, signed policy and update content, authenticated receipts, After-Action Reports, tenant isolation, replay and expiry, path traversal and reparse points, untrusted extensions, and model prompt/tool abuse.</w:t>
      </w:r>
    </w:p>
    <w:p>
      <w:pPr>
        <w:pStyle w:val="ListBullet"/>
      </w:pPr>
      <w:r>
        <w:t>Initial endpoint enrollment now binds the stable device identifier to the enrolling Ed25519 public key. Identity and access state use a current-key signature, and rotation is accepted only against the caller's already-trusted device identifier and old public key. Malformed, expired, replayed, wrong-key, or modified envelopes fail closed.</w:t>
      </w:r>
    </w:p>
    <w:p>
      <w:pPr>
        <w:pStyle w:val="ListBullet"/>
      </w:pPr>
      <w:r>
        <w:t>External plugin catalogs are untrusted exact-schema input. Capability identifiers, portable one-file entrypoints, digests, state, timestamps, and catalog size are bounded; duplicate fields, traversal, aliases, symlink or reparse roots, and out-of-root quarantine paths are refused. Activation rebinds the verified capability identity, entrypoint, and source digest. Protected launch disables the unsigned-development override even if it was inherited from the user environment.</w:t>
      </w:r>
    </w:p>
    <w:p>
      <w:pPr>
        <w:pStyle w:val="ListBullet"/>
      </w:pPr>
      <w:r>
        <w:t>The Artificial Intelligence Security Broker now accepts only plain, finite, exact-schema JavaScript Object Notation with conclusions tied to known evidence. Typed tool requests receive a private broker Hash-based Message Authentication Code using Secure Hash Algorithm 256 authorization, expire after 1 to 300 seconds, and are consumed before handler entry. Forged, modified, cross-broker, expired, or replayed calls cannot invoke a handler; results are bounded JSON. Authenticated audit receipts can be minted only for a response validated by that broker.</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A development-only toolkit pins GitHub release assets and SHA-256 digests for uv 0.12.0, py-spy 0.4.2, hyperfine 1.20.0, and the official GitHub CLI 2.96.0. Bandit 1.9.4, Vulture 2.16, and pytest-timeout 2.4.0 run in a separate ignored environment and are not product runtime dependencies.</w:t>
      </w:r>
    </w:p>
    <w:p>
      <w:pPr>
        <w:pStyle w:val="ListBullet"/>
      </w:pPr>
      <w:r>
        <w:t>The first Bandit pass exposed a weak SHA-1 alert identifier and shell-based console clearing. Both were corrected and the high-severity re-scan is clean.</w:t>
      </w:r>
    </w:p>
    <w:p>
      <w:pPr>
        <w:pStyle w:val="ListBullet"/>
      </w:pPr>
      <w:r>
        <w:t>Telemetry Scanner process-start evidence now includes the resolved executable location, parent process name and identifier, and a bounded command line. Common inline credential, token, API-key, authorization, and bearer values are redacted before authenticated ring persistence. Only new process identifiers are enriched, preserving the lightweight recurring table-diff path. Access denied, process exited, and unavailable states are represented explicitly.</w:t>
      </w:r>
    </w:p>
    <w:p>
      <w:pPr>
        <w:pStyle w:val="ListBullet"/>
      </w:pPr>
      <w:r>
        <w:t>Alert Detail keeps the signed JSON as its source of truth and adds an Observed evidence panel for Event, Subject, Location, Parent, Command line, and Source. The strict two-kibibyte IPC slot accepts the enriched schema and normalizes legacy frames without fabricating evidence.</w:t>
      </w:r>
    </w:p>
    <w:p>
      <w:pPr>
        <w:pStyle w:val="ListBullet"/>
      </w:pPr>
      <w:r>
        <w:t>The universal open and close transition now covers later top-level Angerona dialogs globally, including legacy and indirect paths, reused hidden dialogs, Black Box, Watchdog and Scanner status windows, and standalone Sandbox and Upgrade Console processes. Overlapping windows remain masked as a live accent line until their serialized reveal; a close-time confirmation can open safely while its owner reverses. ARIA Voice and Microphone settings are explicitly routed from their source button. Tooltips, pop-up menus, and the holographic token retain their purpose-built motion, and reduced-motion settings remain authoritative.</w:t>
      </w:r>
    </w:p>
    <w:p>
      <w:pPr>
        <w:pStyle w:val="ListBullet"/>
      </w:pPr>
      <w:r>
        <w:t>Final repository evidence: 522 tests passed, 2 intentional platform-dependent skips, 0 failures; Python compilation, Ruff, and whitespace checks passed. The focused universal-window lifecycle gate passed 16 tests.</w:t>
      </w:r>
    </w:p>
    <w:p>
      <w:r>
        <w:br w:type="page"/>
      </w:r>
    </w:p>
    <w:p>
      <w:pPr>
        <w:pStyle w:val="Heading1"/>
      </w:pPr>
      <w:r>
        <w:t>Cycle 9. Security, Reliability, Performance, and Enterprise Evidence</w:t>
      </w:r>
    </w:p>
    <w:p>
      <w:r>
        <w:t>Verification date: 1 August 2026. This section records a five-loop engineering pass over security and privacy, crash recovery, sustained responsiveness, enterprise controls, and public-release evidence. Claims below describe shipped local behavior; production deployment dependencies remain explicit external gates.</w:t>
      </w:r>
    </w:p>
    <w:p>
      <w:pPr>
        <w:pStyle w:val="Heading2"/>
      </w:pPr>
      <w:r>
        <w:t>Security and privacy boundaries</w:t>
      </w:r>
    </w:p>
    <w:p>
      <w:pPr>
        <w:pStyle w:val="ListBullet"/>
      </w:pPr>
      <w:r>
        <w:t>Process-baseline trust now validates exact canonical executable paths, rejects redirection and reparse points, authenticates durable state, uses non-blocking lifecycle control, and keeps trust approval separate from observation.</w:t>
      </w:r>
    </w:p>
    <w:p>
      <w:pPr>
        <w:pStyle w:val="ListBullet"/>
      </w:pPr>
      <w:r>
        <w:t>A central outbound URL policy constrains schemes, credentials, host and address classes, redirects, request size, response size, and timeouts. Local model traffic is restricted to loopback and public retrieval rejects private, link-local, loopback, and metadata-service destinations.</w:t>
      </w:r>
    </w:p>
    <w:p>
      <w:pPr>
        <w:pStyle w:val="ListBullet"/>
      </w:pPr>
      <w:r>
        <w:t>Extensible Markup Language parsing uses hardened parsers and explicit document-size budgets. Product network callers no longer bypass the central transport boundary.</w:t>
      </w:r>
    </w:p>
    <w:p>
      <w:pPr>
        <w:pStyle w:val="ListBullet"/>
      </w:pPr>
      <w:r>
        <w:t>Startup and enterprise diagnostics retain exception type and impact without copying raw paths, credentials, prompts, responses, or host identifiers into public-safe evidence.</w:t>
      </w:r>
    </w:p>
    <w:p>
      <w:pPr>
        <w:pStyle w:val="Heading2"/>
      </w:pPr>
      <w:r>
        <w:t>Crash visibility and recovery</w:t>
      </w:r>
    </w:p>
    <w:p>
      <w:pPr>
        <w:pStyle w:val="ListBullet"/>
      </w:pPr>
      <w:r>
        <w:t>Optional service startup failures publish signed Startup Health evidence instead of disappearing in daemon threads. A protection-module loader failure is classified Critical because it can stop protection coverage.</w:t>
      </w:r>
    </w:p>
    <w:p>
      <w:pPr>
        <w:pStyle w:val="ListBullet"/>
      </w:pPr>
      <w:r>
        <w:t>Black Box text presentation, Settings save compatibility, dialog worker lifecycle, Watchdog restart state, and hidden-window timer behavior have deterministic regression coverage.</w:t>
      </w:r>
    </w:p>
    <w:p>
      <w:pPr>
        <w:pStyle w:val="ListBullet"/>
      </w:pPr>
      <w:r>
        <w:t>Failures remain degraded and observable rather than crashing the core. No recovery path receives a generic command shell or model authority.</w:t>
      </w:r>
    </w:p>
    <w:p>
      <w:pPr>
        <w:pStyle w:val="Heading2"/>
      </w:pPr>
      <w:r>
        <w:t>Sustained responsiveness and local model governance</w:t>
      </w:r>
    </w:p>
    <w:p>
      <w:pPr>
        <w:pStyle w:val="ListBullet"/>
      </w:pPr>
      <w:r>
        <w:t>World View no longer performs a synthetic model generation every eight seconds. It reads aggregate timing from the last real inference, avoiding continuous model wakeups and unnecessary processor use.</w:t>
      </w:r>
    </w:p>
    <w:p>
      <w:pPr>
        <w:pStyle w:val="ListBullet"/>
      </w:pPr>
      <w:r>
        <w:t>All Ollama generation routes through one guarded client with loopback-only transport, bounded request/response streams, redaction before display, safe errors, and aggregate-only diagnostics. Prompt and response bodies are not cached for performance reporting.</w:t>
      </w:r>
    </w:p>
    <w:p>
      <w:pPr>
        <w:pStyle w:val="ListBullet"/>
      </w:pPr>
      <w:r>
        <w:t>The Artificial Intelligence proxy moves upstream work off its event loop, bounds request bodies, and rejects invalid JSON. Cloud code synthesis is off by default and no longer places provider credentials in a URL.</w:t>
      </w:r>
    </w:p>
    <w:p>
      <w:pPr>
        <w:pStyle w:val="ListBullet"/>
      </w:pPr>
      <w:r>
        <w:t>Long-running histories, voice work, scanner queues, legacy defense queues, and diagnostic text widgets have fixed bounds and non-blocking overflow behavior. Hidden threat-intelligence polling stops until the window is shown again.</w:t>
      </w:r>
    </w:p>
    <w:p>
      <w:pPr>
        <w:pStyle w:val="ListBullet"/>
      </w:pPr>
      <w:r>
        <w:t>Closed asynchronous windows reject late completion without deleting live workers prematurely. The full lifecycle suite covers these boundaries.</w:t>
      </w:r>
    </w:p>
    <w:p>
      <w:pPr>
        <w:pStyle w:val="Heading2"/>
      </w:pPr>
      <w:r>
        <w:t>Runtime enterprise identity and readiness evidence</w:t>
      </w:r>
    </w:p>
    <w:p>
      <w:pPr>
        <w:pStyle w:val="ListBullet"/>
      </w:pPr>
      <w:r>
        <w:t>Enabling Fleet Preview creates or loads a protected per-endpoint Ed25519 identity, registers its stable public identity under the configured tenant, and stores the hostname only as a tenant-keyed token.</w:t>
      </w:r>
    </w:p>
    <w:p>
      <w:pPr>
        <w:pStyle w:val="ListBullet"/>
      </w:pPr>
      <w:r>
        <w:t>The authenticated preview remains loopback-only. It uses freshness, full-target request authentication, durable replay resistance, tenant-scoped inventory, deduplicated ingestion, quarantine and revocation enforcement, and authenticated receipts.</w:t>
      </w:r>
    </w:p>
    <w:p>
      <w:pPr>
        <w:pStyle w:val="ListBullet"/>
      </w:pPr>
      <w:r>
        <w:t>Enterprise Readiness assessment version 2 credits tested local identity, Role-Based Access Control, signed policy rollout, backup/restore, release, audit, privacy, integrity, and bounded-storage foundations. It separately lists production-only dependencies rather than treating them as local bugs.</w:t>
      </w:r>
    </w:p>
    <w:p>
      <w:pPr>
        <w:pStyle w:val="ListBullet"/>
      </w:pPr>
      <w:r>
        <w:t>Settings shows whether Fleet Preview is disabled, configured, or running, plus a low-cardinality endpoint-identity state and registered-device count. A deterministic Copy public-safe evidence action excludes hostnames, user names, paths, credentials, event payloads, and endpoint identifiers.</w:t>
      </w:r>
    </w:p>
    <w:p>
      <w:pPr>
        <w:pStyle w:val="Heading2"/>
      </w:pPr>
      <w:r>
        <w:t>Production deployment gates</w:t>
      </w:r>
    </w:p>
    <w:p>
      <w:pPr>
        <w:pStyle w:val="ListBullet"/>
      </w:pPr>
      <w:r>
        <w:t>Mutual Transport Layer Security (mTLS), external certificate authority custody, and preferably non-exportable hardware-backed endpoint keys.</w:t>
      </w:r>
    </w:p>
    <w:p>
      <w:pPr>
        <w:pStyle w:val="ListBullet"/>
      </w:pPr>
      <w:r>
        <w:t>Single Sign-On (SSO), OpenID Connect (OIDC), organization lifecycle, separation of duties, and an independently retained administrator ledger.</w:t>
      </w:r>
    </w:p>
    <w:p>
      <w:pPr>
        <w:pStyle w:val="ListBullet"/>
      </w:pPr>
      <w:r>
        <w:t>High-availability ingestion/search, independent-host backup and disaster-recovery drills, long-duration physical-host soak evidence, and external penetration testing.</w:t>
      </w:r>
    </w:p>
    <w:p>
      <w:pPr>
        <w:pStyle w:val="ListBullet"/>
      </w:pPr>
      <w:r>
        <w:t>Authenticode publisher identity, enforced repository rulesets, signed release promotion, and platform-vendor signing/notarization where required.</w:t>
      </w:r>
    </w:p>
    <w:p>
      <w:pPr>
        <w:pStyle w:val="ListBullet"/>
      </w:pPr>
      <w:r>
        <w:t>No local score or test result is a claim of enterprise certification, kernel tamper-proofing, or a production multi-tenant service.</w:t>
      </w:r>
    </w:p>
    <w:p>
      <w:pPr>
        <w:pStyle w:val="Heading2"/>
      </w:pPr>
      <w:r>
        <w:t>Final verification evidence</w:t>
      </w:r>
    </w:p>
    <w:p>
      <w:pPr>
        <w:pStyle w:val="ListBullet"/>
      </w:pPr>
      <w:r>
        <w:t>The authoritative serial Windows suite passes 556 tests with 2 intentional platform-dependent skips and 0 failures.</w:t>
      </w:r>
    </w:p>
    <w:p>
      <w:pPr>
        <w:pStyle w:val="ListBullet"/>
      </w:pPr>
      <w:r>
        <w:t>Python bytecode compilation and Ruff correctness checks pass. The release gate records dependency audit, documentation drift, unit tests, lint, and bytecode results as bounded content-addressed evidence.</w:t>
      </w:r>
    </w:p>
    <w:p>
      <w:pPr>
        <w:pStyle w:val="ListBullet"/>
      </w:pPr>
      <w:r>
        <w:t>The public-facing repository and documentation are scanned for tracked credentials, private keys, user-profile paths, databases, runtime state, and cache artifacts. Synthetic screenshots remain explicitly labeled.</w:t>
      </w:r>
    </w:p>
    <w:p>
      <w:r>
        <w:br w:type="page"/>
      </w:r>
    </w:p>
    <w:p>
      <w:pPr>
        <w:pStyle w:val="Heading1"/>
      </w:pPr>
      <w:r>
        <w:t>Cycle 10. Fleet Integrity and Access Governance</w:t>
      </w:r>
    </w:p>
    <w:p>
      <w:r>
        <w:t>Verification date: 1 August 2026. This section records the next offline-first enterprise tranche: trustworthy fleet chronology, device-bound event identity, a versioned local API contract, and a canonical least-privilege role model. These are tested local preview controls, not a claim of production fleet deployment.</w:t>
      </w:r>
    </w:p>
    <w:p>
      <w:pPr>
        <w:pStyle w:val="Heading2"/>
      </w:pPr>
      <w:r>
        <w:t>Fleet ingestion integrity</w:t>
      </w:r>
    </w:p>
    <w:p>
      <w:pPr>
        <w:pStyle w:val="ListBullet"/>
      </w:pPr>
      <w:r>
        <w:t>A tenant event identifier is permanently bound to its originating device and event body. Exact retries preserve the original observed time, server-received time, clock classification, skew, device identity, and event hash. Reuse from another device or with changed evidence fails closed.</w:t>
      </w:r>
    </w:p>
    <w:p>
      <w:pPr>
        <w:pStyle w:val="ListBullet"/>
      </w:pPr>
      <w:r>
        <w:t>Event bodies are copied into finite, bounded plain JavaScript Object Notation. Non-string or empty keys, invalid UTF-8, custom objects, cycles, non-finite numbers, integers outside the signed 64-bit range, and byte/depth/node/container overflow are rejected before hashing or database insertion.</w:t>
      </w:r>
    </w:p>
    <w:p>
      <w:pPr>
        <w:pStyle w:val="ListBullet"/>
      </w:pPr>
      <w:r>
        <w:t>Endpoint-observed time, server-received time, and signed clock skew are separate evidence. Clock quality is synchronized, skewed, untrusted, server-assigned, or legacy. Device last-seen health uses server time, so a drifting endpoint cannot move inventory state into the future or past.</w:t>
      </w:r>
    </w:p>
    <w:p>
      <w:pPr>
        <w:pStyle w:val="ListBullet"/>
      </w:pPr>
      <w:r>
        <w:t>Existing Fleet Preview databases migrate in place. New timing columns and health counters are added without deleting evidence; older records remain explicitly legacy and therefore uncertain.</w:t>
      </w:r>
    </w:p>
    <w:p>
      <w:pPr>
        <w:pStyle w:val="Heading2"/>
      </w:pPr>
      <w:r>
        <w:t>Versioned local API and health evidence</w:t>
      </w:r>
    </w:p>
    <w:p>
      <w:pPr>
        <w:pStyle w:val="ListBullet"/>
      </w:pPr>
      <w:r>
        <w:t>The loopback Fleet Preview publishes a deterministic OpenAPI 3.1 contract for its health, contract, device inventory, event, and ingestion-health routes. The contract describes only routes actually shipped.</w:t>
      </w:r>
    </w:p>
    <w:p>
      <w:pPr>
        <w:pStyle w:val="ListBullet"/>
      </w:pPr>
      <w:r>
        <w:t>Every versioned route except the minimal health check requires a fresh, one-time, complete-path/query/body Hash-based Message Authentication Code using Secure Hash Algorithm 256 request. The service remains loopback-only and exposes no generic command route.</w:t>
      </w:r>
    </w:p>
    <w:p>
      <w:pPr>
        <w:pStyle w:val="ListBullet"/>
      </w:pPr>
      <w:r>
        <w:t>POST bodies require application/json and a bounded content length. Responses are no-store and nosniff, and the service header does not disclose the Python runtime version.</w:t>
      </w:r>
    </w:p>
    <w:p>
      <w:pPr>
        <w:pStyle w:val="ListBullet"/>
      </w:pPr>
      <w:r>
        <w:t>Durable per-tenant counters record stored events, duplicate retries, clock classifications, last receipt time, and device states. The public readiness surface removes tenant and device identity and retains only bounded counts, state, and the public contract digest.</w:t>
      </w:r>
    </w:p>
    <w:p>
      <w:pPr>
        <w:pStyle w:val="ListBullet"/>
      </w:pPr>
      <w:r>
        <w:t>Enterprise Settings can copy the API contract directly. Neither the contract nor the copy action includes a service key, tenant, endpoint, hostname, username, local path, event payload, or identity key.</w:t>
      </w:r>
    </w:p>
    <w:p>
      <w:pPr>
        <w:pStyle w:val="Heading2"/>
      </w:pPr>
      <w:r>
        <w:t>Least-privilege roles and duty separation</w:t>
      </w:r>
    </w:p>
    <w:p>
      <w:pPr>
        <w:pStyle w:val="ListBullet"/>
      </w:pPr>
      <w:r>
        <w:t>The canonical local role catalog contains Viewer, Analyst, Hunter, Responder, Detection Engineer, Fleet Operator, Tenant Administrator, Platform Administrator, and Auditor.</w:t>
      </w:r>
    </w:p>
    <w:p>
      <w:pPr>
        <w:pStyle w:val="ListBullet"/>
      </w:pPr>
      <w:r>
        <w:t>Authorization remains default-deny with explicit-deny precedence, canonical hierarchical scope, expiring service principals, bounded permission wildcards, idempotent decisions, and authenticated receipts.</w:t>
      </w:r>
    </w:p>
    <w:p>
      <w:pPr>
        <w:pStyle w:val="ListBullet"/>
      </w:pPr>
      <w:r>
        <w:t>A single principal cannot combine Auditor with an operational role in an overlapping scope. Detection Engineer cannot overlap Tenant or Platform Administrator policy-activation authority. Distinct non-overlapping scopes remain valid.</w:t>
      </w:r>
    </w:p>
    <w:p>
      <w:pPr>
        <w:pStyle w:val="ListBullet"/>
      </w:pPr>
      <w:r>
        <w:t>The action-time Response Broker separately requires an independent approver and two approvers for high or critical operations. External identity-provider lifecycle, protected release-key ceremony, and administrator-ledger retention remain deployment gates.</w:t>
      </w:r>
    </w:p>
    <w:p>
      <w:pPr>
        <w:pStyle w:val="Heading2"/>
      </w:pPr>
      <w:r>
        <w:t>Verification and honest boundary</w:t>
      </w:r>
    </w:p>
    <w:p>
      <w:pPr>
        <w:pStyle w:val="ListBullet"/>
      </w:pPr>
      <w:r>
        <w:t>The authoritative serial Windows repository suite passes 576 tests with 2 intentional platform-dependent skips and 0 failures.</w:t>
      </w:r>
    </w:p>
    <w:p>
      <w:pPr>
        <w:pStyle w:val="ListBullet"/>
      </w:pPr>
      <w:r>
        <w:t>Ruff correctness checks and Python bytecode compilation pass. A focused Bandit scan reports no medium- or high-severity finding in the changed fleet and readiness boundaries.</w:t>
      </w:r>
    </w:p>
    <w:p>
      <w:pPr>
        <w:pStyle w:val="ListBullet"/>
      </w:pPr>
      <w:r>
        <w:t>Adversarial regression coverage includes database migration, invalid and non-finite timestamps, invalid/deep/cyclic JSON, device-bound replay, concurrent ingestion, authenticated API access, content type, public-safe evidence, standard role permissions, and separation of duties.</w:t>
      </w:r>
    </w:p>
    <w:p>
      <w:pPr>
        <w:pStyle w:val="ListBullet"/>
      </w:pPr>
      <w:r>
        <w:t>Production mutual Transport Layer Security, Single Sign-On/OpenID Connect, protected publisher signing, repository rulesets, high availability, external penetration review, and long-duration physical-host soaks remain separate gates.</w:t>
      </w:r>
    </w:p>
    <w:p>
      <w:r>
        <w:br w:type="page"/>
      </w:r>
    </w:p>
    <w:p>
      <w:pPr>
        <w:pStyle w:val="Heading1"/>
      </w:pPr>
      <w:r>
        <w:t>Cycle 11. Atomic Fleet Delivery</w:t>
      </w:r>
    </w:p>
    <w:p>
      <w:r>
        <w:t>Verification date: 1 August 2026. This section records a bounded, all-or-nothing fleet-ingestion path intended to reduce local database overhead while preserving tenant, device, evidence, privacy, and replay boundaries. It is a tested loopback Fleet Preview capability, not a claim of production remote ingestion.</w:t>
      </w:r>
    </w:p>
    <w:p>
      <w:pPr>
        <w:pStyle w:val="Heading2"/>
      </w:pPr>
      <w:r>
        <w:t>Atomic bounded batch contract</w:t>
      </w:r>
    </w:p>
    <w:p>
      <w:pPr>
        <w:pStyle w:val="ListBullet"/>
      </w:pPr>
      <w:r>
        <w:t>The canonical fleet write path accepts one to 256 event envelopes. Single-event ingestion calls the same path with one item, preventing validation and retry semantics from diverging between interfaces.</w:t>
      </w:r>
    </w:p>
    <w:p>
      <w:pPr>
        <w:pStyle w:val="ListBullet"/>
      </w:pPr>
      <w:r>
        <w:t>Each event retains a 256 KiB normalized body limit. A batch has a 4 MiB aggregate normalized-payload limit. JavaScript Object Notation depth, node, container, number, key, and UTF-8 limits remain enforced before a database write lock is acquired.</w:t>
      </w:r>
    </w:p>
    <w:p>
      <w:pPr>
        <w:pStyle w:val="ListBullet"/>
      </w:pPr>
      <w:r>
        <w:t>Envelope fields are exact: device identifier, event identifier, body, and optional observed time. Missing fields, unknown fields, invalid identifiers, invalid time, custom objects, and oversized input fail without truncation.</w:t>
      </w:r>
    </w:p>
    <w:p>
      <w:pPr>
        <w:pStyle w:val="ListBullet"/>
      </w:pPr>
      <w:r>
        <w:t>Every named endpoint must be enrolled and active. Missing, revoked, quarantined, or retired state rolls back the complete batch, including event rows, device liveness, and health counters.</w:t>
      </w:r>
    </w:p>
    <w:p>
      <w:pPr>
        <w:pStyle w:val="Heading2"/>
      </w:pPr>
      <w:r>
        <w:t>Performance and retry behavior</w:t>
      </w:r>
    </w:p>
    <w:p>
      <w:pPr>
        <w:pStyle w:val="ListBullet"/>
      </w:pPr>
      <w:r>
        <w:t>A batch uses one immediate SQLite transaction, looks up state only for the distinct endpoints it names, updates each touched endpoint once, and writes health counters in one aggregate statement.</w:t>
      </w:r>
    </w:p>
    <w:p>
      <w:pPr>
        <w:pStyle w:val="ListBullet"/>
      </w:pPr>
      <w:r>
        <w:t>Exact at-least-once retries return signed duplicate receipts with the original observed time, server-received time, clock classification, skew, endpoint binding, and event digest.</w:t>
      </w:r>
    </w:p>
    <w:p>
      <w:pPr>
        <w:pStyle w:val="ListBullet"/>
      </w:pPr>
      <w:r>
        <w:t>An event identifier reused by another endpoint or with changed evidence fails closed. If that conflict occurs after valid items in the batch, the earlier provisional writes are rolled back as well.</w:t>
      </w:r>
    </w:p>
    <w:p>
      <w:pPr>
        <w:pStyle w:val="ListBullet"/>
      </w:pPr>
      <w:r>
        <w:t>Batch membership does not assert total ordering between endpoints or sensors. Signed receipt time and clock-quality evidence remain separate from endpoint-observed chronology.</w:t>
      </w:r>
    </w:p>
    <w:p>
      <w:pPr>
        <w:pStyle w:val="Heading2"/>
      </w:pPr>
      <w:r>
        <w:t>Application programming interface and health</w:t>
      </w:r>
    </w:p>
    <w:p>
      <w:pPr>
        <w:pStyle w:val="ListBullet"/>
      </w:pPr>
      <w:r>
        <w:t>The deterministic OpenAPI 3.1 contract is version 1.1.0 and documents the authenticated event-batch route, exact event schema, and maximum item count.</w:t>
      </w:r>
    </w:p>
    <w:p>
      <w:pPr>
        <w:pStyle w:val="ListBullet"/>
      </w:pPr>
      <w:r>
        <w:t>The route retains loopback-only binding, complete path/query/body Hash-based Message Authentication Code using Secure Hash Algorithm 256, fresh timestamps, durable one-time nonces, JavaScript Object Notation media type, and the existing request-size boundary.</w:t>
      </w:r>
    </w:p>
    <w:p>
      <w:pPr>
        <w:pStyle w:val="ListBullet"/>
      </w:pPr>
      <w:r>
        <w:t>Durable low-cardinality health adds accepted batches, attempted events, and largest accepted batch. It does not retain event payloads, hostnames, user names, paths, endpoint identifiers, or keys.</w:t>
      </w:r>
    </w:p>
    <w:p>
      <w:pPr>
        <w:pStyle w:val="Heading2"/>
      </w:pPr>
      <w:r>
        <w:t>Verification and remaining gates</w:t>
      </w:r>
    </w:p>
    <w:p>
      <w:pPr>
        <w:pStyle w:val="ListBullet"/>
      </w:pPr>
      <w:r>
        <w:t>The authoritative serial Windows repository suite passes 580 tests with 2 intentional platform-dependent skips and 0 failures.</w:t>
      </w:r>
    </w:p>
    <w:p>
      <w:pPr>
        <w:pStyle w:val="ListBullet"/>
      </w:pPr>
      <w:r>
        <w:t>Ruff correctness checks, Python bytecode compilation, whitespace validation, and a focused Bandit medium/high scan pass.</w:t>
      </w:r>
    </w:p>
    <w:p>
      <w:pPr>
        <w:pStyle w:val="ListBullet"/>
      </w:pPr>
      <w:r>
        <w:t>Regression coverage proves one-transaction behavior, complete rollback, signed receipts, exact retry, count/field/byte rejection, authenticated HTTP use, contract fidelity, and migration-compatible health.</w:t>
      </w:r>
    </w:p>
    <w:p>
      <w:pPr>
        <w:pStyle w:val="ListBullet"/>
      </w:pPr>
      <w:r>
        <w:t>Compression and adaptive flow control, production mutual Transport Layer Security, remote rate limits, high availability, long physical-host soaks, and independent penetration testing remain separate gates.</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11 consolidated 2026-08-01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