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Eyebrow"/>
        <w:spacing w:before="880"/>
      </w:pPr>
      <w:r>
        <w:t>LOCAL-FIRST DEFENSIVE SECURITY PLATFORM</w:t>
      </w:r>
    </w:p>
    <w:p>
      <w:pPr>
        <w:spacing w:after="160"/>
        <w:jc w:val="left"/>
      </w:pPr>
      <w:r>
        <w:rPr>
          <w:rFonts w:ascii="Aptos Display" w:hAnsi="Aptos Display"/>
          <w:b/>
          <w:color w:val="081B2C"/>
          <w:sz w:val="68"/>
        </w:rPr>
        <w:t>ANGERONA</w:t>
      </w:r>
    </w:p>
    <w:p>
      <w:pPr>
        <w:spacing w:after="400"/>
      </w:pPr>
      <w:r>
        <w:rPr>
          <w:rFonts w:ascii="Aptos Display" w:hAnsi="Aptos Display"/>
          <w:color w:val="0B6E99"/>
          <w:sz w:val="44"/>
        </w:rPr>
        <w:t>Capabilities Bragsheet</w:t>
      </w:r>
    </w:p>
    <w:p>
      <w:pPr>
        <w:spacing w:after="360"/>
      </w:pPr>
      <w:r>
        <w:rPr>
          <w:color w:val="4D626E"/>
          <w:sz w:val="26"/>
        </w:rPr>
        <w:t>A modular, local-first endpoint defense and security-operations workbench for real-time monitoring, correlation, autonomous containment, deception, forensics, AI-assisted analysis, and repeatable adversary validation.</w:t>
      </w:r>
    </w:p>
    <w:tbl>
      <w:tblPr>
        <w:tblStyle w:val="TableGrid"/>
        <w:tblW w:type="auto" w:w="0"/>
        <w:jc w:val="center"/>
        <w:tblLayout w:type="fixed"/>
        <w:tblLook w:firstColumn="1" w:firstRow="1" w:lastColumn="0" w:lastRow="0" w:noHBand="0" w:noVBand="1" w:val="04A0"/>
      </w:tblPr>
      <w:tblGrid>
        <w:gridCol w:w="2613"/>
        <w:gridCol w:w="2613"/>
        <w:gridCol w:w="2613"/>
        <w:gridCol w:w="2613"/>
      </w:tblGrid>
      <w:tr>
        <w:trPr>
          <w:tblHeader/>
          <w:cantSplit/>
        </w:trPr>
        <w:tc>
          <w:tcPr>
            <w:tcW w:type="dxa" w:w="1872"/>
            <w:shd w:fill="081B2C"/>
            <w:vAlign w:val="center"/>
            <w:tcMar>
              <w:top w:w="70" w:type="dxa"/>
              <w:start w:w="95" w:type="dxa"/>
              <w:bottom w:w="70" w:type="dxa"/>
              <w:end w:w="95" w:type="dxa"/>
            </w:tcMar>
          </w:tcPr>
          <w:p>
            <w:pPr>
              <w:spacing w:after="0"/>
            </w:pPr>
            <w:r/>
            <w:r>
              <w:rPr>
                <w:rFonts w:ascii="Aptos" w:hAnsi="Aptos"/>
                <w:b/>
                <w:color w:val="FFFFFF"/>
                <w:sz w:val="17"/>
              </w:rPr>
              <w:t>CURRENT EDITION</w:t>
            </w:r>
          </w:p>
        </w:tc>
        <w:tc>
          <w:tcPr>
            <w:tcW w:type="dxa" w:w="2592"/>
            <w:shd w:fill="081B2C"/>
            <w:vAlign w:val="center"/>
            <w:tcMar>
              <w:top w:w="70" w:type="dxa"/>
              <w:start w:w="95" w:type="dxa"/>
              <w:bottom w:w="70" w:type="dxa"/>
              <w:end w:w="95" w:type="dxa"/>
            </w:tcMar>
          </w:tcPr>
          <w:p>
            <w:pPr>
              <w:spacing w:after="0"/>
            </w:pPr>
            <w:r/>
            <w:r>
              <w:rPr>
                <w:rFonts w:ascii="Aptos" w:hAnsi="Aptos"/>
                <w:b/>
                <w:color w:val="FFFFFF"/>
                <w:sz w:val="17"/>
              </w:rPr>
              <w:t>DISCOVERED CAPABILITIES</w:t>
            </w:r>
          </w:p>
        </w:tc>
        <w:tc>
          <w:tcPr>
            <w:tcW w:type="dxa" w:w="2880"/>
            <w:shd w:fill="081B2C"/>
            <w:vAlign w:val="center"/>
            <w:tcMar>
              <w:top w:w="70" w:type="dxa"/>
              <w:start w:w="95" w:type="dxa"/>
              <w:bottom w:w="70" w:type="dxa"/>
              <w:end w:w="95" w:type="dxa"/>
            </w:tcMar>
          </w:tcPr>
          <w:p>
            <w:pPr>
              <w:spacing w:after="0"/>
            </w:pPr>
            <w:r/>
            <w:r>
              <w:rPr>
                <w:rFonts w:ascii="Aptos" w:hAnsi="Aptos"/>
                <w:b/>
                <w:color w:val="FFFFFF"/>
                <w:sz w:val="17"/>
              </w:rPr>
              <w:t>AUTOMATED TESTS</w:t>
            </w:r>
          </w:p>
        </w:tc>
        <w:tc>
          <w:tcPr>
            <w:tcW w:type="dxa" w:w="2448"/>
            <w:shd w:fill="081B2C"/>
            <w:vAlign w:val="center"/>
            <w:tcMar>
              <w:top w:w="70" w:type="dxa"/>
              <w:start w:w="95" w:type="dxa"/>
              <w:bottom w:w="70" w:type="dxa"/>
              <w:end w:w="95" w:type="dxa"/>
            </w:tcMar>
          </w:tcPr>
          <w:p>
            <w:pPr>
              <w:spacing w:after="0"/>
            </w:pPr>
            <w:r/>
            <w:r>
              <w:rPr>
                <w:rFonts w:ascii="Aptos" w:hAnsi="Aptos"/>
                <w:b/>
                <w:color w:val="FFFFFF"/>
                <w:sz w:val="17"/>
              </w:rPr>
              <w:t>RED-TEAM PROOF</w:t>
            </w:r>
          </w:p>
        </w:tc>
      </w:tr>
      <w:tr>
        <w:trPr>
          <w:cantSplit/>
        </w:trPr>
        <w:tc>
          <w:tcPr>
            <w:tcW w:type="dxa" w:w="1872"/>
            <w:shd w:fill="FFFFFF"/>
            <w:vAlign w:val="center"/>
            <w:tcMar>
              <w:top w:w="70" w:type="dxa"/>
              <w:start w:w="95" w:type="dxa"/>
              <w:bottom w:w="70" w:type="dxa"/>
              <w:end w:w="95" w:type="dxa"/>
            </w:tcMar>
          </w:tcPr>
          <w:p>
            <w:pPr>
              <w:spacing w:after="0"/>
            </w:pPr>
            <w:r/>
            <w:r>
              <w:rPr>
                <w:rFonts w:ascii="Aptos" w:hAnsi="Aptos"/>
                <w:b/>
                <w:color w:val="17242E"/>
                <w:sz w:val="16"/>
              </w:rPr>
              <w:t>v1.10.1</w:t>
            </w:r>
          </w:p>
        </w:tc>
        <w:tc>
          <w:tcPr>
            <w:tcW w:type="dxa" w:w="2592"/>
            <w:shd w:fill="FFFFFF"/>
            <w:vAlign w:val="center"/>
            <w:tcMar>
              <w:top w:w="70" w:type="dxa"/>
              <w:start w:w="95" w:type="dxa"/>
              <w:bottom w:w="70" w:type="dxa"/>
              <w:end w:w="95" w:type="dxa"/>
            </w:tcMar>
          </w:tcPr>
          <w:p>
            <w:pPr>
              <w:spacing w:after="0"/>
            </w:pPr>
            <w:r/>
            <w:r>
              <w:rPr>
                <w:rFonts w:ascii="Aptos" w:hAnsi="Aptos"/>
                <w:b w:val="0"/>
                <w:color w:val="17242E"/>
                <w:sz w:val="16"/>
              </w:rPr>
              <w:t>67 modules / 0 errors</w:t>
            </w:r>
          </w:p>
        </w:tc>
        <w:tc>
          <w:tcPr>
            <w:tcW w:type="dxa" w:w="2880"/>
            <w:shd w:fill="FFFFFF"/>
            <w:vAlign w:val="center"/>
            <w:tcMar>
              <w:top w:w="70" w:type="dxa"/>
              <w:start w:w="95" w:type="dxa"/>
              <w:bottom w:w="70" w:type="dxa"/>
              <w:end w:w="95" w:type="dxa"/>
            </w:tcMar>
          </w:tcPr>
          <w:p>
            <w:pPr>
              <w:spacing w:after="0"/>
            </w:pPr>
            <w:r/>
            <w:r>
              <w:rPr>
                <w:rFonts w:ascii="Aptos" w:hAnsi="Aptos"/>
                <w:b w:val="0"/>
                <w:color w:val="17242E"/>
                <w:sz w:val="16"/>
              </w:rPr>
              <w:t>1,083 pass / 3 skip / 0 fail</w:t>
            </w:r>
          </w:p>
        </w:tc>
        <w:tc>
          <w:tcPr>
            <w:tcW w:type="dxa" w:w="2448"/>
            <w:shd w:fill="FFFFFF"/>
            <w:vAlign w:val="center"/>
            <w:tcMar>
              <w:top w:w="70" w:type="dxa"/>
              <w:start w:w="95" w:type="dxa"/>
              <w:bottom w:w="70" w:type="dxa"/>
              <w:end w:w="95" w:type="dxa"/>
            </w:tcMar>
          </w:tcPr>
          <w:p>
            <w:pPr>
              <w:spacing w:after="0"/>
            </w:pPr>
            <w:r/>
            <w:r>
              <w:rPr>
                <w:rFonts w:ascii="Aptos" w:hAnsi="Aptos"/>
                <w:b w:val="0"/>
                <w:color w:val="17242E"/>
                <w:sz w:val="16"/>
              </w:rPr>
              <w:t>100% detection + response</w:t>
            </w:r>
          </w:p>
        </w:tc>
      </w:tr>
    </w:tbl>
    <w:p>
      <w:pPr>
        <w:spacing w:after="20"/>
      </w:pPr>
    </w:p>
    <w:p>
      <w:pPr>
        <w:spacing w:before="240"/>
      </w:pPr>
      <w:r>
        <w:rPr>
          <w:b/>
        </w:rPr>
        <w:t xml:space="preserve">Current status: </w:t>
      </w:r>
      <w:r>
        <w:t>Windows is the primary defended endpoint. Linux and macOS provide observe-mode sensor paths. Angerona runs elevated in user mode and uses supported OS telemetry interfaces; no production custom kernel driver is required.</w:t>
      </w:r>
    </w:p>
    <w:p>
      <w:pPr>
        <w:spacing w:before="200"/>
      </w:pPr>
      <w:r>
        <w:rPr>
          <w:color w:val="4D626E"/>
        </w:rPr>
        <w:t>Edition date: 24 August 2026</w:t>
      </w:r>
      <w:r>
        <w:br w:type="page"/>
      </w:r>
    </w:p>
    <w:p>
      <w:pPr>
        <w:pStyle w:val="Heading1"/>
        <w:keepNext/>
      </w:pPr>
      <w:r>
        <w:t>1. What Angerona Is</w:t>
      </w:r>
    </w:p>
    <w:p>
      <w:r>
        <w:t>Angerona combines endpoint detection and response (EDR), network detection and response (NDR), security orchestration and automated response (SOAR), deception, forensics, resilience, and local AI in one operator-controlled desktop suite.</w:t>
      </w:r>
    </w:p>
    <w:p>
      <w:pPr>
        <w:pStyle w:val="ListBullet"/>
        <w:spacing w:after="60"/>
      </w:pPr>
      <w:r>
        <w:t>Local-first by design: event storage, investigations, most analysis, and the default AI path stay on the host.</w:t>
      </w:r>
    </w:p>
    <w:p>
      <w:pPr>
        <w:pStyle w:val="ListBullet"/>
        <w:spacing w:after="60"/>
      </w:pPr>
      <w:r>
        <w:t>Real-time defensive action: authenticated detector evidence can trigger immediate, exact-target containment without an incident prompt.</w:t>
      </w:r>
    </w:p>
    <w:p>
      <w:pPr>
        <w:pStyle w:val="ListBullet"/>
        <w:spacing w:after="60"/>
      </w:pPr>
      <w:r>
        <w:t>Modular architecture: 67 BaseModule capabilities are auto-discovered and supervised through a shared signed EventBus.</w:t>
      </w:r>
    </w:p>
    <w:p>
      <w:pPr>
        <w:pStyle w:val="ListBullet"/>
        <w:spacing w:after="60"/>
      </w:pPr>
      <w:r>
        <w:t>Evidence-led operations: detections, response actions, verification results, and reversible receipts are recorded for review.</w:t>
      </w:r>
    </w:p>
    <w:p>
      <w:pPr>
        <w:pStyle w:val="ListBullet"/>
        <w:spacing w:after="60"/>
      </w:pPr>
      <w:r>
        <w:t>Practice-to-proof loop: Shark Attack runs benign simulations, correlates detector and response evidence, and produces after-action reports.</w:t>
      </w:r>
    </w:p>
    <w:p>
      <w:pPr>
        <w:pStyle w:val="ListBullet"/>
        <w:spacing w:after="60"/>
      </w:pPr>
      <w:r>
        <w:t>Operator-adjustable posture: response intensity, severity threshold, process action, isolation, quarantine, blocking, and honeypots are configurable.</w:t>
      </w:r>
    </w:p>
    <w:p>
      <w:pPr>
        <w:pStyle w:val="Heading1"/>
        <w:keepNext/>
      </w:pPr>
      <w:r>
        <w:t>2. Best-Fit Use Cases</w:t>
      </w:r>
    </w:p>
    <w:tbl>
      <w:tblPr>
        <w:tblStyle w:val="TableGrid"/>
        <w:tblW w:type="auto" w:w="0"/>
        <w:jc w:val="center"/>
        <w:tblLayout w:type="fixed"/>
        <w:tblLook w:firstColumn="1" w:firstRow="1" w:lastColumn="0" w:lastRow="0" w:noHBand="0" w:noVBand="1" w:val="04A0"/>
      </w:tblPr>
      <w:tblGrid>
        <w:gridCol w:w="3485"/>
        <w:gridCol w:w="3485"/>
        <w:gridCol w:w="3485"/>
      </w:tblGrid>
      <w:tr>
        <w:trPr>
          <w:tblHeader/>
          <w:cantSplit/>
        </w:trPr>
        <w:tc>
          <w:tcPr>
            <w:tcW w:type="dxa" w:w="1944"/>
            <w:shd w:fill="081B2C"/>
            <w:vAlign w:val="center"/>
            <w:tcMar>
              <w:top w:w="70" w:type="dxa"/>
              <w:start w:w="95" w:type="dxa"/>
              <w:bottom w:w="70" w:type="dxa"/>
              <w:end w:w="95" w:type="dxa"/>
            </w:tcMar>
          </w:tcPr>
          <w:p>
            <w:pPr>
              <w:spacing w:after="0"/>
            </w:pPr>
            <w:r/>
            <w:r>
              <w:rPr>
                <w:rFonts w:ascii="Aptos" w:hAnsi="Aptos"/>
                <w:b/>
                <w:color w:val="FFFFFF"/>
                <w:sz w:val="17"/>
              </w:rPr>
              <w:t>Use case</w:t>
            </w:r>
          </w:p>
        </w:tc>
        <w:tc>
          <w:tcPr>
            <w:tcW w:type="dxa" w:w="5328"/>
            <w:shd w:fill="081B2C"/>
            <w:vAlign w:val="center"/>
            <w:tcMar>
              <w:top w:w="70" w:type="dxa"/>
              <w:start w:w="95" w:type="dxa"/>
              <w:bottom w:w="70" w:type="dxa"/>
              <w:end w:w="95" w:type="dxa"/>
            </w:tcMar>
          </w:tcPr>
          <w:p>
            <w:pPr>
              <w:spacing w:after="0"/>
            </w:pPr>
            <w:r/>
            <w:r>
              <w:rPr>
                <w:rFonts w:ascii="Aptos" w:hAnsi="Aptos"/>
                <w:b/>
                <w:color w:val="FFFFFF"/>
                <w:sz w:val="17"/>
              </w:rPr>
              <w:t>What Angerona provides</w:t>
            </w:r>
          </w:p>
        </w:tc>
        <w:tc>
          <w:tcPr>
            <w:tcW w:type="dxa" w:w="2232"/>
            <w:shd w:fill="081B2C"/>
            <w:vAlign w:val="center"/>
            <w:tcMar>
              <w:top w:w="70" w:type="dxa"/>
              <w:start w:w="95" w:type="dxa"/>
              <w:bottom w:w="70" w:type="dxa"/>
              <w:end w:w="95" w:type="dxa"/>
            </w:tcMar>
          </w:tcPr>
          <w:p>
            <w:pPr>
              <w:spacing w:after="0"/>
            </w:pPr>
            <w:r/>
            <w:r>
              <w:rPr>
                <w:rFonts w:ascii="Aptos" w:hAnsi="Aptos"/>
                <w:b/>
                <w:color w:val="FFFFFF"/>
                <w:sz w:val="17"/>
              </w:rPr>
              <w:t>Best fit</w:t>
            </w:r>
          </w:p>
        </w:tc>
      </w:tr>
      <w:tr>
        <w:trPr>
          <w:cantSplit/>
        </w:trPr>
        <w:tc>
          <w:tcPr>
            <w:tcW w:type="dxa" w:w="1944"/>
            <w:shd w:fill="FFFFFF"/>
            <w:vAlign w:val="center"/>
            <w:tcMar>
              <w:top w:w="70" w:type="dxa"/>
              <w:start w:w="95" w:type="dxa"/>
              <w:bottom w:w="70" w:type="dxa"/>
              <w:end w:w="95" w:type="dxa"/>
            </w:tcMar>
          </w:tcPr>
          <w:p>
            <w:pPr>
              <w:spacing w:after="0"/>
            </w:pPr>
            <w:r/>
            <w:r>
              <w:rPr>
                <w:rFonts w:ascii="Aptos" w:hAnsi="Aptos"/>
                <w:b/>
                <w:color w:val="17242E"/>
                <w:sz w:val="16"/>
              </w:rPr>
              <w:t>Security home lab</w:t>
            </w:r>
          </w:p>
        </w:tc>
        <w:tc>
          <w:tcPr>
            <w:tcW w:type="dxa" w:w="5328"/>
            <w:shd w:fill="FFFFFF"/>
            <w:vAlign w:val="center"/>
            <w:tcMar>
              <w:top w:w="70" w:type="dxa"/>
              <w:start w:w="95" w:type="dxa"/>
              <w:bottom w:w="70" w:type="dxa"/>
              <w:end w:w="95" w:type="dxa"/>
            </w:tcMar>
          </w:tcPr>
          <w:p>
            <w:pPr>
              <w:spacing w:after="0"/>
            </w:pPr>
            <w:r/>
            <w:r>
              <w:rPr>
                <w:rFonts w:ascii="Aptos" w:hAnsi="Aptos"/>
                <w:b w:val="0"/>
                <w:color w:val="17242E"/>
                <w:sz w:val="16"/>
              </w:rPr>
              <w:t>A unified target for detection engineering, telemetry study, attack simulation, response automation, and evidence review.</w:t>
            </w:r>
          </w:p>
        </w:tc>
        <w:tc>
          <w:tcPr>
            <w:tcW w:type="dxa" w:w="2232"/>
            <w:shd w:fill="FFFFFF"/>
            <w:vAlign w:val="center"/>
            <w:tcMar>
              <w:top w:w="70" w:type="dxa"/>
              <w:start w:w="95" w:type="dxa"/>
              <w:bottom w:w="70" w:type="dxa"/>
              <w:end w:w="95" w:type="dxa"/>
            </w:tcMar>
          </w:tcPr>
          <w:p>
            <w:pPr>
              <w:spacing w:after="0"/>
            </w:pPr>
            <w:r/>
            <w:r>
              <w:rPr>
                <w:rFonts w:ascii="Aptos" w:hAnsi="Aptos"/>
                <w:b w:val="0"/>
                <w:color w:val="17242E"/>
                <w:sz w:val="16"/>
              </w:rPr>
              <w:t>Advanced learners, builders, defenders</w:t>
            </w:r>
          </w:p>
        </w:tc>
      </w:tr>
      <w:tr>
        <w:trPr>
          <w:cantSplit/>
        </w:trPr>
        <w:tc>
          <w:tcPr>
            <w:tcW w:type="dxa" w:w="1944"/>
            <w:shd w:fill="F3F6F8"/>
            <w:vAlign w:val="center"/>
            <w:tcMar>
              <w:top w:w="70" w:type="dxa"/>
              <w:start w:w="95" w:type="dxa"/>
              <w:bottom w:w="70" w:type="dxa"/>
              <w:end w:w="95" w:type="dxa"/>
            </w:tcMar>
          </w:tcPr>
          <w:p>
            <w:pPr>
              <w:spacing w:after="0"/>
            </w:pPr>
            <w:r/>
            <w:r>
              <w:rPr>
                <w:rFonts w:ascii="Aptos" w:hAnsi="Aptos"/>
                <w:b/>
                <w:color w:val="17242E"/>
                <w:sz w:val="16"/>
              </w:rPr>
              <w:t>Blue-team workstation</w:t>
            </w:r>
          </w:p>
        </w:tc>
        <w:tc>
          <w:tcPr>
            <w:tcW w:type="dxa" w:w="5328"/>
            <w:shd w:fill="F3F6F8"/>
            <w:vAlign w:val="center"/>
            <w:tcMar>
              <w:top w:w="70" w:type="dxa"/>
              <w:start w:w="95" w:type="dxa"/>
              <w:bottom w:w="70" w:type="dxa"/>
              <w:end w:w="95" w:type="dxa"/>
            </w:tcMar>
          </w:tcPr>
          <w:p>
            <w:pPr>
              <w:spacing w:after="0"/>
            </w:pPr>
            <w:r/>
            <w:r>
              <w:rPr>
                <w:rFonts w:ascii="Aptos" w:hAnsi="Aptos"/>
                <w:b w:val="0"/>
                <w:color w:val="17242E"/>
                <w:sz w:val="16"/>
              </w:rPr>
              <w:t>Local monitoring, correlation, threat hunting, containment, deception, forensics, and daily security briefings.</w:t>
            </w:r>
          </w:p>
        </w:tc>
        <w:tc>
          <w:tcPr>
            <w:tcW w:type="dxa" w:w="2232"/>
            <w:shd w:fill="F3F6F8"/>
            <w:vAlign w:val="center"/>
            <w:tcMar>
              <w:top w:w="70" w:type="dxa"/>
              <w:start w:w="95" w:type="dxa"/>
              <w:bottom w:w="70" w:type="dxa"/>
              <w:end w:w="95" w:type="dxa"/>
            </w:tcMar>
          </w:tcPr>
          <w:p>
            <w:pPr>
              <w:spacing w:after="0"/>
            </w:pPr>
            <w:r/>
            <w:r>
              <w:rPr>
                <w:rFonts w:ascii="Aptos" w:hAnsi="Aptos"/>
                <w:b w:val="0"/>
                <w:color w:val="17242E"/>
                <w:sz w:val="16"/>
              </w:rPr>
              <w:t>Analysts and detection engineers</w:t>
            </w:r>
          </w:p>
        </w:tc>
      </w:tr>
      <w:tr>
        <w:trPr>
          <w:cantSplit/>
        </w:trPr>
        <w:tc>
          <w:tcPr>
            <w:tcW w:type="dxa" w:w="1944"/>
            <w:shd w:fill="FFFFFF"/>
            <w:vAlign w:val="center"/>
            <w:tcMar>
              <w:top w:w="70" w:type="dxa"/>
              <w:start w:w="95" w:type="dxa"/>
              <w:bottom w:w="70" w:type="dxa"/>
              <w:end w:w="95" w:type="dxa"/>
            </w:tcMar>
          </w:tcPr>
          <w:p>
            <w:pPr>
              <w:spacing w:after="0"/>
            </w:pPr>
            <w:r/>
            <w:r>
              <w:rPr>
                <w:rFonts w:ascii="Aptos" w:hAnsi="Aptos"/>
                <w:b/>
                <w:color w:val="17242E"/>
                <w:sz w:val="16"/>
              </w:rPr>
              <w:t>Purple-team range</w:t>
            </w:r>
          </w:p>
        </w:tc>
        <w:tc>
          <w:tcPr>
            <w:tcW w:type="dxa" w:w="5328"/>
            <w:shd w:fill="FFFFFF"/>
            <w:vAlign w:val="center"/>
            <w:tcMar>
              <w:top w:w="70" w:type="dxa"/>
              <w:start w:w="95" w:type="dxa"/>
              <w:bottom w:w="70" w:type="dxa"/>
              <w:end w:w="95" w:type="dxa"/>
            </w:tcMar>
          </w:tcPr>
          <w:p>
            <w:pPr>
              <w:spacing w:after="0"/>
            </w:pPr>
            <w:r/>
            <w:r>
              <w:rPr>
                <w:rFonts w:ascii="Aptos" w:hAnsi="Aptos"/>
                <w:b w:val="0"/>
                <w:color w:val="17242E"/>
                <w:sz w:val="16"/>
              </w:rPr>
              <w:t>Benign ATT&amp;CK-aligned drills with exact detector/action correlation, closure evidence, and repeatable validation.</w:t>
            </w:r>
          </w:p>
        </w:tc>
        <w:tc>
          <w:tcPr>
            <w:tcW w:type="dxa" w:w="2232"/>
            <w:shd w:fill="FFFFFF"/>
            <w:vAlign w:val="center"/>
            <w:tcMar>
              <w:top w:w="70" w:type="dxa"/>
              <w:start w:w="95" w:type="dxa"/>
              <w:bottom w:w="70" w:type="dxa"/>
              <w:end w:w="95" w:type="dxa"/>
            </w:tcMar>
          </w:tcPr>
          <w:p>
            <w:pPr>
              <w:spacing w:after="0"/>
            </w:pPr>
            <w:r/>
            <w:r>
              <w:rPr>
                <w:rFonts w:ascii="Aptos" w:hAnsi="Aptos"/>
                <w:b w:val="0"/>
                <w:color w:val="17242E"/>
                <w:sz w:val="16"/>
              </w:rPr>
              <w:t>Purple teams and training labs</w:t>
            </w:r>
          </w:p>
        </w:tc>
      </w:tr>
      <w:tr>
        <w:trPr>
          <w:cantSplit/>
        </w:trPr>
        <w:tc>
          <w:tcPr>
            <w:tcW w:type="dxa" w:w="1944"/>
            <w:shd w:fill="F3F6F8"/>
            <w:vAlign w:val="center"/>
            <w:tcMar>
              <w:top w:w="70" w:type="dxa"/>
              <w:start w:w="95" w:type="dxa"/>
              <w:bottom w:w="70" w:type="dxa"/>
              <w:end w:w="95" w:type="dxa"/>
            </w:tcMar>
          </w:tcPr>
          <w:p>
            <w:pPr>
              <w:spacing w:after="0"/>
            </w:pPr>
            <w:r/>
            <w:r>
              <w:rPr>
                <w:rFonts w:ascii="Aptos" w:hAnsi="Aptos"/>
                <w:b/>
                <w:color w:val="17242E"/>
                <w:sz w:val="16"/>
              </w:rPr>
              <w:t>Small environment defense</w:t>
            </w:r>
          </w:p>
        </w:tc>
        <w:tc>
          <w:tcPr>
            <w:tcW w:type="dxa" w:w="5328"/>
            <w:shd w:fill="F3F6F8"/>
            <w:vAlign w:val="center"/>
            <w:tcMar>
              <w:top w:w="70" w:type="dxa"/>
              <w:start w:w="95" w:type="dxa"/>
              <w:bottom w:w="70" w:type="dxa"/>
              <w:end w:w="95" w:type="dxa"/>
            </w:tcMar>
          </w:tcPr>
          <w:p>
            <w:pPr>
              <w:spacing w:after="0"/>
            </w:pPr>
            <w:r/>
            <w:r>
              <w:rPr>
                <w:rFonts w:ascii="Aptos" w:hAnsi="Aptos"/>
                <w:b w:val="0"/>
                <w:color w:val="17242E"/>
                <w:sz w:val="16"/>
              </w:rPr>
              <w:t>Single-host protection plus optional SIEM, mobile, and secure remote-telemetry bridges.</w:t>
            </w:r>
          </w:p>
        </w:tc>
        <w:tc>
          <w:tcPr>
            <w:tcW w:type="dxa" w:w="2232"/>
            <w:shd w:fill="F3F6F8"/>
            <w:vAlign w:val="center"/>
            <w:tcMar>
              <w:top w:w="70" w:type="dxa"/>
              <w:start w:w="95" w:type="dxa"/>
              <w:bottom w:w="70" w:type="dxa"/>
              <w:end w:w="95" w:type="dxa"/>
            </w:tcMar>
          </w:tcPr>
          <w:p>
            <w:pPr>
              <w:spacing w:after="0"/>
            </w:pPr>
            <w:r/>
            <w:r>
              <w:rPr>
                <w:rFonts w:ascii="Aptos" w:hAnsi="Aptos"/>
                <w:b w:val="0"/>
                <w:color w:val="17242E"/>
                <w:sz w:val="16"/>
              </w:rPr>
              <w:t>Labs and small controlled deployments</w:t>
            </w:r>
          </w:p>
        </w:tc>
      </w:tr>
      <w:tr>
        <w:trPr>
          <w:cantSplit/>
        </w:trPr>
        <w:tc>
          <w:tcPr>
            <w:tcW w:type="dxa" w:w="1944"/>
            <w:shd w:fill="FFFFFF"/>
            <w:vAlign w:val="center"/>
            <w:tcMar>
              <w:top w:w="70" w:type="dxa"/>
              <w:start w:w="95" w:type="dxa"/>
              <w:bottom w:w="70" w:type="dxa"/>
              <w:end w:w="95" w:type="dxa"/>
            </w:tcMar>
          </w:tcPr>
          <w:p>
            <w:pPr>
              <w:spacing w:after="0"/>
            </w:pPr>
            <w:r/>
            <w:r>
              <w:rPr>
                <w:rFonts w:ascii="Aptos" w:hAnsi="Aptos"/>
                <w:b/>
                <w:color w:val="17242E"/>
                <w:sz w:val="16"/>
              </w:rPr>
              <w:t>Security engineering portfolio</w:t>
            </w:r>
          </w:p>
        </w:tc>
        <w:tc>
          <w:tcPr>
            <w:tcW w:type="dxa" w:w="5328"/>
            <w:shd w:fill="FFFFFF"/>
            <w:vAlign w:val="center"/>
            <w:tcMar>
              <w:top w:w="70" w:type="dxa"/>
              <w:start w:w="95" w:type="dxa"/>
              <w:bottom w:w="70" w:type="dxa"/>
              <w:end w:w="95" w:type="dxa"/>
            </w:tcMar>
          </w:tcPr>
          <w:p>
            <w:pPr>
              <w:spacing w:after="0"/>
            </w:pPr>
            <w:r/>
            <w:r>
              <w:rPr>
                <w:rFonts w:ascii="Aptos" w:hAnsi="Aptos"/>
                <w:b w:val="0"/>
                <w:color w:val="17242E"/>
                <w:sz w:val="16"/>
              </w:rPr>
              <w:t>A substantial Python/Qt system demonstrating secure architecture, endpoint telemetry, automation, testing, packaging, and documentation.</w:t>
            </w:r>
          </w:p>
        </w:tc>
        <w:tc>
          <w:tcPr>
            <w:tcW w:type="dxa" w:w="2232"/>
            <w:shd w:fill="FFFFFF"/>
            <w:vAlign w:val="center"/>
            <w:tcMar>
              <w:top w:w="70" w:type="dxa"/>
              <w:start w:w="95" w:type="dxa"/>
              <w:bottom w:w="70" w:type="dxa"/>
              <w:end w:w="95" w:type="dxa"/>
            </w:tcMar>
          </w:tcPr>
          <w:p>
            <w:pPr>
              <w:spacing w:after="0"/>
            </w:pPr>
            <w:r/>
            <w:r>
              <w:rPr>
                <w:rFonts w:ascii="Aptos" w:hAnsi="Aptos"/>
                <w:b w:val="0"/>
                <w:color w:val="17242E"/>
                <w:sz w:val="16"/>
              </w:rPr>
              <w:t>Employment and technical review</w:t>
            </w:r>
          </w:p>
        </w:tc>
      </w:tr>
      <w:tr>
        <w:trPr>
          <w:cantSplit/>
        </w:trPr>
        <w:tc>
          <w:tcPr>
            <w:tcW w:type="dxa" w:w="1944"/>
            <w:shd w:fill="F3F6F8"/>
            <w:vAlign w:val="center"/>
            <w:tcMar>
              <w:top w:w="70" w:type="dxa"/>
              <w:start w:w="95" w:type="dxa"/>
              <w:bottom w:w="70" w:type="dxa"/>
              <w:end w:w="95" w:type="dxa"/>
            </w:tcMar>
          </w:tcPr>
          <w:p>
            <w:pPr>
              <w:spacing w:after="0"/>
            </w:pPr>
            <w:r/>
            <w:r>
              <w:rPr>
                <w:rFonts w:ascii="Aptos" w:hAnsi="Aptos"/>
                <w:b/>
                <w:color w:val="17242E"/>
                <w:sz w:val="16"/>
              </w:rPr>
              <w:t>Research platform</w:t>
            </w:r>
          </w:p>
        </w:tc>
        <w:tc>
          <w:tcPr>
            <w:tcW w:type="dxa" w:w="5328"/>
            <w:shd w:fill="F3F6F8"/>
            <w:vAlign w:val="center"/>
            <w:tcMar>
              <w:top w:w="70" w:type="dxa"/>
              <w:start w:w="95" w:type="dxa"/>
              <w:bottom w:w="70" w:type="dxa"/>
              <w:end w:w="95" w:type="dxa"/>
            </w:tcMar>
          </w:tcPr>
          <w:p>
            <w:pPr>
              <w:spacing w:after="0"/>
            </w:pPr>
            <w:r/>
            <w:r>
              <w:rPr>
                <w:rFonts w:ascii="Aptos" w:hAnsi="Aptos"/>
                <w:b w:val="0"/>
                <w:color w:val="17242E"/>
                <w:sz w:val="16"/>
              </w:rPr>
              <w:t>Extensible modules, normalized events, local AI, causal evidence graphs, and a deterministic test harness.</w:t>
            </w:r>
          </w:p>
        </w:tc>
        <w:tc>
          <w:tcPr>
            <w:tcW w:type="dxa" w:w="2232"/>
            <w:shd w:fill="F3F6F8"/>
            <w:vAlign w:val="center"/>
            <w:tcMar>
              <w:top w:w="70" w:type="dxa"/>
              <w:start w:w="95" w:type="dxa"/>
              <w:bottom w:w="70" w:type="dxa"/>
              <w:end w:w="95" w:type="dxa"/>
            </w:tcMar>
          </w:tcPr>
          <w:p>
            <w:pPr>
              <w:spacing w:after="0"/>
            </w:pPr>
            <w:r/>
            <w:r>
              <w:rPr>
                <w:rFonts w:ascii="Aptos" w:hAnsi="Aptos"/>
                <w:b w:val="0"/>
                <w:color w:val="17242E"/>
                <w:sz w:val="16"/>
              </w:rPr>
              <w:t>Prototype and defensive R&amp;D</w:t>
            </w:r>
          </w:p>
        </w:tc>
      </w:tr>
    </w:tbl>
    <w:p>
      <w:pPr>
        <w:spacing w:after="20"/>
      </w:pPr>
    </w:p>
    <w:p>
      <w:pPr>
        <w:pStyle w:val="Heading1"/>
        <w:keepNext/>
      </w:pPr>
      <w:r>
        <w:t>3. Platform Capability Map</w:t>
      </w:r>
    </w:p>
    <w:tbl>
      <w:tblPr>
        <w:tblStyle w:val="TableGrid"/>
        <w:tblW w:type="auto" w:w="0"/>
        <w:jc w:val="center"/>
        <w:tblLayout w:type="fixed"/>
        <w:tblLook w:firstColumn="1" w:firstRow="1" w:lastColumn="0" w:lastRow="0" w:noHBand="0" w:noVBand="1" w:val="04A0"/>
      </w:tblPr>
      <w:tblGrid>
        <w:gridCol w:w="5227"/>
        <w:gridCol w:w="5227"/>
      </w:tblGrid>
      <w:tr>
        <w:trPr>
          <w:tblHeader/>
          <w:cantSplit/>
        </w:trPr>
        <w:tc>
          <w:tcPr>
            <w:tcW w:type="dxa" w:w="2376"/>
            <w:shd w:fill="081B2C"/>
            <w:vAlign w:val="center"/>
            <w:tcMar>
              <w:top w:w="70" w:type="dxa"/>
              <w:start w:w="95" w:type="dxa"/>
              <w:bottom w:w="70" w:type="dxa"/>
              <w:end w:w="95" w:type="dxa"/>
            </w:tcMar>
          </w:tcPr>
          <w:p>
            <w:pPr>
              <w:spacing w:after="0"/>
            </w:pPr>
            <w:r/>
            <w:r>
              <w:rPr>
                <w:rFonts w:ascii="Aptos" w:hAnsi="Aptos"/>
                <w:b/>
                <w:color w:val="FFFFFF"/>
                <w:sz w:val="17"/>
              </w:rPr>
              <w:t>Capability area</w:t>
            </w:r>
          </w:p>
        </w:tc>
        <w:tc>
          <w:tcPr>
            <w:tcW w:type="dxa" w:w="7200"/>
            <w:shd w:fill="081B2C"/>
            <w:vAlign w:val="center"/>
            <w:tcMar>
              <w:top w:w="70" w:type="dxa"/>
              <w:start w:w="95" w:type="dxa"/>
              <w:bottom w:w="70" w:type="dxa"/>
              <w:end w:w="95" w:type="dxa"/>
            </w:tcMar>
          </w:tcPr>
          <w:p>
            <w:pPr>
              <w:spacing w:after="0"/>
            </w:pPr>
            <w:r/>
            <w:r>
              <w:rPr>
                <w:rFonts w:ascii="Aptos" w:hAnsi="Aptos"/>
                <w:b/>
                <w:color w:val="FFFFFF"/>
                <w:sz w:val="17"/>
              </w:rPr>
              <w:t>Current implementation</w:t>
            </w:r>
          </w:p>
        </w:tc>
      </w:tr>
      <w:tr>
        <w:trPr>
          <w:cantSplit/>
        </w:trPr>
        <w:tc>
          <w:tcPr>
            <w:tcW w:type="dxa" w:w="2376"/>
            <w:shd w:fill="FFFFFF"/>
            <w:vAlign w:val="center"/>
            <w:tcMar>
              <w:top w:w="70" w:type="dxa"/>
              <w:start w:w="95" w:type="dxa"/>
              <w:bottom w:w="70" w:type="dxa"/>
              <w:end w:w="95" w:type="dxa"/>
            </w:tcMar>
          </w:tcPr>
          <w:p>
            <w:pPr>
              <w:spacing w:after="0"/>
            </w:pPr>
            <w:r/>
            <w:r>
              <w:rPr>
                <w:rFonts w:ascii="Aptos" w:hAnsi="Aptos"/>
                <w:b/>
                <w:color w:val="17242E"/>
                <w:sz w:val="16"/>
              </w:rPr>
              <w:t>Endpoint telemetry</w:t>
            </w:r>
          </w:p>
        </w:tc>
        <w:tc>
          <w:tcPr>
            <w:tcW w:type="dxa" w:w="7200"/>
            <w:shd w:fill="FFFFFF"/>
            <w:vAlign w:val="center"/>
            <w:tcMar>
              <w:top w:w="70" w:type="dxa"/>
              <w:start w:w="95" w:type="dxa"/>
              <w:bottom w:w="70" w:type="dxa"/>
              <w:end w:w="95" w:type="dxa"/>
            </w:tcMar>
          </w:tcPr>
          <w:p>
            <w:pPr>
              <w:spacing w:after="0"/>
            </w:pPr>
            <w:r/>
            <w:r>
              <w:rPr>
                <w:rFonts w:ascii="Aptos" w:hAnsi="Aptos"/>
                <w:b w:val="0"/>
                <w:color w:val="17242E"/>
                <w:sz w:val="16"/>
              </w:rPr>
              <w:t>Processes, files, memory, persistence, Defender, AMSI, Sysmon, ETW, WFP posture, recovery tamper, USB, and optional kernel/eBPF paths.</w:t>
            </w:r>
          </w:p>
        </w:tc>
      </w:tr>
      <w:tr>
        <w:trPr>
          <w:cantSplit/>
        </w:trPr>
        <w:tc>
          <w:tcPr>
            <w:tcW w:type="dxa" w:w="2376"/>
            <w:shd w:fill="F3F6F8"/>
            <w:vAlign w:val="center"/>
            <w:tcMar>
              <w:top w:w="70" w:type="dxa"/>
              <w:start w:w="95" w:type="dxa"/>
              <w:bottom w:w="70" w:type="dxa"/>
              <w:end w:w="95" w:type="dxa"/>
            </w:tcMar>
          </w:tcPr>
          <w:p>
            <w:pPr>
              <w:spacing w:after="0"/>
            </w:pPr>
            <w:r/>
            <w:r>
              <w:rPr>
                <w:rFonts w:ascii="Aptos" w:hAnsi="Aptos"/>
                <w:b/>
                <w:color w:val="17242E"/>
                <w:sz w:val="16"/>
              </w:rPr>
              <w:t>Network defense</w:t>
            </w:r>
          </w:p>
        </w:tc>
        <w:tc>
          <w:tcPr>
            <w:tcW w:type="dxa" w:w="7200"/>
            <w:shd w:fill="F3F6F8"/>
            <w:vAlign w:val="center"/>
            <w:tcMar>
              <w:top w:w="70" w:type="dxa"/>
              <w:start w:w="95" w:type="dxa"/>
              <w:bottom w:w="70" w:type="dxa"/>
              <w:end w:w="95" w:type="dxa"/>
            </w:tcMar>
          </w:tcPr>
          <w:p>
            <w:pPr>
              <w:spacing w:after="0"/>
            </w:pPr>
            <w:r/>
            <w:r>
              <w:rPr>
                <w:rFonts w:ascii="Aptos" w:hAnsi="Aptos"/>
                <w:b w:val="0"/>
                <w:color w:val="17242E"/>
                <w:sz w:val="16"/>
              </w:rPr>
              <w:t>Connection monitoring, PID/port attribution, packet inspection, DNS anomaly analysis, C2 cadence detection, ARP and WLAN monitoring, exact-IOC blocking, and isolation.</w:t>
            </w:r>
          </w:p>
        </w:tc>
      </w:tr>
      <w:tr>
        <w:trPr>
          <w:cantSplit/>
        </w:trPr>
        <w:tc>
          <w:tcPr>
            <w:tcW w:type="dxa" w:w="2376"/>
            <w:shd w:fill="FFFFFF"/>
            <w:vAlign w:val="center"/>
            <w:tcMar>
              <w:top w:w="70" w:type="dxa"/>
              <w:start w:w="95" w:type="dxa"/>
              <w:bottom w:w="70" w:type="dxa"/>
              <w:end w:w="95" w:type="dxa"/>
            </w:tcMar>
          </w:tcPr>
          <w:p>
            <w:pPr>
              <w:spacing w:after="0"/>
            </w:pPr>
            <w:r/>
            <w:r>
              <w:rPr>
                <w:rFonts w:ascii="Aptos" w:hAnsi="Aptos"/>
                <w:b/>
                <w:color w:val="17242E"/>
                <w:sz w:val="16"/>
              </w:rPr>
              <w:t>Autonomous response</w:t>
            </w:r>
          </w:p>
        </w:tc>
        <w:tc>
          <w:tcPr>
            <w:tcW w:type="dxa" w:w="7200"/>
            <w:shd w:fill="FFFFFF"/>
            <w:vAlign w:val="center"/>
            <w:tcMar>
              <w:top w:w="70" w:type="dxa"/>
              <w:start w:w="95" w:type="dxa"/>
              <w:bottom w:w="70" w:type="dxa"/>
              <w:end w:w="95" w:type="dxa"/>
            </w:tcMar>
          </w:tcPr>
          <w:p>
            <w:pPr>
              <w:spacing w:after="0"/>
            </w:pPr>
            <w:r/>
            <w:r>
              <w:rPr>
                <w:rFonts w:ascii="Aptos" w:hAnsi="Aptos"/>
                <w:b w:val="0"/>
                <w:color w:val="17242E"/>
                <w:sz w:val="16"/>
              </w:rPr>
              <w:t>Standing-authority Adversary Combat plus SOAR playbooks for process containment, file quarantine, network blocking, host isolation, and deception activation.</w:t>
            </w:r>
          </w:p>
        </w:tc>
      </w:tr>
      <w:tr>
        <w:trPr>
          <w:cantSplit/>
        </w:trPr>
        <w:tc>
          <w:tcPr>
            <w:tcW w:type="dxa" w:w="2376"/>
            <w:shd w:fill="F3F6F8"/>
            <w:vAlign w:val="center"/>
            <w:tcMar>
              <w:top w:w="70" w:type="dxa"/>
              <w:start w:w="95" w:type="dxa"/>
              <w:bottom w:w="70" w:type="dxa"/>
              <w:end w:w="95" w:type="dxa"/>
            </w:tcMar>
          </w:tcPr>
          <w:p>
            <w:pPr>
              <w:spacing w:after="0"/>
            </w:pPr>
            <w:r/>
            <w:r>
              <w:rPr>
                <w:rFonts w:ascii="Aptos" w:hAnsi="Aptos"/>
                <w:b/>
                <w:color w:val="17242E"/>
                <w:sz w:val="16"/>
              </w:rPr>
              <w:t>Detection engineering</w:t>
            </w:r>
          </w:p>
        </w:tc>
        <w:tc>
          <w:tcPr>
            <w:tcW w:type="dxa" w:w="7200"/>
            <w:shd w:fill="F3F6F8"/>
            <w:vAlign w:val="center"/>
            <w:tcMar>
              <w:top w:w="70" w:type="dxa"/>
              <w:start w:w="95" w:type="dxa"/>
              <w:bottom w:w="70" w:type="dxa"/>
              <w:end w:w="95" w:type="dxa"/>
            </w:tcMar>
          </w:tcPr>
          <w:p>
            <w:pPr>
              <w:spacing w:after="0"/>
            </w:pPr>
            <w:r/>
            <w:r>
              <w:rPr>
                <w:rFonts w:ascii="Aptos" w:hAnsi="Aptos"/>
                <w:b w:val="0"/>
                <w:color w:val="17242E"/>
                <w:sz w:val="16"/>
              </w:rPr>
              <w:t>YARA, deterministic IOC fast paths, evidence fusion, ATT&amp;CK mapping, learned baselines, Purple Remediation Guard, and evolution from verified misses.</w:t>
            </w:r>
          </w:p>
        </w:tc>
      </w:tr>
      <w:tr>
        <w:trPr>
          <w:cantSplit/>
        </w:trPr>
        <w:tc>
          <w:tcPr>
            <w:tcW w:type="dxa" w:w="2376"/>
            <w:shd w:fill="FFFFFF"/>
            <w:vAlign w:val="center"/>
            <w:tcMar>
              <w:top w:w="70" w:type="dxa"/>
              <w:start w:w="95" w:type="dxa"/>
              <w:bottom w:w="70" w:type="dxa"/>
              <w:end w:w="95" w:type="dxa"/>
            </w:tcMar>
          </w:tcPr>
          <w:p>
            <w:pPr>
              <w:spacing w:after="0"/>
            </w:pPr>
            <w:r/>
            <w:r>
              <w:rPr>
                <w:rFonts w:ascii="Aptos" w:hAnsi="Aptos"/>
                <w:b/>
                <w:color w:val="17242E"/>
                <w:sz w:val="16"/>
              </w:rPr>
              <w:t>Investigation and proof</w:t>
            </w:r>
          </w:p>
        </w:tc>
        <w:tc>
          <w:tcPr>
            <w:tcW w:type="dxa" w:w="7200"/>
            <w:shd w:fill="FFFFFF"/>
            <w:vAlign w:val="center"/>
            <w:tcMar>
              <w:top w:w="70" w:type="dxa"/>
              <w:start w:w="95" w:type="dxa"/>
              <w:bottom w:w="70" w:type="dxa"/>
              <w:end w:w="95" w:type="dxa"/>
            </w:tcMar>
          </w:tcPr>
          <w:p>
            <w:pPr>
              <w:spacing w:after="0"/>
            </w:pPr>
            <w:r/>
            <w:r>
              <w:rPr>
                <w:rFonts w:ascii="Aptos" w:hAnsi="Aptos"/>
                <w:b w:val="0"/>
                <w:color w:val="17242E"/>
                <w:sz w:val="16"/>
              </w:rPr>
              <w:t>Tamper-evident flight recorder, causal incident graph, process provenance, forensics capture, signed reports, action receipts, and after-action reports.</w:t>
            </w:r>
          </w:p>
        </w:tc>
      </w:tr>
      <w:tr>
        <w:trPr>
          <w:cantSplit/>
        </w:trPr>
        <w:tc>
          <w:tcPr>
            <w:tcW w:type="dxa" w:w="2376"/>
            <w:shd w:fill="F3F6F8"/>
            <w:vAlign w:val="center"/>
            <w:tcMar>
              <w:top w:w="70" w:type="dxa"/>
              <w:start w:w="95" w:type="dxa"/>
              <w:bottom w:w="70" w:type="dxa"/>
              <w:end w:w="95" w:type="dxa"/>
            </w:tcMar>
          </w:tcPr>
          <w:p>
            <w:pPr>
              <w:spacing w:after="0"/>
            </w:pPr>
            <w:r/>
            <w:r>
              <w:rPr>
                <w:rFonts w:ascii="Aptos" w:hAnsi="Aptos"/>
                <w:b/>
                <w:color w:val="17242E"/>
                <w:sz w:val="16"/>
              </w:rPr>
              <w:t>Local AI and ARIA</w:t>
            </w:r>
          </w:p>
        </w:tc>
        <w:tc>
          <w:tcPr>
            <w:tcW w:type="dxa" w:w="7200"/>
            <w:shd w:fill="F3F6F8"/>
            <w:vAlign w:val="center"/>
            <w:tcMar>
              <w:top w:w="70" w:type="dxa"/>
              <w:start w:w="95" w:type="dxa"/>
              <w:bottom w:w="70" w:type="dxa"/>
              <w:end w:w="95" w:type="dxa"/>
            </w:tcMar>
          </w:tcPr>
          <w:p>
            <w:pPr>
              <w:spacing w:after="0"/>
            </w:pPr>
            <w:r/>
            <w:r>
              <w:rPr>
                <w:rFonts w:ascii="Aptos" w:hAnsi="Aptos"/>
                <w:b w:val="0"/>
                <w:color w:val="17242E"/>
                <w:sz w:val="16"/>
              </w:rPr>
              <w:t>Ollama-based triage, assistant tools, runbook retrieval, briefings, voice options, research connectors, model integrity, and constrained patch staging.</w:t>
            </w:r>
          </w:p>
        </w:tc>
      </w:tr>
      <w:tr>
        <w:trPr>
          <w:cantSplit/>
        </w:trPr>
        <w:tc>
          <w:tcPr>
            <w:tcW w:type="dxa" w:w="2376"/>
            <w:shd w:fill="FFFFFF"/>
            <w:vAlign w:val="center"/>
            <w:tcMar>
              <w:top w:w="70" w:type="dxa"/>
              <w:start w:w="95" w:type="dxa"/>
              <w:bottom w:w="70" w:type="dxa"/>
              <w:end w:w="95" w:type="dxa"/>
            </w:tcMar>
          </w:tcPr>
          <w:p>
            <w:pPr>
              <w:spacing w:after="0"/>
            </w:pPr>
            <w:r/>
            <w:r>
              <w:rPr>
                <w:rFonts w:ascii="Aptos" w:hAnsi="Aptos"/>
                <w:b/>
                <w:color w:val="17242E"/>
                <w:sz w:val="16"/>
              </w:rPr>
              <w:t>Resilience</w:t>
            </w:r>
          </w:p>
        </w:tc>
        <w:tc>
          <w:tcPr>
            <w:tcW w:type="dxa" w:w="7200"/>
            <w:shd w:fill="FFFFFF"/>
            <w:vAlign w:val="center"/>
            <w:tcMar>
              <w:top w:w="70" w:type="dxa"/>
              <w:start w:w="95" w:type="dxa"/>
              <w:bottom w:w="70" w:type="dxa"/>
              <w:end w:w="95" w:type="dxa"/>
            </w:tcMar>
          </w:tcPr>
          <w:p>
            <w:pPr>
              <w:spacing w:after="0"/>
            </w:pPr>
            <w:r/>
            <w:r>
              <w:rPr>
                <w:rFonts w:ascii="Aptos" w:hAnsi="Aptos"/>
                <w:b w:val="0"/>
                <w:color w:val="17242E"/>
                <w:sz w:val="16"/>
              </w:rPr>
              <w:t>Module supervision, watchdogs, anti-suspension heartbeat, telemetry canaries, chaos probes, self-integrity checks, bounded caches, and adaptive resource governors.</w:t>
            </w:r>
          </w:p>
        </w:tc>
      </w:tr>
      <w:tr>
        <w:trPr>
          <w:cantSplit/>
        </w:trPr>
        <w:tc>
          <w:tcPr>
            <w:tcW w:type="dxa" w:w="2376"/>
            <w:shd w:fill="F3F6F8"/>
            <w:vAlign w:val="center"/>
            <w:tcMar>
              <w:top w:w="70" w:type="dxa"/>
              <w:start w:w="95" w:type="dxa"/>
              <w:bottom w:w="70" w:type="dxa"/>
              <w:end w:w="95" w:type="dxa"/>
            </w:tcMar>
          </w:tcPr>
          <w:p>
            <w:pPr>
              <w:spacing w:after="0"/>
            </w:pPr>
            <w:r/>
            <w:r>
              <w:rPr>
                <w:rFonts w:ascii="Aptos" w:hAnsi="Aptos"/>
                <w:b/>
                <w:color w:val="17242E"/>
                <w:sz w:val="16"/>
              </w:rPr>
              <w:t>Operations</w:t>
            </w:r>
          </w:p>
        </w:tc>
        <w:tc>
          <w:tcPr>
            <w:tcW w:type="dxa" w:w="7200"/>
            <w:shd w:fill="F3F6F8"/>
            <w:vAlign w:val="center"/>
            <w:tcMar>
              <w:top w:w="70" w:type="dxa"/>
              <w:start w:w="95" w:type="dxa"/>
              <w:bottom w:w="70" w:type="dxa"/>
              <w:end w:w="95" w:type="dxa"/>
            </w:tcMar>
          </w:tcPr>
          <w:p>
            <w:pPr>
              <w:spacing w:after="0"/>
            </w:pPr>
            <w:r/>
            <w:r>
              <w:rPr>
                <w:rFonts w:ascii="Aptos" w:hAnsi="Aptos"/>
                <w:b w:val="0"/>
                <w:color w:val="17242E"/>
                <w:sz w:val="16"/>
              </w:rPr>
              <w:t>Desktop dashboard, command console, ATT&amp;CK coverage, threat intelligence, settings, readiness assessment, diagnostics, self-tests, installers, and release verification.</w:t>
            </w:r>
          </w:p>
        </w:tc>
      </w:tr>
      <w:tr>
        <w:trPr>
          <w:cantSplit/>
        </w:trPr>
        <w:tc>
          <w:tcPr>
            <w:tcW w:type="dxa" w:w="2376"/>
            <w:shd w:fill="FFFFFF"/>
            <w:vAlign w:val="center"/>
            <w:tcMar>
              <w:top w:w="70" w:type="dxa"/>
              <w:start w:w="95" w:type="dxa"/>
              <w:bottom w:w="70" w:type="dxa"/>
              <w:end w:w="95" w:type="dxa"/>
            </w:tcMar>
          </w:tcPr>
          <w:p>
            <w:pPr>
              <w:spacing w:after="0"/>
            </w:pPr>
            <w:r/>
            <w:r>
              <w:rPr>
                <w:rFonts w:ascii="Aptos" w:hAnsi="Aptos"/>
                <w:b/>
                <w:color w:val="17242E"/>
                <w:sz w:val="16"/>
              </w:rPr>
              <w:t>Integration</w:t>
            </w:r>
          </w:p>
        </w:tc>
        <w:tc>
          <w:tcPr>
            <w:tcW w:type="dxa" w:w="7200"/>
            <w:shd w:fill="FFFFFF"/>
            <w:vAlign w:val="center"/>
            <w:tcMar>
              <w:top w:w="70" w:type="dxa"/>
              <w:start w:w="95" w:type="dxa"/>
              <w:bottom w:w="70" w:type="dxa"/>
              <w:end w:w="95" w:type="dxa"/>
            </w:tcMar>
          </w:tcPr>
          <w:p>
            <w:pPr>
              <w:spacing w:after="0"/>
            </w:pPr>
            <w:r/>
            <w:r>
              <w:rPr>
                <w:rFonts w:ascii="Aptos" w:hAnsi="Aptos"/>
                <w:b w:val="0"/>
                <w:color w:val="17242E"/>
                <w:sz w:val="16"/>
              </w:rPr>
              <w:t>CEF/Syslog SIEM forwarding, encrypted remote telemetry, mobile response, local MCP surface, reports, status exports, and signed extension manifests.</w:t>
            </w:r>
          </w:p>
        </w:tc>
      </w:tr>
      <w:tr>
        <w:trPr>
          <w:cantSplit/>
        </w:trPr>
        <w:tc>
          <w:tcPr>
            <w:tcW w:type="dxa" w:w="2376"/>
            <w:shd w:fill="F3F6F8"/>
            <w:vAlign w:val="center"/>
            <w:tcMar>
              <w:top w:w="70" w:type="dxa"/>
              <w:start w:w="95" w:type="dxa"/>
              <w:bottom w:w="70" w:type="dxa"/>
              <w:end w:w="95" w:type="dxa"/>
            </w:tcMar>
          </w:tcPr>
          <w:p>
            <w:pPr>
              <w:spacing w:after="0"/>
            </w:pPr>
            <w:r/>
            <w:r>
              <w:rPr>
                <w:rFonts w:ascii="Aptos" w:hAnsi="Aptos"/>
                <w:b/>
                <w:color w:val="17242E"/>
                <w:sz w:val="16"/>
              </w:rPr>
              <w:t>Privacy and trust</w:t>
            </w:r>
          </w:p>
        </w:tc>
        <w:tc>
          <w:tcPr>
            <w:tcW w:type="dxa" w:w="7200"/>
            <w:shd w:fill="F3F6F8"/>
            <w:vAlign w:val="center"/>
            <w:tcMar>
              <w:top w:w="70" w:type="dxa"/>
              <w:start w:w="95" w:type="dxa"/>
              <w:bottom w:w="70" w:type="dxa"/>
              <w:end w:w="95" w:type="dxa"/>
            </w:tcMar>
          </w:tcPr>
          <w:p>
            <w:pPr>
              <w:spacing w:after="0"/>
            </w:pPr>
            <w:r/>
            <w:r>
              <w:rPr>
                <w:rFonts w:ascii="Aptos" w:hAnsi="Aptos"/>
                <w:b w:val="0"/>
                <w:color w:val="17242E"/>
                <w:sz w:val="16"/>
              </w:rPr>
              <w:t>Protected local storage, secret redaction, opt-in egress, encrypted bridges, signed events, exact-source extension verification, and bounded cloud payloads.</w:t>
            </w:r>
          </w:p>
        </w:tc>
      </w:tr>
    </w:tbl>
    <w:p>
      <w:pPr>
        <w:spacing w:after="20"/>
      </w:pPr>
    </w:p>
    <w:p>
      <w:pPr>
        <w:pStyle w:val="Heading1"/>
        <w:keepNext/>
      </w:pPr>
      <w:r>
        <w:t>4. Adversary Combat: Standing-Authority Response</w:t>
      </w:r>
    </w:p>
    <w:p>
      <w:r>
        <w:t>Adversary Combat is the unattended response tier. Once armed in Settings, it consumes authenticated detector evidence and acts immediately without asking for permission on each incident. Maximum mode explicitly accepts availability risk.</w:t>
      </w:r>
    </w:p>
    <w:tbl>
      <w:tblPr>
        <w:tblStyle w:val="TableGrid"/>
        <w:tblW w:type="auto" w:w="0"/>
        <w:jc w:val="center"/>
        <w:tblLayout w:type="fixed"/>
        <w:tblLook w:firstColumn="1" w:firstRow="1" w:lastColumn="0" w:lastRow="0" w:noHBand="0" w:noVBand="1" w:val="04A0"/>
      </w:tblPr>
      <w:tblGrid>
        <w:gridCol w:w="5227"/>
        <w:gridCol w:w="5227"/>
      </w:tblGrid>
      <w:tr>
        <w:trPr>
          <w:tblHeader/>
          <w:cantSplit/>
        </w:trPr>
        <w:tc>
          <w:tcPr>
            <w:tcW w:type="dxa" w:w="2376"/>
            <w:shd w:fill="081B2C"/>
            <w:vAlign w:val="center"/>
            <w:tcMar>
              <w:top w:w="70" w:type="dxa"/>
              <w:start w:w="95" w:type="dxa"/>
              <w:bottom w:w="70" w:type="dxa"/>
              <w:end w:w="95" w:type="dxa"/>
            </w:tcMar>
          </w:tcPr>
          <w:p>
            <w:pPr>
              <w:spacing w:after="0"/>
            </w:pPr>
            <w:r/>
            <w:r>
              <w:rPr>
                <w:rFonts w:ascii="Aptos" w:hAnsi="Aptos"/>
                <w:b/>
                <w:color w:val="FFFFFF"/>
                <w:sz w:val="17"/>
              </w:rPr>
              <w:t>Control</w:t>
            </w:r>
          </w:p>
        </w:tc>
        <w:tc>
          <w:tcPr>
            <w:tcW w:type="dxa" w:w="7200"/>
            <w:shd w:fill="081B2C"/>
            <w:vAlign w:val="center"/>
            <w:tcMar>
              <w:top w:w="70" w:type="dxa"/>
              <w:start w:w="95" w:type="dxa"/>
              <w:bottom w:w="70" w:type="dxa"/>
              <w:end w:w="95" w:type="dxa"/>
            </w:tcMar>
          </w:tcPr>
          <w:p>
            <w:pPr>
              <w:spacing w:after="0"/>
            </w:pPr>
            <w:r/>
            <w:r>
              <w:rPr>
                <w:rFonts w:ascii="Aptos" w:hAnsi="Aptos"/>
                <w:b/>
                <w:color w:val="FFFFFF"/>
                <w:sz w:val="17"/>
              </w:rPr>
              <w:t>Current choices / behavior</w:t>
            </w:r>
          </w:p>
        </w:tc>
      </w:tr>
      <w:tr>
        <w:trPr>
          <w:cantSplit/>
        </w:trPr>
        <w:tc>
          <w:tcPr>
            <w:tcW w:type="dxa" w:w="2376"/>
            <w:shd w:fill="FFFFFF"/>
            <w:vAlign w:val="center"/>
            <w:tcMar>
              <w:top w:w="70" w:type="dxa"/>
              <w:start w:w="95" w:type="dxa"/>
              <w:bottom w:w="70" w:type="dxa"/>
              <w:end w:w="95" w:type="dxa"/>
            </w:tcMar>
          </w:tcPr>
          <w:p>
            <w:pPr>
              <w:spacing w:after="0"/>
            </w:pPr>
            <w:r/>
            <w:r>
              <w:rPr>
                <w:rFonts w:ascii="Aptos" w:hAnsi="Aptos"/>
                <w:b/>
                <w:color w:val="17242E"/>
                <w:sz w:val="16"/>
              </w:rPr>
              <w:t>Response mode</w:t>
            </w:r>
          </w:p>
        </w:tc>
        <w:tc>
          <w:tcPr>
            <w:tcW w:type="dxa" w:w="7200"/>
            <w:shd w:fill="FFFFFF"/>
            <w:vAlign w:val="center"/>
            <w:tcMar>
              <w:top w:w="70" w:type="dxa"/>
              <w:start w:w="95" w:type="dxa"/>
              <w:bottom w:w="70" w:type="dxa"/>
              <w:end w:w="95" w:type="dxa"/>
            </w:tcMar>
          </w:tcPr>
          <w:p>
            <w:pPr>
              <w:spacing w:after="0"/>
            </w:pPr>
            <w:r/>
            <w:r>
              <w:rPr>
                <w:rFonts w:ascii="Aptos" w:hAnsi="Aptos"/>
                <w:b w:val="0"/>
                <w:color w:val="17242E"/>
                <w:sz w:val="16"/>
              </w:rPr>
              <w:t>Contain, Aggressive, or Maximum</w:t>
            </w:r>
          </w:p>
        </w:tc>
      </w:tr>
      <w:tr>
        <w:trPr>
          <w:cantSplit/>
        </w:trPr>
        <w:tc>
          <w:tcPr>
            <w:tcW w:type="dxa" w:w="2376"/>
            <w:shd w:fill="F3F6F8"/>
            <w:vAlign w:val="center"/>
            <w:tcMar>
              <w:top w:w="70" w:type="dxa"/>
              <w:start w:w="95" w:type="dxa"/>
              <w:bottom w:w="70" w:type="dxa"/>
              <w:end w:w="95" w:type="dxa"/>
            </w:tcMar>
          </w:tcPr>
          <w:p>
            <w:pPr>
              <w:spacing w:after="0"/>
            </w:pPr>
            <w:r/>
            <w:r>
              <w:rPr>
                <w:rFonts w:ascii="Aptos" w:hAnsi="Aptos"/>
                <w:b/>
                <w:color w:val="17242E"/>
                <w:sz w:val="16"/>
              </w:rPr>
              <w:t>Minimum severity</w:t>
            </w:r>
          </w:p>
        </w:tc>
        <w:tc>
          <w:tcPr>
            <w:tcW w:type="dxa" w:w="7200"/>
            <w:shd w:fill="F3F6F8"/>
            <w:vAlign w:val="center"/>
            <w:tcMar>
              <w:top w:w="70" w:type="dxa"/>
              <w:start w:w="95" w:type="dxa"/>
              <w:bottom w:w="70" w:type="dxa"/>
              <w:end w:w="95" w:type="dxa"/>
            </w:tcMar>
          </w:tcPr>
          <w:p>
            <w:pPr>
              <w:spacing w:after="0"/>
            </w:pPr>
            <w:r/>
            <w:r>
              <w:rPr>
                <w:rFonts w:ascii="Aptos" w:hAnsi="Aptos"/>
                <w:b w:val="0"/>
                <w:color w:val="17242E"/>
                <w:sz w:val="16"/>
              </w:rPr>
              <w:t>LOW, MEDIUM, HIGH, or CRITICAL; current default is LOW</w:t>
            </w:r>
          </w:p>
        </w:tc>
      </w:tr>
      <w:tr>
        <w:trPr>
          <w:cantSplit/>
        </w:trPr>
        <w:tc>
          <w:tcPr>
            <w:tcW w:type="dxa" w:w="2376"/>
            <w:shd w:fill="FFFFFF"/>
            <w:vAlign w:val="center"/>
            <w:tcMar>
              <w:top w:w="70" w:type="dxa"/>
              <w:start w:w="95" w:type="dxa"/>
              <w:bottom w:w="70" w:type="dxa"/>
              <w:end w:w="95" w:type="dxa"/>
            </w:tcMar>
          </w:tcPr>
          <w:p>
            <w:pPr>
              <w:spacing w:after="0"/>
            </w:pPr>
            <w:r/>
            <w:r>
              <w:rPr>
                <w:rFonts w:ascii="Aptos" w:hAnsi="Aptos"/>
                <w:b/>
                <w:color w:val="17242E"/>
                <w:sz w:val="16"/>
              </w:rPr>
              <w:t>Process response</w:t>
            </w:r>
          </w:p>
        </w:tc>
        <w:tc>
          <w:tcPr>
            <w:tcW w:type="dxa" w:w="7200"/>
            <w:shd w:fill="FFFFFF"/>
            <w:vAlign w:val="center"/>
            <w:tcMar>
              <w:top w:w="70" w:type="dxa"/>
              <w:start w:w="95" w:type="dxa"/>
              <w:bottom w:w="70" w:type="dxa"/>
              <w:end w:w="95" w:type="dxa"/>
            </w:tcMar>
          </w:tcPr>
          <w:p>
            <w:pPr>
              <w:spacing w:after="0"/>
            </w:pPr>
            <w:r/>
            <w:r>
              <w:rPr>
                <w:rFonts w:ascii="Aptos" w:hAnsi="Aptos"/>
                <w:b w:val="0"/>
                <w:color w:val="17242E"/>
                <w:sz w:val="16"/>
              </w:rPr>
              <w:t>Suspend or terminate the exact attributed process; current default is terminate</w:t>
            </w:r>
          </w:p>
        </w:tc>
      </w:tr>
      <w:tr>
        <w:trPr>
          <w:cantSplit/>
        </w:trPr>
        <w:tc>
          <w:tcPr>
            <w:tcW w:type="dxa" w:w="2376"/>
            <w:shd w:fill="F3F6F8"/>
            <w:vAlign w:val="center"/>
            <w:tcMar>
              <w:top w:w="70" w:type="dxa"/>
              <w:start w:w="95" w:type="dxa"/>
              <w:bottom w:w="70" w:type="dxa"/>
              <w:end w:w="95" w:type="dxa"/>
            </w:tcMar>
          </w:tcPr>
          <w:p>
            <w:pPr>
              <w:spacing w:after="0"/>
            </w:pPr>
            <w:r/>
            <w:r>
              <w:rPr>
                <w:rFonts w:ascii="Aptos" w:hAnsi="Aptos"/>
                <w:b/>
                <w:color w:val="17242E"/>
                <w:sz w:val="16"/>
              </w:rPr>
              <w:t>Network response</w:t>
            </w:r>
          </w:p>
        </w:tc>
        <w:tc>
          <w:tcPr>
            <w:tcW w:type="dxa" w:w="7200"/>
            <w:shd w:fill="F3F6F8"/>
            <w:vAlign w:val="center"/>
            <w:tcMar>
              <w:top w:w="70" w:type="dxa"/>
              <w:start w:w="95" w:type="dxa"/>
              <w:bottom w:w="70" w:type="dxa"/>
              <w:end w:w="95" w:type="dxa"/>
            </w:tcMar>
          </w:tcPr>
          <w:p>
            <w:pPr>
              <w:spacing w:after="0"/>
            </w:pPr>
            <w:r/>
            <w:r>
              <w:rPr>
                <w:rFonts w:ascii="Aptos" w:hAnsi="Aptos"/>
                <w:b w:val="0"/>
                <w:color w:val="17242E"/>
                <w:sz w:val="16"/>
              </w:rPr>
              <w:t>Block exact remote IP indicators and exact program targets</w:t>
            </w:r>
          </w:p>
        </w:tc>
      </w:tr>
      <w:tr>
        <w:trPr>
          <w:cantSplit/>
        </w:trPr>
        <w:tc>
          <w:tcPr>
            <w:tcW w:type="dxa" w:w="2376"/>
            <w:shd w:fill="FFFFFF"/>
            <w:vAlign w:val="center"/>
            <w:tcMar>
              <w:top w:w="70" w:type="dxa"/>
              <w:start w:w="95" w:type="dxa"/>
              <w:bottom w:w="70" w:type="dxa"/>
              <w:end w:w="95" w:type="dxa"/>
            </w:tcMar>
          </w:tcPr>
          <w:p>
            <w:pPr>
              <w:spacing w:after="0"/>
            </w:pPr>
            <w:r/>
            <w:r>
              <w:rPr>
                <w:rFonts w:ascii="Aptos" w:hAnsi="Aptos"/>
                <w:b/>
                <w:color w:val="17242E"/>
                <w:sz w:val="16"/>
              </w:rPr>
              <w:t>File response</w:t>
            </w:r>
          </w:p>
        </w:tc>
        <w:tc>
          <w:tcPr>
            <w:tcW w:type="dxa" w:w="7200"/>
            <w:shd w:fill="FFFFFF"/>
            <w:vAlign w:val="center"/>
            <w:tcMar>
              <w:top w:w="70" w:type="dxa"/>
              <w:start w:w="95" w:type="dxa"/>
              <w:bottom w:w="70" w:type="dxa"/>
              <w:end w:w="95" w:type="dxa"/>
            </w:tcMar>
          </w:tcPr>
          <w:p>
            <w:pPr>
              <w:spacing w:after="0"/>
            </w:pPr>
            <w:r/>
            <w:r>
              <w:rPr>
                <w:rFonts w:ascii="Aptos" w:hAnsi="Aptos"/>
                <w:b w:val="0"/>
                <w:color w:val="17242E"/>
                <w:sz w:val="16"/>
              </w:rPr>
              <w:t>Quarantine an exact evidence-bound file with restoration metadata</w:t>
            </w:r>
          </w:p>
        </w:tc>
      </w:tr>
      <w:tr>
        <w:trPr>
          <w:cantSplit/>
        </w:trPr>
        <w:tc>
          <w:tcPr>
            <w:tcW w:type="dxa" w:w="2376"/>
            <w:shd w:fill="F3F6F8"/>
            <w:vAlign w:val="center"/>
            <w:tcMar>
              <w:top w:w="70" w:type="dxa"/>
              <w:start w:w="95" w:type="dxa"/>
              <w:bottom w:w="70" w:type="dxa"/>
              <w:end w:w="95" w:type="dxa"/>
            </w:tcMar>
          </w:tcPr>
          <w:p>
            <w:pPr>
              <w:spacing w:after="0"/>
            </w:pPr>
            <w:r/>
            <w:r>
              <w:rPr>
                <w:rFonts w:ascii="Aptos" w:hAnsi="Aptos"/>
                <w:b/>
                <w:color w:val="17242E"/>
                <w:sz w:val="16"/>
              </w:rPr>
              <w:t>Host isolation</w:t>
            </w:r>
          </w:p>
        </w:tc>
        <w:tc>
          <w:tcPr>
            <w:tcW w:type="dxa" w:w="7200"/>
            <w:shd w:fill="F3F6F8"/>
            <w:vAlign w:val="center"/>
            <w:tcMar>
              <w:top w:w="70" w:type="dxa"/>
              <w:start w:w="95" w:type="dxa"/>
              <w:bottom w:w="70" w:type="dxa"/>
              <w:end w:w="95" w:type="dxa"/>
            </w:tcMar>
          </w:tcPr>
          <w:p>
            <w:pPr>
              <w:spacing w:after="0"/>
            </w:pPr>
            <w:r/>
            <w:r>
              <w:rPr>
                <w:rFonts w:ascii="Aptos" w:hAnsi="Aptos"/>
                <w:b w:val="0"/>
                <w:color w:val="17242E"/>
                <w:sz w:val="16"/>
              </w:rPr>
              <w:t>Optional firewall isolation after a configurable event threshold; current threshold is 3</w:t>
            </w:r>
          </w:p>
        </w:tc>
      </w:tr>
      <w:tr>
        <w:trPr>
          <w:cantSplit/>
        </w:trPr>
        <w:tc>
          <w:tcPr>
            <w:tcW w:type="dxa" w:w="2376"/>
            <w:shd w:fill="FFFFFF"/>
            <w:vAlign w:val="center"/>
            <w:tcMar>
              <w:top w:w="70" w:type="dxa"/>
              <w:start w:w="95" w:type="dxa"/>
              <w:bottom w:w="70" w:type="dxa"/>
              <w:end w:w="95" w:type="dxa"/>
            </w:tcMar>
          </w:tcPr>
          <w:p>
            <w:pPr>
              <w:spacing w:after="0"/>
            </w:pPr>
            <w:r/>
            <w:r>
              <w:rPr>
                <w:rFonts w:ascii="Aptos" w:hAnsi="Aptos"/>
                <w:b/>
                <w:color w:val="17242E"/>
                <w:sz w:val="16"/>
              </w:rPr>
              <w:t>Deception</w:t>
            </w:r>
          </w:p>
        </w:tc>
        <w:tc>
          <w:tcPr>
            <w:tcW w:type="dxa" w:w="7200"/>
            <w:shd w:fill="FFFFFF"/>
            <w:vAlign w:val="center"/>
            <w:tcMar>
              <w:top w:w="70" w:type="dxa"/>
              <w:start w:w="95" w:type="dxa"/>
              <w:bottom w:w="70" w:type="dxa"/>
              <w:end w:w="95" w:type="dxa"/>
            </w:tcMar>
          </w:tcPr>
          <w:p>
            <w:pPr>
              <w:spacing w:after="0"/>
            </w:pPr>
            <w:r/>
            <w:r>
              <w:rPr>
                <w:rFonts w:ascii="Aptos" w:hAnsi="Aptos"/>
                <w:b w:val="0"/>
                <w:color w:val="17242E"/>
                <w:sz w:val="16"/>
              </w:rPr>
              <w:t>Optionally starts Angerona honeypots/canaries during combat operations</w:t>
            </w:r>
          </w:p>
        </w:tc>
      </w:tr>
      <w:tr>
        <w:trPr>
          <w:cantSplit/>
        </w:trPr>
        <w:tc>
          <w:tcPr>
            <w:tcW w:type="dxa" w:w="2376"/>
            <w:shd w:fill="F3F6F8"/>
            <w:vAlign w:val="center"/>
            <w:tcMar>
              <w:top w:w="70" w:type="dxa"/>
              <w:start w:w="95" w:type="dxa"/>
              <w:bottom w:w="70" w:type="dxa"/>
              <w:end w:w="95" w:type="dxa"/>
            </w:tcMar>
          </w:tcPr>
          <w:p>
            <w:pPr>
              <w:spacing w:after="0"/>
            </w:pPr>
            <w:r/>
            <w:r>
              <w:rPr>
                <w:rFonts w:ascii="Aptos" w:hAnsi="Aptos"/>
                <w:b/>
                <w:color w:val="17242E"/>
                <w:sz w:val="16"/>
              </w:rPr>
              <w:t>Receipts and undo</w:t>
            </w:r>
          </w:p>
        </w:tc>
        <w:tc>
          <w:tcPr>
            <w:tcW w:type="dxa" w:w="7200"/>
            <w:shd w:fill="F3F6F8"/>
            <w:vAlign w:val="center"/>
            <w:tcMar>
              <w:top w:w="70" w:type="dxa"/>
              <w:start w:w="95" w:type="dxa"/>
              <w:bottom w:w="70" w:type="dxa"/>
              <w:end w:w="95" w:type="dxa"/>
            </w:tcMar>
          </w:tcPr>
          <w:p>
            <w:pPr>
              <w:spacing w:after="0"/>
            </w:pPr>
            <w:r/>
            <w:r>
              <w:rPr>
                <w:rFonts w:ascii="Aptos" w:hAnsi="Aptos"/>
                <w:b w:val="0"/>
                <w:color w:val="17242E"/>
                <w:sz w:val="16"/>
              </w:rPr>
              <w:t>Durable JSONL action receipts; reversible actions can be undone individually or as a group</w:t>
            </w:r>
          </w:p>
        </w:tc>
      </w:tr>
      <w:tr>
        <w:trPr>
          <w:cantSplit/>
        </w:trPr>
        <w:tc>
          <w:tcPr>
            <w:tcW w:type="dxa" w:w="2376"/>
            <w:shd w:fill="FFFFFF"/>
            <w:vAlign w:val="center"/>
            <w:tcMar>
              <w:top w:w="70" w:type="dxa"/>
              <w:start w:w="95" w:type="dxa"/>
              <w:bottom w:w="70" w:type="dxa"/>
              <w:end w:w="95" w:type="dxa"/>
            </w:tcMar>
          </w:tcPr>
          <w:p>
            <w:pPr>
              <w:spacing w:after="0"/>
            </w:pPr>
            <w:r/>
            <w:r>
              <w:rPr>
                <w:rFonts w:ascii="Aptos" w:hAnsi="Aptos"/>
                <w:b/>
                <w:color w:val="17242E"/>
                <w:sz w:val="16"/>
              </w:rPr>
              <w:t>Scope integrity</w:t>
            </w:r>
          </w:p>
        </w:tc>
        <w:tc>
          <w:tcPr>
            <w:tcW w:type="dxa" w:w="7200"/>
            <w:shd w:fill="FFFFFF"/>
            <w:vAlign w:val="center"/>
            <w:tcMar>
              <w:top w:w="70" w:type="dxa"/>
              <w:start w:w="95" w:type="dxa"/>
              <w:bottom w:w="70" w:type="dxa"/>
              <w:end w:w="95" w:type="dxa"/>
            </w:tcMar>
          </w:tcPr>
          <w:p>
            <w:pPr>
              <w:spacing w:after="0"/>
            </w:pPr>
            <w:r/>
            <w:r>
              <w:rPr>
                <w:rFonts w:ascii="Aptos" w:hAnsi="Aptos"/>
                <w:b w:val="0"/>
                <w:color w:val="17242E"/>
                <w:sz w:val="16"/>
              </w:rPr>
              <w:t>Actions stay bound to the PID, file, program, or remote address carried by the triggering detector evidence</w:t>
            </w:r>
          </w:p>
        </w:tc>
      </w:tr>
    </w:tbl>
    <w:p>
      <w:pPr>
        <w:spacing w:after="20"/>
      </w:pPr>
    </w:p>
    <w:p>
      <w:pPr>
        <w:pStyle w:val="Heading1"/>
        <w:keepNext/>
      </w:pPr>
      <w:r>
        <w:t>5. Architecture and Operating Model</w:t>
      </w:r>
    </w:p>
    <w:tbl>
      <w:tblPr>
        <w:tblStyle w:val="TableGrid"/>
        <w:tblW w:type="auto" w:w="0"/>
        <w:jc w:val="center"/>
        <w:tblLayout w:type="fixed"/>
        <w:tblLook w:firstColumn="1" w:firstRow="1" w:lastColumn="0" w:lastRow="0" w:noHBand="0" w:noVBand="1" w:val="04A0"/>
      </w:tblPr>
      <w:tblGrid>
        <w:gridCol w:w="5227"/>
        <w:gridCol w:w="5227"/>
      </w:tblGrid>
      <w:tr>
        <w:trPr>
          <w:tblHeader/>
          <w:cantSplit/>
        </w:trPr>
        <w:tc>
          <w:tcPr>
            <w:tcW w:type="dxa" w:w="2448"/>
            <w:shd w:fill="081B2C"/>
            <w:vAlign w:val="center"/>
            <w:tcMar>
              <w:top w:w="70" w:type="dxa"/>
              <w:start w:w="95" w:type="dxa"/>
              <w:bottom w:w="70" w:type="dxa"/>
              <w:end w:w="95" w:type="dxa"/>
            </w:tcMar>
          </w:tcPr>
          <w:p>
            <w:pPr>
              <w:spacing w:after="0"/>
            </w:pPr>
            <w:r/>
            <w:r>
              <w:rPr>
                <w:rFonts w:ascii="Aptos" w:hAnsi="Aptos"/>
                <w:b/>
                <w:color w:val="FFFFFF"/>
                <w:sz w:val="17"/>
              </w:rPr>
              <w:t>Layer</w:t>
            </w:r>
          </w:p>
        </w:tc>
        <w:tc>
          <w:tcPr>
            <w:tcW w:type="dxa" w:w="7128"/>
            <w:shd w:fill="081B2C"/>
            <w:vAlign w:val="center"/>
            <w:tcMar>
              <w:top w:w="70" w:type="dxa"/>
              <w:start w:w="95" w:type="dxa"/>
              <w:bottom w:w="70" w:type="dxa"/>
              <w:end w:w="95" w:type="dxa"/>
            </w:tcMar>
          </w:tcPr>
          <w:p>
            <w:pPr>
              <w:spacing w:after="0"/>
            </w:pPr>
            <w:r/>
            <w:r>
              <w:rPr>
                <w:rFonts w:ascii="Aptos" w:hAnsi="Aptos"/>
                <w:b/>
                <w:color w:val="FFFFFF"/>
                <w:sz w:val="17"/>
              </w:rPr>
              <w:t>Responsibility</w:t>
            </w:r>
          </w:p>
        </w:tc>
      </w:tr>
      <w:tr>
        <w:trPr>
          <w:cantSplit/>
        </w:trPr>
        <w:tc>
          <w:tcPr>
            <w:tcW w:type="dxa" w:w="2448"/>
            <w:shd w:fill="FFFFFF"/>
            <w:vAlign w:val="center"/>
            <w:tcMar>
              <w:top w:w="70" w:type="dxa"/>
              <w:start w:w="95" w:type="dxa"/>
              <w:bottom w:w="70" w:type="dxa"/>
              <w:end w:w="95" w:type="dxa"/>
            </w:tcMar>
          </w:tcPr>
          <w:p>
            <w:pPr>
              <w:spacing w:after="0"/>
            </w:pPr>
            <w:r/>
            <w:r>
              <w:rPr>
                <w:rFonts w:ascii="Aptos" w:hAnsi="Aptos"/>
                <w:b/>
                <w:color w:val="17242E"/>
                <w:sz w:val="16"/>
              </w:rPr>
              <w:t>Sensors and modules</w:t>
            </w:r>
          </w:p>
        </w:tc>
        <w:tc>
          <w:tcPr>
            <w:tcW w:type="dxa" w:w="7128"/>
            <w:shd w:fill="FFFFFF"/>
            <w:vAlign w:val="center"/>
            <w:tcMar>
              <w:top w:w="70" w:type="dxa"/>
              <w:start w:w="95" w:type="dxa"/>
              <w:bottom w:w="70" w:type="dxa"/>
              <w:end w:w="95" w:type="dxa"/>
            </w:tcMar>
          </w:tcPr>
          <w:p>
            <w:pPr>
              <w:spacing w:after="0"/>
            </w:pPr>
            <w:r/>
            <w:r>
              <w:rPr>
                <w:rFonts w:ascii="Aptos" w:hAnsi="Aptos"/>
                <w:b w:val="0"/>
                <w:color w:val="17242E"/>
                <w:sz w:val="16"/>
              </w:rPr>
              <w:t>Collect telemetry, detect threats, correlate evidence, respond, and publish health.</w:t>
            </w:r>
          </w:p>
        </w:tc>
      </w:tr>
      <w:tr>
        <w:trPr>
          <w:cantSplit/>
        </w:trPr>
        <w:tc>
          <w:tcPr>
            <w:tcW w:type="dxa" w:w="2448"/>
            <w:shd w:fill="F3F6F8"/>
            <w:vAlign w:val="center"/>
            <w:tcMar>
              <w:top w:w="70" w:type="dxa"/>
              <w:start w:w="95" w:type="dxa"/>
              <w:bottom w:w="70" w:type="dxa"/>
              <w:end w:w="95" w:type="dxa"/>
            </w:tcMar>
          </w:tcPr>
          <w:p>
            <w:pPr>
              <w:spacing w:after="0"/>
            </w:pPr>
            <w:r/>
            <w:r>
              <w:rPr>
                <w:rFonts w:ascii="Aptos" w:hAnsi="Aptos"/>
                <w:b/>
                <w:color w:val="17242E"/>
                <w:sz w:val="16"/>
              </w:rPr>
              <w:t>Signed EventBus</w:t>
            </w:r>
          </w:p>
        </w:tc>
        <w:tc>
          <w:tcPr>
            <w:tcW w:type="dxa" w:w="7128"/>
            <w:shd w:fill="F3F6F8"/>
            <w:vAlign w:val="center"/>
            <w:tcMar>
              <w:top w:w="70" w:type="dxa"/>
              <w:start w:w="95" w:type="dxa"/>
              <w:bottom w:w="70" w:type="dxa"/>
              <w:end w:w="95" w:type="dxa"/>
            </w:tcMar>
          </w:tcPr>
          <w:p>
            <w:pPr>
              <w:spacing w:after="0"/>
            </w:pPr>
            <w:r/>
            <w:r>
              <w:rPr>
                <w:rFonts w:ascii="Aptos" w:hAnsi="Aptos"/>
                <w:b w:val="0"/>
                <w:color w:val="17242E"/>
                <w:sz w:val="16"/>
              </w:rPr>
              <w:t>Provides thread-safe local pub/sub, bounded recent history, priority handling, and event-authenticity checks.</w:t>
            </w:r>
          </w:p>
        </w:tc>
      </w:tr>
      <w:tr>
        <w:trPr>
          <w:cantSplit/>
        </w:trPr>
        <w:tc>
          <w:tcPr>
            <w:tcW w:type="dxa" w:w="2448"/>
            <w:shd w:fill="FFFFFF"/>
            <w:vAlign w:val="center"/>
            <w:tcMar>
              <w:top w:w="70" w:type="dxa"/>
              <w:start w:w="95" w:type="dxa"/>
              <w:bottom w:w="70" w:type="dxa"/>
              <w:end w:w="95" w:type="dxa"/>
            </w:tcMar>
          </w:tcPr>
          <w:p>
            <w:pPr>
              <w:spacing w:after="0"/>
            </w:pPr>
            <w:r/>
            <w:r>
              <w:rPr>
                <w:rFonts w:ascii="Aptos" w:hAnsi="Aptos"/>
                <w:b/>
                <w:color w:val="17242E"/>
                <w:sz w:val="16"/>
              </w:rPr>
              <w:t>Module Manager</w:t>
            </w:r>
          </w:p>
        </w:tc>
        <w:tc>
          <w:tcPr>
            <w:tcW w:type="dxa" w:w="7128"/>
            <w:shd w:fill="FFFFFF"/>
            <w:vAlign w:val="center"/>
            <w:tcMar>
              <w:top w:w="70" w:type="dxa"/>
              <w:start w:w="95" w:type="dxa"/>
              <w:bottom w:w="70" w:type="dxa"/>
              <w:end w:w="95" w:type="dxa"/>
            </w:tcMar>
          </w:tcPr>
          <w:p>
            <w:pPr>
              <w:spacing w:after="0"/>
            </w:pPr>
            <w:r/>
            <w:r>
              <w:rPr>
                <w:rFonts w:ascii="Aptos" w:hAnsi="Aptos"/>
                <w:b w:val="0"/>
                <w:color w:val="17242E"/>
                <w:sz w:val="16"/>
              </w:rPr>
              <w:t>Auto-discovers, starts, stops, supervises, and reports platform availability for built-in and verified external modules.</w:t>
            </w:r>
          </w:p>
        </w:tc>
      </w:tr>
      <w:tr>
        <w:trPr>
          <w:cantSplit/>
        </w:trPr>
        <w:tc>
          <w:tcPr>
            <w:tcW w:type="dxa" w:w="2448"/>
            <w:shd w:fill="F3F6F8"/>
            <w:vAlign w:val="center"/>
            <w:tcMar>
              <w:top w:w="70" w:type="dxa"/>
              <w:start w:w="95" w:type="dxa"/>
              <w:bottom w:w="70" w:type="dxa"/>
              <w:end w:w="95" w:type="dxa"/>
            </w:tcMar>
          </w:tcPr>
          <w:p>
            <w:pPr>
              <w:spacing w:after="0"/>
            </w:pPr>
            <w:r/>
            <w:r>
              <w:rPr>
                <w:rFonts w:ascii="Aptos" w:hAnsi="Aptos"/>
                <w:b/>
                <w:color w:val="17242E"/>
                <w:sz w:val="16"/>
              </w:rPr>
              <w:t>Flight recorder</w:t>
            </w:r>
          </w:p>
        </w:tc>
        <w:tc>
          <w:tcPr>
            <w:tcW w:type="dxa" w:w="7128"/>
            <w:shd w:fill="F3F6F8"/>
            <w:vAlign w:val="center"/>
            <w:tcMar>
              <w:top w:w="70" w:type="dxa"/>
              <w:start w:w="95" w:type="dxa"/>
              <w:bottom w:w="70" w:type="dxa"/>
              <w:end w:w="95" w:type="dxa"/>
            </w:tcMar>
          </w:tcPr>
          <w:p>
            <w:pPr>
              <w:spacing w:after="0"/>
            </w:pPr>
            <w:r/>
            <w:r>
              <w:rPr>
                <w:rFonts w:ascii="Aptos" w:hAnsi="Aptos"/>
                <w:b w:val="0"/>
                <w:color w:val="17242E"/>
                <w:sz w:val="16"/>
              </w:rPr>
              <w:t>Persists the local event ledger for timelines, hunting, reports, and incident evidence.</w:t>
            </w:r>
          </w:p>
        </w:tc>
      </w:tr>
      <w:tr>
        <w:trPr>
          <w:cantSplit/>
        </w:trPr>
        <w:tc>
          <w:tcPr>
            <w:tcW w:type="dxa" w:w="2448"/>
            <w:shd w:fill="FFFFFF"/>
            <w:vAlign w:val="center"/>
            <w:tcMar>
              <w:top w:w="70" w:type="dxa"/>
              <w:start w:w="95" w:type="dxa"/>
              <w:bottom w:w="70" w:type="dxa"/>
              <w:end w:w="95" w:type="dxa"/>
            </w:tcMar>
          </w:tcPr>
          <w:p>
            <w:pPr>
              <w:spacing w:after="0"/>
            </w:pPr>
            <w:r/>
            <w:r>
              <w:rPr>
                <w:rFonts w:ascii="Aptos" w:hAnsi="Aptos"/>
                <w:b/>
                <w:color w:val="17242E"/>
                <w:sz w:val="16"/>
              </w:rPr>
              <w:t>Causal incident graph</w:t>
            </w:r>
          </w:p>
        </w:tc>
        <w:tc>
          <w:tcPr>
            <w:tcW w:type="dxa" w:w="7128"/>
            <w:shd w:fill="FFFFFF"/>
            <w:vAlign w:val="center"/>
            <w:tcMar>
              <w:top w:w="70" w:type="dxa"/>
              <w:start w:w="95" w:type="dxa"/>
              <w:bottom w:w="70" w:type="dxa"/>
              <w:end w:w="95" w:type="dxa"/>
            </w:tcMar>
          </w:tcPr>
          <w:p>
            <w:pPr>
              <w:spacing w:after="0"/>
            </w:pPr>
            <w:r/>
            <w:r>
              <w:rPr>
                <w:rFonts w:ascii="Aptos" w:hAnsi="Aptos"/>
                <w:b w:val="0"/>
                <w:color w:val="17242E"/>
                <w:sz w:val="16"/>
              </w:rPr>
              <w:t>Links process generations, files, network indicators, parentage, response, and proof without conflating reused PIDs.</w:t>
            </w:r>
          </w:p>
        </w:tc>
      </w:tr>
      <w:tr>
        <w:trPr>
          <w:cantSplit/>
        </w:trPr>
        <w:tc>
          <w:tcPr>
            <w:tcW w:type="dxa" w:w="2448"/>
            <w:shd w:fill="F3F6F8"/>
            <w:vAlign w:val="center"/>
            <w:tcMar>
              <w:top w:w="70" w:type="dxa"/>
              <w:start w:w="95" w:type="dxa"/>
              <w:bottom w:w="70" w:type="dxa"/>
              <w:end w:w="95" w:type="dxa"/>
            </w:tcMar>
          </w:tcPr>
          <w:p>
            <w:pPr>
              <w:spacing w:after="0"/>
            </w:pPr>
            <w:r/>
            <w:r>
              <w:rPr>
                <w:rFonts w:ascii="Aptos" w:hAnsi="Aptos"/>
                <w:b/>
                <w:color w:val="17242E"/>
                <w:sz w:val="16"/>
              </w:rPr>
              <w:t>Response plane</w:t>
            </w:r>
          </w:p>
        </w:tc>
        <w:tc>
          <w:tcPr>
            <w:tcW w:type="dxa" w:w="7128"/>
            <w:shd w:fill="F3F6F8"/>
            <w:vAlign w:val="center"/>
            <w:tcMar>
              <w:top w:w="70" w:type="dxa"/>
              <w:start w:w="95" w:type="dxa"/>
              <w:bottom w:w="70" w:type="dxa"/>
              <w:end w:w="95" w:type="dxa"/>
            </w:tcMar>
          </w:tcPr>
          <w:p>
            <w:pPr>
              <w:spacing w:after="0"/>
            </w:pPr>
            <w:r/>
            <w:r>
              <w:rPr>
                <w:rFonts w:ascii="Aptos" w:hAnsi="Aptos"/>
                <w:b w:val="0"/>
                <w:color w:val="17242E"/>
                <w:sz w:val="16"/>
              </w:rPr>
              <w:t>Runs exact-target playbooks, records outcomes, verifies postconditions, and exposes reversal where technically possible.</w:t>
            </w:r>
          </w:p>
        </w:tc>
      </w:tr>
      <w:tr>
        <w:trPr>
          <w:cantSplit/>
        </w:trPr>
        <w:tc>
          <w:tcPr>
            <w:tcW w:type="dxa" w:w="2448"/>
            <w:shd w:fill="FFFFFF"/>
            <w:vAlign w:val="center"/>
            <w:tcMar>
              <w:top w:w="70" w:type="dxa"/>
              <w:start w:w="95" w:type="dxa"/>
              <w:bottom w:w="70" w:type="dxa"/>
              <w:end w:w="95" w:type="dxa"/>
            </w:tcMar>
          </w:tcPr>
          <w:p>
            <w:pPr>
              <w:spacing w:after="0"/>
            </w:pPr>
            <w:r/>
            <w:r>
              <w:rPr>
                <w:rFonts w:ascii="Aptos" w:hAnsi="Aptos"/>
                <w:b/>
                <w:color w:val="17242E"/>
                <w:sz w:val="16"/>
              </w:rPr>
              <w:t>Local AI plane</w:t>
            </w:r>
          </w:p>
        </w:tc>
        <w:tc>
          <w:tcPr>
            <w:tcW w:type="dxa" w:w="7128"/>
            <w:shd w:fill="FFFFFF"/>
            <w:vAlign w:val="center"/>
            <w:tcMar>
              <w:top w:w="70" w:type="dxa"/>
              <w:start w:w="95" w:type="dxa"/>
              <w:bottom w:w="70" w:type="dxa"/>
              <w:end w:w="95" w:type="dxa"/>
            </w:tcMar>
          </w:tcPr>
          <w:p>
            <w:pPr>
              <w:spacing w:after="0"/>
            </w:pPr>
            <w:r/>
            <w:r>
              <w:rPr>
                <w:rFonts w:ascii="Aptos" w:hAnsi="Aptos"/>
                <w:b w:val="0"/>
                <w:color w:val="17242E"/>
                <w:sz w:val="16"/>
              </w:rPr>
              <w:t>Uses Ollama for triage and assistance behind prompt, size, privacy, and output controls; deterministic fallbacks remain available.</w:t>
            </w:r>
          </w:p>
        </w:tc>
      </w:tr>
      <w:tr>
        <w:trPr>
          <w:cantSplit/>
        </w:trPr>
        <w:tc>
          <w:tcPr>
            <w:tcW w:type="dxa" w:w="2448"/>
            <w:shd w:fill="F3F6F8"/>
            <w:vAlign w:val="center"/>
            <w:tcMar>
              <w:top w:w="70" w:type="dxa"/>
              <w:start w:w="95" w:type="dxa"/>
              <w:bottom w:w="70" w:type="dxa"/>
              <w:end w:w="95" w:type="dxa"/>
            </w:tcMar>
          </w:tcPr>
          <w:p>
            <w:pPr>
              <w:spacing w:after="0"/>
            </w:pPr>
            <w:r/>
            <w:r>
              <w:rPr>
                <w:rFonts w:ascii="Aptos" w:hAnsi="Aptos"/>
                <w:b/>
                <w:color w:val="17242E"/>
                <w:sz w:val="16"/>
              </w:rPr>
              <w:t>Desktop operations</w:t>
            </w:r>
          </w:p>
        </w:tc>
        <w:tc>
          <w:tcPr>
            <w:tcW w:type="dxa" w:w="7128"/>
            <w:shd w:fill="F3F6F8"/>
            <w:vAlign w:val="center"/>
            <w:tcMar>
              <w:top w:w="70" w:type="dxa"/>
              <w:start w:w="95" w:type="dxa"/>
              <w:bottom w:w="70" w:type="dxa"/>
              <w:end w:w="95" w:type="dxa"/>
            </w:tcMar>
          </w:tcPr>
          <w:p>
            <w:pPr>
              <w:spacing w:after="0"/>
            </w:pPr>
            <w:r/>
            <w:r>
              <w:rPr>
                <w:rFonts w:ascii="Aptos" w:hAnsi="Aptos"/>
                <w:b w:val="0"/>
                <w:color w:val="17242E"/>
                <w:sz w:val="16"/>
              </w:rPr>
              <w:t>Provides dashboards, settings, investigations, testing, response controls, readiness status, and guided setup.</w:t>
            </w:r>
          </w:p>
        </w:tc>
      </w:tr>
    </w:tbl>
    <w:p>
      <w:pPr>
        <w:spacing w:after="20"/>
      </w:pPr>
    </w:p>
    <w:p>
      <w:pPr>
        <w:pStyle w:val="Heading1"/>
        <w:keepNext/>
      </w:pPr>
      <w:r>
        <w:t>6. Assurance, Evidence, and Current Status</w:t>
      </w:r>
    </w:p>
    <w:tbl>
      <w:tblPr>
        <w:tblStyle w:val="TableGrid"/>
        <w:tblW w:type="auto" w:w="0"/>
        <w:jc w:val="center"/>
        <w:tblLayout w:type="fixed"/>
        <w:tblLook w:firstColumn="1" w:firstRow="1" w:lastColumn="0" w:lastRow="0" w:noHBand="0" w:noVBand="1" w:val="04A0"/>
      </w:tblPr>
      <w:tblGrid>
        <w:gridCol w:w="5227"/>
        <w:gridCol w:w="5227"/>
      </w:tblGrid>
      <w:tr>
        <w:trPr>
          <w:tblHeader/>
          <w:cantSplit/>
        </w:trPr>
        <w:tc>
          <w:tcPr>
            <w:tcW w:type="dxa" w:w="2736"/>
            <w:shd w:fill="081B2C"/>
            <w:vAlign w:val="center"/>
            <w:tcMar>
              <w:top w:w="70" w:type="dxa"/>
              <w:start w:w="95" w:type="dxa"/>
              <w:bottom w:w="70" w:type="dxa"/>
              <w:end w:w="95" w:type="dxa"/>
            </w:tcMar>
          </w:tcPr>
          <w:p>
            <w:pPr>
              <w:spacing w:after="0"/>
            </w:pPr>
            <w:r/>
            <w:r>
              <w:rPr>
                <w:rFonts w:ascii="Aptos" w:hAnsi="Aptos"/>
                <w:b/>
                <w:color w:val="FFFFFF"/>
                <w:sz w:val="17"/>
              </w:rPr>
              <w:t>Gate</w:t>
            </w:r>
          </w:p>
        </w:tc>
        <w:tc>
          <w:tcPr>
            <w:tcW w:type="dxa" w:w="6840"/>
            <w:shd w:fill="081B2C"/>
            <w:vAlign w:val="center"/>
            <w:tcMar>
              <w:top w:w="70" w:type="dxa"/>
              <w:start w:w="95" w:type="dxa"/>
              <w:bottom w:w="70" w:type="dxa"/>
              <w:end w:w="95" w:type="dxa"/>
            </w:tcMar>
          </w:tcPr>
          <w:p>
            <w:pPr>
              <w:spacing w:after="0"/>
            </w:pPr>
            <w:r/>
            <w:r>
              <w:rPr>
                <w:rFonts w:ascii="Aptos" w:hAnsi="Aptos"/>
                <w:b/>
                <w:color w:val="FFFFFF"/>
                <w:sz w:val="17"/>
              </w:rPr>
              <w:t>Current result</w:t>
            </w:r>
          </w:p>
        </w:tc>
      </w:tr>
      <w:tr>
        <w:trPr>
          <w:cantSplit/>
        </w:trPr>
        <w:tc>
          <w:tcPr>
            <w:tcW w:type="dxa" w:w="2736"/>
            <w:shd w:fill="FFFFFF"/>
            <w:vAlign w:val="center"/>
            <w:tcMar>
              <w:top w:w="70" w:type="dxa"/>
              <w:start w:w="95" w:type="dxa"/>
              <w:bottom w:w="70" w:type="dxa"/>
              <w:end w:w="95" w:type="dxa"/>
            </w:tcMar>
          </w:tcPr>
          <w:p>
            <w:pPr>
              <w:spacing w:after="0"/>
            </w:pPr>
            <w:r/>
            <w:r>
              <w:rPr>
                <w:rFonts w:ascii="Aptos" w:hAnsi="Aptos"/>
                <w:b/>
                <w:color w:val="17242E"/>
                <w:sz w:val="16"/>
              </w:rPr>
              <w:t>Repository test suite</w:t>
            </w:r>
          </w:p>
        </w:tc>
        <w:tc>
          <w:tcPr>
            <w:tcW w:type="dxa" w:w="6840"/>
            <w:shd w:fill="FFFFFF"/>
            <w:vAlign w:val="center"/>
            <w:tcMar>
              <w:top w:w="70" w:type="dxa"/>
              <w:start w:w="95" w:type="dxa"/>
              <w:bottom w:w="70" w:type="dxa"/>
              <w:end w:w="95" w:type="dxa"/>
            </w:tcMar>
          </w:tcPr>
          <w:p>
            <w:pPr>
              <w:spacing w:after="0"/>
            </w:pPr>
            <w:r/>
            <w:r>
              <w:rPr>
                <w:rFonts w:ascii="Aptos" w:hAnsi="Aptos"/>
                <w:b w:val="0"/>
                <w:color w:val="17242E"/>
                <w:sz w:val="16"/>
              </w:rPr>
              <w:t>1,083 passed; 3 intentional platform skips; 0 failures</w:t>
            </w:r>
          </w:p>
        </w:tc>
      </w:tr>
      <w:tr>
        <w:trPr>
          <w:cantSplit/>
        </w:trPr>
        <w:tc>
          <w:tcPr>
            <w:tcW w:type="dxa" w:w="2736"/>
            <w:shd w:fill="F3F6F8"/>
            <w:vAlign w:val="center"/>
            <w:tcMar>
              <w:top w:w="70" w:type="dxa"/>
              <w:start w:w="95" w:type="dxa"/>
              <w:bottom w:w="70" w:type="dxa"/>
              <w:end w:w="95" w:type="dxa"/>
            </w:tcMar>
          </w:tcPr>
          <w:p>
            <w:pPr>
              <w:spacing w:after="0"/>
            </w:pPr>
            <w:r/>
            <w:r>
              <w:rPr>
                <w:rFonts w:ascii="Aptos" w:hAnsi="Aptos"/>
                <w:b/>
                <w:color w:val="17242E"/>
                <w:sz w:val="16"/>
              </w:rPr>
              <w:t>Static quality</w:t>
            </w:r>
          </w:p>
        </w:tc>
        <w:tc>
          <w:tcPr>
            <w:tcW w:type="dxa" w:w="6840"/>
            <w:shd w:fill="F3F6F8"/>
            <w:vAlign w:val="center"/>
            <w:tcMar>
              <w:top w:w="70" w:type="dxa"/>
              <w:start w:w="95" w:type="dxa"/>
              <w:bottom w:w="70" w:type="dxa"/>
              <w:end w:w="95" w:type="dxa"/>
            </w:tcMar>
          </w:tcPr>
          <w:p>
            <w:pPr>
              <w:spacing w:after="0"/>
            </w:pPr>
            <w:r/>
            <w:r>
              <w:rPr>
                <w:rFonts w:ascii="Aptos" w:hAnsi="Aptos"/>
                <w:b w:val="0"/>
                <w:color w:val="17242E"/>
                <w:sz w:val="16"/>
              </w:rPr>
              <w:t>Ruff clean on the changed implementation and validation paths</w:t>
            </w:r>
          </w:p>
        </w:tc>
      </w:tr>
      <w:tr>
        <w:trPr>
          <w:cantSplit/>
        </w:trPr>
        <w:tc>
          <w:tcPr>
            <w:tcW w:type="dxa" w:w="2736"/>
            <w:shd w:fill="FFFFFF"/>
            <w:vAlign w:val="center"/>
            <w:tcMar>
              <w:top w:w="70" w:type="dxa"/>
              <w:start w:w="95" w:type="dxa"/>
              <w:bottom w:w="70" w:type="dxa"/>
              <w:end w:w="95" w:type="dxa"/>
            </w:tcMar>
          </w:tcPr>
          <w:p>
            <w:pPr>
              <w:spacing w:after="0"/>
            </w:pPr>
            <w:r/>
            <w:r>
              <w:rPr>
                <w:rFonts w:ascii="Aptos" w:hAnsi="Aptos"/>
                <w:b/>
                <w:color w:val="17242E"/>
                <w:sz w:val="16"/>
              </w:rPr>
              <w:t>Module discovery</w:t>
            </w:r>
          </w:p>
        </w:tc>
        <w:tc>
          <w:tcPr>
            <w:tcW w:type="dxa" w:w="6840"/>
            <w:shd w:fill="FFFFFF"/>
            <w:vAlign w:val="center"/>
            <w:tcMar>
              <w:top w:w="70" w:type="dxa"/>
              <w:start w:w="95" w:type="dxa"/>
              <w:bottom w:w="70" w:type="dxa"/>
              <w:end w:w="95" w:type="dxa"/>
            </w:tcMar>
          </w:tcPr>
          <w:p>
            <w:pPr>
              <w:spacing w:after="0"/>
            </w:pPr>
            <w:r/>
            <w:r>
              <w:rPr>
                <w:rFonts w:ascii="Aptos" w:hAnsi="Aptos"/>
                <w:b w:val="0"/>
                <w:color w:val="17242E"/>
                <w:sz w:val="16"/>
              </w:rPr>
              <w:t>67 capabilities discovered; 0 import errors; 0 duplicate codes</w:t>
            </w:r>
          </w:p>
        </w:tc>
      </w:tr>
      <w:tr>
        <w:trPr>
          <w:cantSplit/>
        </w:trPr>
        <w:tc>
          <w:tcPr>
            <w:tcW w:type="dxa" w:w="2736"/>
            <w:shd w:fill="F3F6F8"/>
            <w:vAlign w:val="center"/>
            <w:tcMar>
              <w:top w:w="70" w:type="dxa"/>
              <w:start w:w="95" w:type="dxa"/>
              <w:bottom w:w="70" w:type="dxa"/>
              <w:end w:w="95" w:type="dxa"/>
            </w:tcMar>
          </w:tcPr>
          <w:p>
            <w:pPr>
              <w:spacing w:after="0"/>
            </w:pPr>
            <w:r/>
            <w:r>
              <w:rPr>
                <w:rFonts w:ascii="Aptos" w:hAnsi="Aptos"/>
                <w:b/>
                <w:color w:val="17242E"/>
                <w:sz w:val="16"/>
              </w:rPr>
              <w:t>Adversary Combat unit/integration tests</w:t>
            </w:r>
          </w:p>
        </w:tc>
        <w:tc>
          <w:tcPr>
            <w:tcW w:type="dxa" w:w="6840"/>
            <w:shd w:fill="F3F6F8"/>
            <w:vAlign w:val="center"/>
            <w:tcMar>
              <w:top w:w="70" w:type="dxa"/>
              <w:start w:w="95" w:type="dxa"/>
              <w:bottom w:w="70" w:type="dxa"/>
              <w:end w:w="95" w:type="dxa"/>
            </w:tcMar>
          </w:tcPr>
          <w:p>
            <w:pPr>
              <w:spacing w:after="0"/>
            </w:pPr>
            <w:r/>
            <w:r>
              <w:rPr>
                <w:rFonts w:ascii="Aptos" w:hAnsi="Aptos"/>
                <w:b w:val="0"/>
                <w:color w:val="17242E"/>
                <w:sz w:val="16"/>
              </w:rPr>
              <w:t>25 focused tests passed</w:t>
            </w:r>
          </w:p>
        </w:tc>
      </w:tr>
      <w:tr>
        <w:trPr>
          <w:cantSplit/>
        </w:trPr>
        <w:tc>
          <w:tcPr>
            <w:tcW w:type="dxa" w:w="2736"/>
            <w:shd w:fill="FFFFFF"/>
            <w:vAlign w:val="center"/>
            <w:tcMar>
              <w:top w:w="70" w:type="dxa"/>
              <w:start w:w="95" w:type="dxa"/>
              <w:bottom w:w="70" w:type="dxa"/>
              <w:end w:w="95" w:type="dxa"/>
            </w:tcMar>
          </w:tcPr>
          <w:p>
            <w:pPr>
              <w:spacing w:after="0"/>
            </w:pPr>
            <w:r/>
            <w:r>
              <w:rPr>
                <w:rFonts w:ascii="Aptos" w:hAnsi="Aptos"/>
                <w:b/>
                <w:color w:val="17242E"/>
                <w:sz w:val="16"/>
              </w:rPr>
              <w:t>Extreme Shark Attack campaign</w:t>
            </w:r>
          </w:p>
        </w:tc>
        <w:tc>
          <w:tcPr>
            <w:tcW w:type="dxa" w:w="6840"/>
            <w:shd w:fill="FFFFFF"/>
            <w:vAlign w:val="center"/>
            <w:tcMar>
              <w:top w:w="70" w:type="dxa"/>
              <w:start w:w="95" w:type="dxa"/>
              <w:bottom w:w="70" w:type="dxa"/>
              <w:end w:w="95" w:type="dxa"/>
            </w:tcMar>
          </w:tcPr>
          <w:p>
            <w:pPr>
              <w:spacing w:after="0"/>
            </w:pPr>
            <w:r/>
            <w:r>
              <w:rPr>
                <w:rFonts w:ascii="Aptos" w:hAnsi="Aptos"/>
                <w:b w:val="0"/>
                <w:color w:val="17242E"/>
                <w:sz w:val="16"/>
              </w:rPr>
              <w:t>58 total steps; 52/52 eligible detections; 52/52 automatic responses</w:t>
            </w:r>
          </w:p>
        </w:tc>
      </w:tr>
      <w:tr>
        <w:trPr>
          <w:cantSplit/>
        </w:trPr>
        <w:tc>
          <w:tcPr>
            <w:tcW w:type="dxa" w:w="2736"/>
            <w:shd w:fill="F3F6F8"/>
            <w:vAlign w:val="center"/>
            <w:tcMar>
              <w:top w:w="70" w:type="dxa"/>
              <w:start w:w="95" w:type="dxa"/>
              <w:bottom w:w="70" w:type="dxa"/>
              <w:end w:w="95" w:type="dxa"/>
            </w:tcMar>
          </w:tcPr>
          <w:p>
            <w:pPr>
              <w:spacing w:after="0"/>
            </w:pPr>
            <w:r/>
            <w:r>
              <w:rPr>
                <w:rFonts w:ascii="Aptos" w:hAnsi="Aptos"/>
                <w:b/>
                <w:color w:val="17242E"/>
                <w:sz w:val="16"/>
              </w:rPr>
              <w:t>Closure verification</w:t>
            </w:r>
          </w:p>
        </w:tc>
        <w:tc>
          <w:tcPr>
            <w:tcW w:type="dxa" w:w="6840"/>
            <w:shd w:fill="F3F6F8"/>
            <w:vAlign w:val="center"/>
            <w:tcMar>
              <w:top w:w="70" w:type="dxa"/>
              <w:start w:w="95" w:type="dxa"/>
              <w:bottom w:w="70" w:type="dxa"/>
              <w:end w:w="95" w:type="dxa"/>
            </w:tcMar>
          </w:tcPr>
          <w:p>
            <w:pPr>
              <w:spacing w:after="0"/>
            </w:pPr>
            <w:r/>
            <w:r>
              <w:rPr>
                <w:rFonts w:ascii="Aptos" w:hAnsi="Aptos"/>
                <w:b w:val="0"/>
                <w:color w:val="17242E"/>
                <w:sz w:val="16"/>
              </w:rPr>
              <w:t>13/13 contracts and 13/13 closures verified</w:t>
            </w:r>
          </w:p>
        </w:tc>
      </w:tr>
      <w:tr>
        <w:trPr>
          <w:cantSplit/>
        </w:trPr>
        <w:tc>
          <w:tcPr>
            <w:tcW w:type="dxa" w:w="2736"/>
            <w:shd w:fill="FFFFFF"/>
            <w:vAlign w:val="center"/>
            <w:tcMar>
              <w:top w:w="70" w:type="dxa"/>
              <w:start w:w="95" w:type="dxa"/>
              <w:bottom w:w="70" w:type="dxa"/>
              <w:end w:w="95" w:type="dxa"/>
            </w:tcMar>
          </w:tcPr>
          <w:p>
            <w:pPr>
              <w:spacing w:after="0"/>
            </w:pPr>
            <w:r/>
            <w:r>
              <w:rPr>
                <w:rFonts w:ascii="Aptos" w:hAnsi="Aptos"/>
                <w:b/>
                <w:color w:val="17242E"/>
                <w:sz w:val="16"/>
              </w:rPr>
              <w:t>Measured drill latency</w:t>
            </w:r>
          </w:p>
        </w:tc>
        <w:tc>
          <w:tcPr>
            <w:tcW w:type="dxa" w:w="6840"/>
            <w:shd w:fill="FFFFFF"/>
            <w:vAlign w:val="center"/>
            <w:tcMar>
              <w:top w:w="70" w:type="dxa"/>
              <w:start w:w="95" w:type="dxa"/>
              <w:bottom w:w="70" w:type="dxa"/>
              <w:end w:w="95" w:type="dxa"/>
            </w:tcMar>
          </w:tcPr>
          <w:p>
            <w:pPr>
              <w:spacing w:after="0"/>
            </w:pPr>
            <w:r/>
            <w:r>
              <w:rPr>
                <w:rFonts w:ascii="Aptos" w:hAnsi="Aptos"/>
                <w:b w:val="0"/>
                <w:color w:val="17242E"/>
                <w:sz w:val="16"/>
              </w:rPr>
              <w:t>Average detection 0.44 s; average mitigation 0.26 s</w:t>
            </w:r>
          </w:p>
        </w:tc>
      </w:tr>
      <w:tr>
        <w:trPr>
          <w:cantSplit/>
        </w:trPr>
        <w:tc>
          <w:tcPr>
            <w:tcW w:type="dxa" w:w="2736"/>
            <w:shd w:fill="F3F6F8"/>
            <w:vAlign w:val="center"/>
            <w:tcMar>
              <w:top w:w="70" w:type="dxa"/>
              <w:start w:w="95" w:type="dxa"/>
              <w:bottom w:w="70" w:type="dxa"/>
              <w:end w:w="95" w:type="dxa"/>
            </w:tcMar>
          </w:tcPr>
          <w:p>
            <w:pPr>
              <w:spacing w:after="0"/>
            </w:pPr>
            <w:r/>
            <w:r>
              <w:rPr>
                <w:rFonts w:ascii="Aptos" w:hAnsi="Aptos"/>
                <w:b/>
                <w:color w:val="17242E"/>
                <w:sz w:val="16"/>
              </w:rPr>
              <w:t>Manual quality gate</w:t>
            </w:r>
          </w:p>
        </w:tc>
        <w:tc>
          <w:tcPr>
            <w:tcW w:type="dxa" w:w="6840"/>
            <w:shd w:fill="F3F6F8"/>
            <w:vAlign w:val="center"/>
            <w:tcMar>
              <w:top w:w="70" w:type="dxa"/>
              <w:start w:w="95" w:type="dxa"/>
              <w:bottom w:w="70" w:type="dxa"/>
              <w:end w:w="95" w:type="dxa"/>
            </w:tcMar>
          </w:tcPr>
          <w:p>
            <w:pPr>
              <w:spacing w:after="0"/>
            </w:pPr>
            <w:r/>
            <w:r>
              <w:rPr>
                <w:rFonts w:ascii="Aptos" w:hAnsi="Aptos"/>
                <w:b w:val="0"/>
                <w:color w:val="17242E"/>
                <w:sz w:val="16"/>
              </w:rPr>
              <w:t>Master Manual rendered to 118 pages and visually inspected page by page</w:t>
            </w:r>
          </w:p>
        </w:tc>
      </w:tr>
    </w:tbl>
    <w:p>
      <w:pPr>
        <w:spacing w:after="20"/>
      </w:pPr>
    </w:p>
    <w:p>
      <w:r>
        <w:t>The campaign uses controlled, benign test artifacts and processes. Its 100% result proves coverage and action for the tested contracts; it is not a claim that any security product can detect every unknown real-world attack.</w:t>
      </w:r>
    </w:p>
    <w:p>
      <w:pPr>
        <w:pStyle w:val="Heading1"/>
        <w:keepNext/>
      </w:pPr>
      <w:r>
        <w:t>7. Complete Capability Catalogue</w:t>
      </w:r>
    </w:p>
    <w:p>
      <w:r>
        <w:t>Every current auto-discovered BaseModule capability is listed below. The catalogue contains exactly 67 unique capabilities and is generated from current source metadata.</w:t>
      </w:r>
    </w:p>
    <w:tbl>
      <w:tblPr>
        <w:tblStyle w:val="TableGrid"/>
        <w:tblW w:type="auto" w:w="0"/>
        <w:jc w:val="center"/>
        <w:tblLayout w:type="fixed"/>
        <w:tblLook w:firstColumn="1" w:firstRow="1" w:lastColumn="0" w:lastRow="0" w:noHBand="0" w:noVBand="1" w:val="04A0"/>
      </w:tblPr>
      <w:tblGrid>
        <w:gridCol w:w="5227"/>
        <w:gridCol w:w="5227"/>
      </w:tblGrid>
      <w:tr>
        <w:trPr>
          <w:tblHeader/>
          <w:cantSplit/>
        </w:trPr>
        <w:tc>
          <w:tcPr>
            <w:tcW w:type="dxa" w:w="6912"/>
            <w:shd w:fill="081B2C"/>
            <w:vAlign w:val="center"/>
            <w:tcMar>
              <w:top w:w="70" w:type="dxa"/>
              <w:start w:w="95" w:type="dxa"/>
              <w:bottom w:w="70" w:type="dxa"/>
              <w:end w:w="95" w:type="dxa"/>
            </w:tcMar>
          </w:tcPr>
          <w:p>
            <w:pPr>
              <w:spacing w:after="0"/>
            </w:pPr>
            <w:r/>
            <w:r>
              <w:rPr>
                <w:rFonts w:ascii="Aptos" w:hAnsi="Aptos"/>
                <w:b/>
                <w:color w:val="FFFFFF"/>
                <w:sz w:val="17"/>
              </w:rPr>
              <w:t>Category</w:t>
            </w:r>
          </w:p>
        </w:tc>
        <w:tc>
          <w:tcPr>
            <w:tcW w:type="dxa" w:w="2664"/>
            <w:shd w:fill="081B2C"/>
            <w:vAlign w:val="center"/>
            <w:tcMar>
              <w:top w:w="70" w:type="dxa"/>
              <w:start w:w="95" w:type="dxa"/>
              <w:bottom w:w="70" w:type="dxa"/>
              <w:end w:w="95" w:type="dxa"/>
            </w:tcMar>
          </w:tcPr>
          <w:p>
            <w:pPr>
              <w:spacing w:after="0"/>
            </w:pPr>
            <w:r/>
            <w:r>
              <w:rPr>
                <w:rFonts w:ascii="Aptos" w:hAnsi="Aptos"/>
                <w:b/>
                <w:color w:val="FFFFFF"/>
                <w:sz w:val="17"/>
              </w:rPr>
              <w:t>Count</w:t>
            </w:r>
          </w:p>
        </w:tc>
      </w:tr>
      <w:tr>
        <w:trPr>
          <w:cantSplit/>
        </w:trPr>
        <w:tc>
          <w:tcPr>
            <w:tcW w:type="dxa" w:w="6912"/>
            <w:shd w:fill="FFFFFF"/>
            <w:vAlign w:val="center"/>
            <w:tcMar>
              <w:top w:w="70" w:type="dxa"/>
              <w:start w:w="95" w:type="dxa"/>
              <w:bottom w:w="70" w:type="dxa"/>
              <w:end w:w="95" w:type="dxa"/>
            </w:tcMar>
          </w:tcPr>
          <w:p>
            <w:pPr>
              <w:spacing w:after="0"/>
            </w:pPr>
            <w:r/>
            <w:r>
              <w:rPr>
                <w:rFonts w:ascii="Aptos" w:hAnsi="Aptos"/>
                <w:b/>
                <w:color w:val="17242E"/>
                <w:sz w:val="16"/>
              </w:rPr>
              <w:t>AI</w:t>
            </w:r>
          </w:p>
        </w:tc>
        <w:tc>
          <w:tcPr>
            <w:tcW w:type="dxa" w:w="2664"/>
            <w:shd w:fill="FFFFFF"/>
            <w:vAlign w:val="center"/>
            <w:tcMar>
              <w:top w:w="70" w:type="dxa"/>
              <w:start w:w="95" w:type="dxa"/>
              <w:bottom w:w="70" w:type="dxa"/>
              <w:end w:w="95" w:type="dxa"/>
            </w:tcMar>
          </w:tcPr>
          <w:p>
            <w:pPr>
              <w:spacing w:after="0"/>
            </w:pPr>
            <w:r/>
            <w:r>
              <w:rPr>
                <w:rFonts w:ascii="Aptos" w:hAnsi="Aptos"/>
                <w:b w:val="0"/>
                <w:color w:val="17242E"/>
                <w:sz w:val="16"/>
              </w:rPr>
              <w:t>3</w:t>
            </w:r>
          </w:p>
        </w:tc>
      </w:tr>
      <w:tr>
        <w:trPr>
          <w:cantSplit/>
        </w:trPr>
        <w:tc>
          <w:tcPr>
            <w:tcW w:type="dxa" w:w="6912"/>
            <w:shd w:fill="F3F6F8"/>
            <w:vAlign w:val="center"/>
            <w:tcMar>
              <w:top w:w="70" w:type="dxa"/>
              <w:start w:w="95" w:type="dxa"/>
              <w:bottom w:w="70" w:type="dxa"/>
              <w:end w:w="95" w:type="dxa"/>
            </w:tcMar>
          </w:tcPr>
          <w:p>
            <w:pPr>
              <w:spacing w:after="0"/>
            </w:pPr>
            <w:r/>
            <w:r>
              <w:rPr>
                <w:rFonts w:ascii="Aptos" w:hAnsi="Aptos"/>
                <w:b/>
                <w:color w:val="17242E"/>
                <w:sz w:val="16"/>
              </w:rPr>
              <w:t>AI Defense</w:t>
            </w:r>
          </w:p>
        </w:tc>
        <w:tc>
          <w:tcPr>
            <w:tcW w:type="dxa" w:w="2664"/>
            <w:shd w:fill="F3F6F8"/>
            <w:vAlign w:val="center"/>
            <w:tcMar>
              <w:top w:w="70" w:type="dxa"/>
              <w:start w:w="95" w:type="dxa"/>
              <w:bottom w:w="70" w:type="dxa"/>
              <w:end w:w="95" w:type="dxa"/>
            </w:tcMar>
          </w:tcPr>
          <w:p>
            <w:pPr>
              <w:spacing w:after="0"/>
            </w:pPr>
            <w:r/>
            <w:r>
              <w:rPr>
                <w:rFonts w:ascii="Aptos" w:hAnsi="Aptos"/>
                <w:b w:val="0"/>
                <w:color w:val="17242E"/>
                <w:sz w:val="16"/>
              </w:rPr>
              <w:t>1</w:t>
            </w:r>
          </w:p>
        </w:tc>
      </w:tr>
      <w:tr>
        <w:trPr>
          <w:cantSplit/>
        </w:trPr>
        <w:tc>
          <w:tcPr>
            <w:tcW w:type="dxa" w:w="6912"/>
            <w:shd w:fill="FFFFFF"/>
            <w:vAlign w:val="center"/>
            <w:tcMar>
              <w:top w:w="70" w:type="dxa"/>
              <w:start w:w="95" w:type="dxa"/>
              <w:bottom w:w="70" w:type="dxa"/>
              <w:end w:w="95" w:type="dxa"/>
            </w:tcMar>
          </w:tcPr>
          <w:p>
            <w:pPr>
              <w:spacing w:after="0"/>
            </w:pPr>
            <w:r/>
            <w:r>
              <w:rPr>
                <w:rFonts w:ascii="Aptos" w:hAnsi="Aptos"/>
                <w:b/>
                <w:color w:val="17242E"/>
                <w:sz w:val="16"/>
              </w:rPr>
              <w:t>Compliance</w:t>
            </w:r>
          </w:p>
        </w:tc>
        <w:tc>
          <w:tcPr>
            <w:tcW w:type="dxa" w:w="2664"/>
            <w:shd w:fill="FFFFFF"/>
            <w:vAlign w:val="center"/>
            <w:tcMar>
              <w:top w:w="70" w:type="dxa"/>
              <w:start w:w="95" w:type="dxa"/>
              <w:bottom w:w="70" w:type="dxa"/>
              <w:end w:w="95" w:type="dxa"/>
            </w:tcMar>
          </w:tcPr>
          <w:p>
            <w:pPr>
              <w:spacing w:after="0"/>
            </w:pPr>
            <w:r/>
            <w:r>
              <w:rPr>
                <w:rFonts w:ascii="Aptos" w:hAnsi="Aptos"/>
                <w:b w:val="0"/>
                <w:color w:val="17242E"/>
                <w:sz w:val="16"/>
              </w:rPr>
              <w:t>1</w:t>
            </w:r>
          </w:p>
        </w:tc>
      </w:tr>
      <w:tr>
        <w:trPr>
          <w:cantSplit/>
        </w:trPr>
        <w:tc>
          <w:tcPr>
            <w:tcW w:type="dxa" w:w="6912"/>
            <w:shd w:fill="F3F6F8"/>
            <w:vAlign w:val="center"/>
            <w:tcMar>
              <w:top w:w="70" w:type="dxa"/>
              <w:start w:w="95" w:type="dxa"/>
              <w:bottom w:w="70" w:type="dxa"/>
              <w:end w:w="95" w:type="dxa"/>
            </w:tcMar>
          </w:tcPr>
          <w:p>
            <w:pPr>
              <w:spacing w:after="0"/>
            </w:pPr>
            <w:r/>
            <w:r>
              <w:rPr>
                <w:rFonts w:ascii="Aptos" w:hAnsi="Aptos"/>
                <w:b/>
                <w:color w:val="17242E"/>
                <w:sz w:val="16"/>
              </w:rPr>
              <w:t>Deception</w:t>
            </w:r>
          </w:p>
        </w:tc>
        <w:tc>
          <w:tcPr>
            <w:tcW w:type="dxa" w:w="2664"/>
            <w:shd w:fill="F3F6F8"/>
            <w:vAlign w:val="center"/>
            <w:tcMar>
              <w:top w:w="70" w:type="dxa"/>
              <w:start w:w="95" w:type="dxa"/>
              <w:bottom w:w="70" w:type="dxa"/>
              <w:end w:w="95" w:type="dxa"/>
            </w:tcMar>
          </w:tcPr>
          <w:p>
            <w:pPr>
              <w:spacing w:after="0"/>
            </w:pPr>
            <w:r/>
            <w:r>
              <w:rPr>
                <w:rFonts w:ascii="Aptos" w:hAnsi="Aptos"/>
                <w:b w:val="0"/>
                <w:color w:val="17242E"/>
                <w:sz w:val="16"/>
              </w:rPr>
              <w:t>2</w:t>
            </w:r>
          </w:p>
        </w:tc>
      </w:tr>
      <w:tr>
        <w:trPr>
          <w:cantSplit/>
        </w:trPr>
        <w:tc>
          <w:tcPr>
            <w:tcW w:type="dxa" w:w="6912"/>
            <w:shd w:fill="FFFFFF"/>
            <w:vAlign w:val="center"/>
            <w:tcMar>
              <w:top w:w="70" w:type="dxa"/>
              <w:start w:w="95" w:type="dxa"/>
              <w:bottom w:w="70" w:type="dxa"/>
              <w:end w:w="95" w:type="dxa"/>
            </w:tcMar>
          </w:tcPr>
          <w:p>
            <w:pPr>
              <w:spacing w:after="0"/>
            </w:pPr>
            <w:r/>
            <w:r>
              <w:rPr>
                <w:rFonts w:ascii="Aptos" w:hAnsi="Aptos"/>
                <w:b/>
                <w:color w:val="17242E"/>
                <w:sz w:val="16"/>
              </w:rPr>
              <w:t>Detection</w:t>
            </w:r>
          </w:p>
        </w:tc>
        <w:tc>
          <w:tcPr>
            <w:tcW w:type="dxa" w:w="2664"/>
            <w:shd w:fill="FFFFFF"/>
            <w:vAlign w:val="center"/>
            <w:tcMar>
              <w:top w:w="70" w:type="dxa"/>
              <w:start w:w="95" w:type="dxa"/>
              <w:bottom w:w="70" w:type="dxa"/>
              <w:end w:w="95" w:type="dxa"/>
            </w:tcMar>
          </w:tcPr>
          <w:p>
            <w:pPr>
              <w:spacing w:after="0"/>
            </w:pPr>
            <w:r/>
            <w:r>
              <w:rPr>
                <w:rFonts w:ascii="Aptos" w:hAnsi="Aptos"/>
                <w:b w:val="0"/>
                <w:color w:val="17242E"/>
                <w:sz w:val="16"/>
              </w:rPr>
              <w:t>7</w:t>
            </w:r>
          </w:p>
        </w:tc>
      </w:tr>
      <w:tr>
        <w:trPr>
          <w:cantSplit/>
        </w:trPr>
        <w:tc>
          <w:tcPr>
            <w:tcW w:type="dxa" w:w="6912"/>
            <w:shd w:fill="F3F6F8"/>
            <w:vAlign w:val="center"/>
            <w:tcMar>
              <w:top w:w="70" w:type="dxa"/>
              <w:start w:w="95" w:type="dxa"/>
              <w:bottom w:w="70" w:type="dxa"/>
              <w:end w:w="95" w:type="dxa"/>
            </w:tcMar>
          </w:tcPr>
          <w:p>
            <w:pPr>
              <w:spacing w:after="0"/>
            </w:pPr>
            <w:r/>
            <w:r>
              <w:rPr>
                <w:rFonts w:ascii="Aptos" w:hAnsi="Aptos"/>
                <w:b/>
                <w:color w:val="17242E"/>
                <w:sz w:val="16"/>
              </w:rPr>
              <w:t>Endpoint</w:t>
            </w:r>
          </w:p>
        </w:tc>
        <w:tc>
          <w:tcPr>
            <w:tcW w:type="dxa" w:w="2664"/>
            <w:shd w:fill="F3F6F8"/>
            <w:vAlign w:val="center"/>
            <w:tcMar>
              <w:top w:w="70" w:type="dxa"/>
              <w:start w:w="95" w:type="dxa"/>
              <w:bottom w:w="70" w:type="dxa"/>
              <w:end w:w="95" w:type="dxa"/>
            </w:tcMar>
          </w:tcPr>
          <w:p>
            <w:pPr>
              <w:spacing w:after="0"/>
            </w:pPr>
            <w:r/>
            <w:r>
              <w:rPr>
                <w:rFonts w:ascii="Aptos" w:hAnsi="Aptos"/>
                <w:b w:val="0"/>
                <w:color w:val="17242E"/>
                <w:sz w:val="16"/>
              </w:rPr>
              <w:t>6</w:t>
            </w:r>
          </w:p>
        </w:tc>
      </w:tr>
      <w:tr>
        <w:trPr>
          <w:cantSplit/>
        </w:trPr>
        <w:tc>
          <w:tcPr>
            <w:tcW w:type="dxa" w:w="6912"/>
            <w:shd w:fill="FFFFFF"/>
            <w:vAlign w:val="center"/>
            <w:tcMar>
              <w:top w:w="70" w:type="dxa"/>
              <w:start w:w="95" w:type="dxa"/>
              <w:bottom w:w="70" w:type="dxa"/>
              <w:end w:w="95" w:type="dxa"/>
            </w:tcMar>
          </w:tcPr>
          <w:p>
            <w:pPr>
              <w:spacing w:after="0"/>
            </w:pPr>
            <w:r/>
            <w:r>
              <w:rPr>
                <w:rFonts w:ascii="Aptos" w:hAnsi="Aptos"/>
                <w:b/>
                <w:color w:val="17242E"/>
                <w:sz w:val="16"/>
              </w:rPr>
              <w:t>Forensics</w:t>
            </w:r>
          </w:p>
        </w:tc>
        <w:tc>
          <w:tcPr>
            <w:tcW w:type="dxa" w:w="2664"/>
            <w:shd w:fill="FFFFFF"/>
            <w:vAlign w:val="center"/>
            <w:tcMar>
              <w:top w:w="70" w:type="dxa"/>
              <w:start w:w="95" w:type="dxa"/>
              <w:bottom w:w="70" w:type="dxa"/>
              <w:end w:w="95" w:type="dxa"/>
            </w:tcMar>
          </w:tcPr>
          <w:p>
            <w:pPr>
              <w:spacing w:after="0"/>
            </w:pPr>
            <w:r/>
            <w:r>
              <w:rPr>
                <w:rFonts w:ascii="Aptos" w:hAnsi="Aptos"/>
                <w:b w:val="0"/>
                <w:color w:val="17242E"/>
                <w:sz w:val="16"/>
              </w:rPr>
              <w:t>2</w:t>
            </w:r>
          </w:p>
        </w:tc>
      </w:tr>
      <w:tr>
        <w:trPr>
          <w:cantSplit/>
        </w:trPr>
        <w:tc>
          <w:tcPr>
            <w:tcW w:type="dxa" w:w="6912"/>
            <w:shd w:fill="F3F6F8"/>
            <w:vAlign w:val="center"/>
            <w:tcMar>
              <w:top w:w="70" w:type="dxa"/>
              <w:start w:w="95" w:type="dxa"/>
              <w:bottom w:w="70" w:type="dxa"/>
              <w:end w:w="95" w:type="dxa"/>
            </w:tcMar>
          </w:tcPr>
          <w:p>
            <w:pPr>
              <w:spacing w:after="0"/>
            </w:pPr>
            <w:r/>
            <w:r>
              <w:rPr>
                <w:rFonts w:ascii="Aptos" w:hAnsi="Aptos"/>
                <w:b/>
                <w:color w:val="17242E"/>
                <w:sz w:val="16"/>
              </w:rPr>
              <w:t>Integration</w:t>
            </w:r>
          </w:p>
        </w:tc>
        <w:tc>
          <w:tcPr>
            <w:tcW w:type="dxa" w:w="2664"/>
            <w:shd w:fill="F3F6F8"/>
            <w:vAlign w:val="center"/>
            <w:tcMar>
              <w:top w:w="70" w:type="dxa"/>
              <w:start w:w="95" w:type="dxa"/>
              <w:bottom w:w="70" w:type="dxa"/>
              <w:end w:w="95" w:type="dxa"/>
            </w:tcMar>
          </w:tcPr>
          <w:p>
            <w:pPr>
              <w:spacing w:after="0"/>
            </w:pPr>
            <w:r/>
            <w:r>
              <w:rPr>
                <w:rFonts w:ascii="Aptos" w:hAnsi="Aptos"/>
                <w:b w:val="0"/>
                <w:color w:val="17242E"/>
                <w:sz w:val="16"/>
              </w:rPr>
              <w:t>1</w:t>
            </w:r>
          </w:p>
        </w:tc>
      </w:tr>
      <w:tr>
        <w:trPr>
          <w:cantSplit/>
        </w:trPr>
        <w:tc>
          <w:tcPr>
            <w:tcW w:type="dxa" w:w="6912"/>
            <w:shd w:fill="FFFFFF"/>
            <w:vAlign w:val="center"/>
            <w:tcMar>
              <w:top w:w="70" w:type="dxa"/>
              <w:start w:w="95" w:type="dxa"/>
              <w:bottom w:w="70" w:type="dxa"/>
              <w:end w:w="95" w:type="dxa"/>
            </w:tcMar>
          </w:tcPr>
          <w:p>
            <w:pPr>
              <w:spacing w:after="0"/>
            </w:pPr>
            <w:r/>
            <w:r>
              <w:rPr>
                <w:rFonts w:ascii="Aptos" w:hAnsi="Aptos"/>
                <w:b/>
                <w:color w:val="17242E"/>
                <w:sz w:val="16"/>
              </w:rPr>
              <w:t>Integrity</w:t>
            </w:r>
          </w:p>
        </w:tc>
        <w:tc>
          <w:tcPr>
            <w:tcW w:type="dxa" w:w="2664"/>
            <w:shd w:fill="FFFFFF"/>
            <w:vAlign w:val="center"/>
            <w:tcMar>
              <w:top w:w="70" w:type="dxa"/>
              <w:start w:w="95" w:type="dxa"/>
              <w:bottom w:w="70" w:type="dxa"/>
              <w:end w:w="95" w:type="dxa"/>
            </w:tcMar>
          </w:tcPr>
          <w:p>
            <w:pPr>
              <w:spacing w:after="0"/>
            </w:pPr>
            <w:r/>
            <w:r>
              <w:rPr>
                <w:rFonts w:ascii="Aptos" w:hAnsi="Aptos"/>
                <w:b w:val="0"/>
                <w:color w:val="17242E"/>
                <w:sz w:val="16"/>
              </w:rPr>
              <w:t>7</w:t>
            </w:r>
          </w:p>
        </w:tc>
      </w:tr>
      <w:tr>
        <w:trPr>
          <w:cantSplit/>
        </w:trPr>
        <w:tc>
          <w:tcPr>
            <w:tcW w:type="dxa" w:w="6912"/>
            <w:shd w:fill="F3F6F8"/>
            <w:vAlign w:val="center"/>
            <w:tcMar>
              <w:top w:w="70" w:type="dxa"/>
              <w:start w:w="95" w:type="dxa"/>
              <w:bottom w:w="70" w:type="dxa"/>
              <w:end w:w="95" w:type="dxa"/>
            </w:tcMar>
          </w:tcPr>
          <w:p>
            <w:pPr>
              <w:spacing w:after="0"/>
            </w:pPr>
            <w:r/>
            <w:r>
              <w:rPr>
                <w:rFonts w:ascii="Aptos" w:hAnsi="Aptos"/>
                <w:b/>
                <w:color w:val="17242E"/>
                <w:sz w:val="16"/>
              </w:rPr>
              <w:t>Maintenance</w:t>
            </w:r>
          </w:p>
        </w:tc>
        <w:tc>
          <w:tcPr>
            <w:tcW w:type="dxa" w:w="2664"/>
            <w:shd w:fill="F3F6F8"/>
            <w:vAlign w:val="center"/>
            <w:tcMar>
              <w:top w:w="70" w:type="dxa"/>
              <w:start w:w="95" w:type="dxa"/>
              <w:bottom w:w="70" w:type="dxa"/>
              <w:end w:w="95" w:type="dxa"/>
            </w:tcMar>
          </w:tcPr>
          <w:p>
            <w:pPr>
              <w:spacing w:after="0"/>
            </w:pPr>
            <w:r/>
            <w:r>
              <w:rPr>
                <w:rFonts w:ascii="Aptos" w:hAnsi="Aptos"/>
                <w:b w:val="0"/>
                <w:color w:val="17242E"/>
                <w:sz w:val="16"/>
              </w:rPr>
              <w:t>1</w:t>
            </w:r>
          </w:p>
        </w:tc>
      </w:tr>
      <w:tr>
        <w:trPr>
          <w:cantSplit/>
        </w:trPr>
        <w:tc>
          <w:tcPr>
            <w:tcW w:type="dxa" w:w="6912"/>
            <w:shd w:fill="FFFFFF"/>
            <w:vAlign w:val="center"/>
            <w:tcMar>
              <w:top w:w="70" w:type="dxa"/>
              <w:start w:w="95" w:type="dxa"/>
              <w:bottom w:w="70" w:type="dxa"/>
              <w:end w:w="95" w:type="dxa"/>
            </w:tcMar>
          </w:tcPr>
          <w:p>
            <w:pPr>
              <w:spacing w:after="0"/>
            </w:pPr>
            <w:r/>
            <w:r>
              <w:rPr>
                <w:rFonts w:ascii="Aptos" w:hAnsi="Aptos"/>
                <w:b/>
                <w:color w:val="17242E"/>
                <w:sz w:val="16"/>
              </w:rPr>
              <w:t>Memory</w:t>
            </w:r>
          </w:p>
        </w:tc>
        <w:tc>
          <w:tcPr>
            <w:tcW w:type="dxa" w:w="2664"/>
            <w:shd w:fill="FFFFFF"/>
            <w:vAlign w:val="center"/>
            <w:tcMar>
              <w:top w:w="70" w:type="dxa"/>
              <w:start w:w="95" w:type="dxa"/>
              <w:bottom w:w="70" w:type="dxa"/>
              <w:end w:w="95" w:type="dxa"/>
            </w:tcMar>
          </w:tcPr>
          <w:p>
            <w:pPr>
              <w:spacing w:after="0"/>
            </w:pPr>
            <w:r/>
            <w:r>
              <w:rPr>
                <w:rFonts w:ascii="Aptos" w:hAnsi="Aptos"/>
                <w:b w:val="0"/>
                <w:color w:val="17242E"/>
                <w:sz w:val="16"/>
              </w:rPr>
              <w:t>1</w:t>
            </w:r>
          </w:p>
        </w:tc>
      </w:tr>
      <w:tr>
        <w:trPr>
          <w:cantSplit/>
        </w:trPr>
        <w:tc>
          <w:tcPr>
            <w:tcW w:type="dxa" w:w="6912"/>
            <w:shd w:fill="F3F6F8"/>
            <w:vAlign w:val="center"/>
            <w:tcMar>
              <w:top w:w="70" w:type="dxa"/>
              <w:start w:w="95" w:type="dxa"/>
              <w:bottom w:w="70" w:type="dxa"/>
              <w:end w:w="95" w:type="dxa"/>
            </w:tcMar>
          </w:tcPr>
          <w:p>
            <w:pPr>
              <w:spacing w:after="0"/>
            </w:pPr>
            <w:r/>
            <w:r>
              <w:rPr>
                <w:rFonts w:ascii="Aptos" w:hAnsi="Aptos"/>
                <w:b/>
                <w:color w:val="17242E"/>
                <w:sz w:val="16"/>
              </w:rPr>
              <w:t>Network</w:t>
            </w:r>
          </w:p>
        </w:tc>
        <w:tc>
          <w:tcPr>
            <w:tcW w:type="dxa" w:w="2664"/>
            <w:shd w:fill="F3F6F8"/>
            <w:vAlign w:val="center"/>
            <w:tcMar>
              <w:top w:w="70" w:type="dxa"/>
              <w:start w:w="95" w:type="dxa"/>
              <w:bottom w:w="70" w:type="dxa"/>
              <w:end w:w="95" w:type="dxa"/>
            </w:tcMar>
          </w:tcPr>
          <w:p>
            <w:pPr>
              <w:spacing w:after="0"/>
            </w:pPr>
            <w:r/>
            <w:r>
              <w:rPr>
                <w:rFonts w:ascii="Aptos" w:hAnsi="Aptos"/>
                <w:b w:val="0"/>
                <w:color w:val="17242E"/>
                <w:sz w:val="16"/>
              </w:rPr>
              <w:t>6</w:t>
            </w:r>
          </w:p>
        </w:tc>
      </w:tr>
      <w:tr>
        <w:trPr>
          <w:cantSplit/>
        </w:trPr>
        <w:tc>
          <w:tcPr>
            <w:tcW w:type="dxa" w:w="6912"/>
            <w:shd w:fill="FFFFFF"/>
            <w:vAlign w:val="center"/>
            <w:tcMar>
              <w:top w:w="70" w:type="dxa"/>
              <w:start w:w="95" w:type="dxa"/>
              <w:bottom w:w="70" w:type="dxa"/>
              <w:end w:w="95" w:type="dxa"/>
            </w:tcMar>
          </w:tcPr>
          <w:p>
            <w:pPr>
              <w:spacing w:after="0"/>
            </w:pPr>
            <w:r/>
            <w:r>
              <w:rPr>
                <w:rFonts w:ascii="Aptos" w:hAnsi="Aptos"/>
                <w:b/>
                <w:color w:val="17242E"/>
                <w:sz w:val="16"/>
              </w:rPr>
              <w:t>Performance</w:t>
            </w:r>
          </w:p>
        </w:tc>
        <w:tc>
          <w:tcPr>
            <w:tcW w:type="dxa" w:w="2664"/>
            <w:shd w:fill="FFFFFF"/>
            <w:vAlign w:val="center"/>
            <w:tcMar>
              <w:top w:w="70" w:type="dxa"/>
              <w:start w:w="95" w:type="dxa"/>
              <w:bottom w:w="70" w:type="dxa"/>
              <w:end w:w="95" w:type="dxa"/>
            </w:tcMar>
          </w:tcPr>
          <w:p>
            <w:pPr>
              <w:spacing w:after="0"/>
            </w:pPr>
            <w:r/>
            <w:r>
              <w:rPr>
                <w:rFonts w:ascii="Aptos" w:hAnsi="Aptos"/>
                <w:b w:val="0"/>
                <w:color w:val="17242E"/>
                <w:sz w:val="16"/>
              </w:rPr>
              <w:t>5</w:t>
            </w:r>
          </w:p>
        </w:tc>
      </w:tr>
      <w:tr>
        <w:trPr>
          <w:cantSplit/>
        </w:trPr>
        <w:tc>
          <w:tcPr>
            <w:tcW w:type="dxa" w:w="6912"/>
            <w:shd w:fill="F3F6F8"/>
            <w:vAlign w:val="center"/>
            <w:tcMar>
              <w:top w:w="70" w:type="dxa"/>
              <w:start w:w="95" w:type="dxa"/>
              <w:bottom w:w="70" w:type="dxa"/>
              <w:end w:w="95" w:type="dxa"/>
            </w:tcMar>
          </w:tcPr>
          <w:p>
            <w:pPr>
              <w:spacing w:after="0"/>
            </w:pPr>
            <w:r/>
            <w:r>
              <w:rPr>
                <w:rFonts w:ascii="Aptos" w:hAnsi="Aptos"/>
                <w:b/>
                <w:color w:val="17242E"/>
                <w:sz w:val="16"/>
              </w:rPr>
              <w:t>Persistence</w:t>
            </w:r>
          </w:p>
        </w:tc>
        <w:tc>
          <w:tcPr>
            <w:tcW w:type="dxa" w:w="2664"/>
            <w:shd w:fill="F3F6F8"/>
            <w:vAlign w:val="center"/>
            <w:tcMar>
              <w:top w:w="70" w:type="dxa"/>
              <w:start w:w="95" w:type="dxa"/>
              <w:bottom w:w="70" w:type="dxa"/>
              <w:end w:w="95" w:type="dxa"/>
            </w:tcMar>
          </w:tcPr>
          <w:p>
            <w:pPr>
              <w:spacing w:after="0"/>
            </w:pPr>
            <w:r/>
            <w:r>
              <w:rPr>
                <w:rFonts w:ascii="Aptos" w:hAnsi="Aptos"/>
                <w:b w:val="0"/>
                <w:color w:val="17242E"/>
                <w:sz w:val="16"/>
              </w:rPr>
              <w:t>1</w:t>
            </w:r>
          </w:p>
        </w:tc>
      </w:tr>
      <w:tr>
        <w:trPr>
          <w:cantSplit/>
        </w:trPr>
        <w:tc>
          <w:tcPr>
            <w:tcW w:type="dxa" w:w="6912"/>
            <w:shd w:fill="FFFFFF"/>
            <w:vAlign w:val="center"/>
            <w:tcMar>
              <w:top w:w="70" w:type="dxa"/>
              <w:start w:w="95" w:type="dxa"/>
              <w:bottom w:w="70" w:type="dxa"/>
              <w:end w:w="95" w:type="dxa"/>
            </w:tcMar>
          </w:tcPr>
          <w:p>
            <w:pPr>
              <w:spacing w:after="0"/>
            </w:pPr>
            <w:r/>
            <w:r>
              <w:rPr>
                <w:rFonts w:ascii="Aptos" w:hAnsi="Aptos"/>
                <w:b/>
                <w:color w:val="17242E"/>
                <w:sz w:val="16"/>
              </w:rPr>
              <w:t>Processes</w:t>
            </w:r>
          </w:p>
        </w:tc>
        <w:tc>
          <w:tcPr>
            <w:tcW w:type="dxa" w:w="2664"/>
            <w:shd w:fill="FFFFFF"/>
            <w:vAlign w:val="center"/>
            <w:tcMar>
              <w:top w:w="70" w:type="dxa"/>
              <w:start w:w="95" w:type="dxa"/>
              <w:bottom w:w="70" w:type="dxa"/>
              <w:end w:w="95" w:type="dxa"/>
            </w:tcMar>
          </w:tcPr>
          <w:p>
            <w:pPr>
              <w:spacing w:after="0"/>
            </w:pPr>
            <w:r/>
            <w:r>
              <w:rPr>
                <w:rFonts w:ascii="Aptos" w:hAnsi="Aptos"/>
                <w:b w:val="0"/>
                <w:color w:val="17242E"/>
                <w:sz w:val="16"/>
              </w:rPr>
              <w:t>1</w:t>
            </w:r>
          </w:p>
        </w:tc>
      </w:tr>
      <w:tr>
        <w:trPr>
          <w:cantSplit/>
        </w:trPr>
        <w:tc>
          <w:tcPr>
            <w:tcW w:type="dxa" w:w="6912"/>
            <w:shd w:fill="F3F6F8"/>
            <w:vAlign w:val="center"/>
            <w:tcMar>
              <w:top w:w="70" w:type="dxa"/>
              <w:start w:w="95" w:type="dxa"/>
              <w:bottom w:w="70" w:type="dxa"/>
              <w:end w:w="95" w:type="dxa"/>
            </w:tcMar>
          </w:tcPr>
          <w:p>
            <w:pPr>
              <w:spacing w:after="0"/>
            </w:pPr>
            <w:r/>
            <w:r>
              <w:rPr>
                <w:rFonts w:ascii="Aptos" w:hAnsi="Aptos"/>
                <w:b/>
                <w:color w:val="17242E"/>
                <w:sz w:val="16"/>
              </w:rPr>
              <w:t>Ransomware</w:t>
            </w:r>
          </w:p>
        </w:tc>
        <w:tc>
          <w:tcPr>
            <w:tcW w:type="dxa" w:w="2664"/>
            <w:shd w:fill="F3F6F8"/>
            <w:vAlign w:val="center"/>
            <w:tcMar>
              <w:top w:w="70" w:type="dxa"/>
              <w:start w:w="95" w:type="dxa"/>
              <w:bottom w:w="70" w:type="dxa"/>
              <w:end w:w="95" w:type="dxa"/>
            </w:tcMar>
          </w:tcPr>
          <w:p>
            <w:pPr>
              <w:spacing w:after="0"/>
            </w:pPr>
            <w:r/>
            <w:r>
              <w:rPr>
                <w:rFonts w:ascii="Aptos" w:hAnsi="Aptos"/>
                <w:b w:val="0"/>
                <w:color w:val="17242E"/>
                <w:sz w:val="16"/>
              </w:rPr>
              <w:t>1</w:t>
            </w:r>
          </w:p>
        </w:tc>
      </w:tr>
      <w:tr>
        <w:trPr>
          <w:cantSplit/>
        </w:trPr>
        <w:tc>
          <w:tcPr>
            <w:tcW w:type="dxa" w:w="6912"/>
            <w:shd w:fill="FFFFFF"/>
            <w:vAlign w:val="center"/>
            <w:tcMar>
              <w:top w:w="70" w:type="dxa"/>
              <w:start w:w="95" w:type="dxa"/>
              <w:bottom w:w="70" w:type="dxa"/>
              <w:end w:w="95" w:type="dxa"/>
            </w:tcMar>
          </w:tcPr>
          <w:p>
            <w:pPr>
              <w:spacing w:after="0"/>
            </w:pPr>
            <w:r/>
            <w:r>
              <w:rPr>
                <w:rFonts w:ascii="Aptos" w:hAnsi="Aptos"/>
                <w:b/>
                <w:color w:val="17242E"/>
                <w:sz w:val="16"/>
              </w:rPr>
              <w:t>Reporting</w:t>
            </w:r>
          </w:p>
        </w:tc>
        <w:tc>
          <w:tcPr>
            <w:tcW w:type="dxa" w:w="2664"/>
            <w:shd w:fill="FFFFFF"/>
            <w:vAlign w:val="center"/>
            <w:tcMar>
              <w:top w:w="70" w:type="dxa"/>
              <w:start w:w="95" w:type="dxa"/>
              <w:bottom w:w="70" w:type="dxa"/>
              <w:end w:w="95" w:type="dxa"/>
            </w:tcMar>
          </w:tcPr>
          <w:p>
            <w:pPr>
              <w:spacing w:after="0"/>
            </w:pPr>
            <w:r/>
            <w:r>
              <w:rPr>
                <w:rFonts w:ascii="Aptos" w:hAnsi="Aptos"/>
                <w:b w:val="0"/>
                <w:color w:val="17242E"/>
                <w:sz w:val="16"/>
              </w:rPr>
              <w:t>1</w:t>
            </w:r>
          </w:p>
        </w:tc>
      </w:tr>
      <w:tr>
        <w:trPr>
          <w:cantSplit/>
        </w:trPr>
        <w:tc>
          <w:tcPr>
            <w:tcW w:type="dxa" w:w="6912"/>
            <w:shd w:fill="F3F6F8"/>
            <w:vAlign w:val="center"/>
            <w:tcMar>
              <w:top w:w="70" w:type="dxa"/>
              <w:start w:w="95" w:type="dxa"/>
              <w:bottom w:w="70" w:type="dxa"/>
              <w:end w:w="95" w:type="dxa"/>
            </w:tcMar>
          </w:tcPr>
          <w:p>
            <w:pPr>
              <w:spacing w:after="0"/>
            </w:pPr>
            <w:r/>
            <w:r>
              <w:rPr>
                <w:rFonts w:ascii="Aptos" w:hAnsi="Aptos"/>
                <w:b/>
                <w:color w:val="17242E"/>
                <w:sz w:val="16"/>
              </w:rPr>
              <w:t>Resilience</w:t>
            </w:r>
          </w:p>
        </w:tc>
        <w:tc>
          <w:tcPr>
            <w:tcW w:type="dxa" w:w="2664"/>
            <w:shd w:fill="F3F6F8"/>
            <w:vAlign w:val="center"/>
            <w:tcMar>
              <w:top w:w="70" w:type="dxa"/>
              <w:start w:w="95" w:type="dxa"/>
              <w:bottom w:w="70" w:type="dxa"/>
              <w:end w:w="95" w:type="dxa"/>
            </w:tcMar>
          </w:tcPr>
          <w:p>
            <w:pPr>
              <w:spacing w:after="0"/>
            </w:pPr>
            <w:r/>
            <w:r>
              <w:rPr>
                <w:rFonts w:ascii="Aptos" w:hAnsi="Aptos"/>
                <w:b w:val="0"/>
                <w:color w:val="17242E"/>
                <w:sz w:val="16"/>
              </w:rPr>
              <w:t>7</w:t>
            </w:r>
          </w:p>
        </w:tc>
      </w:tr>
      <w:tr>
        <w:trPr>
          <w:cantSplit/>
        </w:trPr>
        <w:tc>
          <w:tcPr>
            <w:tcW w:type="dxa" w:w="6912"/>
            <w:shd w:fill="FFFFFF"/>
            <w:vAlign w:val="center"/>
            <w:tcMar>
              <w:top w:w="70" w:type="dxa"/>
              <w:start w:w="95" w:type="dxa"/>
              <w:bottom w:w="70" w:type="dxa"/>
              <w:end w:w="95" w:type="dxa"/>
            </w:tcMar>
          </w:tcPr>
          <w:p>
            <w:pPr>
              <w:spacing w:after="0"/>
            </w:pPr>
            <w:r/>
            <w:r>
              <w:rPr>
                <w:rFonts w:ascii="Aptos" w:hAnsi="Aptos"/>
                <w:b/>
                <w:color w:val="17242E"/>
                <w:sz w:val="16"/>
              </w:rPr>
              <w:t>Response</w:t>
            </w:r>
          </w:p>
        </w:tc>
        <w:tc>
          <w:tcPr>
            <w:tcW w:type="dxa" w:w="2664"/>
            <w:shd w:fill="FFFFFF"/>
            <w:vAlign w:val="center"/>
            <w:tcMar>
              <w:top w:w="70" w:type="dxa"/>
              <w:start w:w="95" w:type="dxa"/>
              <w:bottom w:w="70" w:type="dxa"/>
              <w:end w:w="95" w:type="dxa"/>
            </w:tcMar>
          </w:tcPr>
          <w:p>
            <w:pPr>
              <w:spacing w:after="0"/>
            </w:pPr>
            <w:r/>
            <w:r>
              <w:rPr>
                <w:rFonts w:ascii="Aptos" w:hAnsi="Aptos"/>
                <w:b w:val="0"/>
                <w:color w:val="17242E"/>
                <w:sz w:val="16"/>
              </w:rPr>
              <w:t>6</w:t>
            </w:r>
          </w:p>
        </w:tc>
      </w:tr>
      <w:tr>
        <w:trPr>
          <w:cantSplit/>
        </w:trPr>
        <w:tc>
          <w:tcPr>
            <w:tcW w:type="dxa" w:w="6912"/>
            <w:shd w:fill="F3F6F8"/>
            <w:vAlign w:val="center"/>
            <w:tcMar>
              <w:top w:w="70" w:type="dxa"/>
              <w:start w:w="95" w:type="dxa"/>
              <w:bottom w:w="70" w:type="dxa"/>
              <w:end w:w="95" w:type="dxa"/>
            </w:tcMar>
          </w:tcPr>
          <w:p>
            <w:pPr>
              <w:spacing w:after="0"/>
            </w:pPr>
            <w:r/>
            <w:r>
              <w:rPr>
                <w:rFonts w:ascii="Aptos" w:hAnsi="Aptos"/>
                <w:b/>
                <w:color w:val="17242E"/>
                <w:sz w:val="16"/>
              </w:rPr>
              <w:t>SOAR</w:t>
            </w:r>
          </w:p>
        </w:tc>
        <w:tc>
          <w:tcPr>
            <w:tcW w:type="dxa" w:w="2664"/>
            <w:shd w:fill="F3F6F8"/>
            <w:vAlign w:val="center"/>
            <w:tcMar>
              <w:top w:w="70" w:type="dxa"/>
              <w:start w:w="95" w:type="dxa"/>
              <w:bottom w:w="70" w:type="dxa"/>
              <w:end w:w="95" w:type="dxa"/>
            </w:tcMar>
          </w:tcPr>
          <w:p>
            <w:pPr>
              <w:spacing w:after="0"/>
            </w:pPr>
            <w:r/>
            <w:r>
              <w:rPr>
                <w:rFonts w:ascii="Aptos" w:hAnsi="Aptos"/>
                <w:b w:val="0"/>
                <w:color w:val="17242E"/>
                <w:sz w:val="16"/>
              </w:rPr>
              <w:t>1</w:t>
            </w:r>
          </w:p>
        </w:tc>
      </w:tr>
      <w:tr>
        <w:trPr>
          <w:cantSplit/>
        </w:trPr>
        <w:tc>
          <w:tcPr>
            <w:tcW w:type="dxa" w:w="6912"/>
            <w:shd w:fill="FFFFFF"/>
            <w:vAlign w:val="center"/>
            <w:tcMar>
              <w:top w:w="70" w:type="dxa"/>
              <w:start w:w="95" w:type="dxa"/>
              <w:bottom w:w="70" w:type="dxa"/>
              <w:end w:w="95" w:type="dxa"/>
            </w:tcMar>
          </w:tcPr>
          <w:p>
            <w:pPr>
              <w:spacing w:after="0"/>
            </w:pPr>
            <w:r/>
            <w:r>
              <w:rPr>
                <w:rFonts w:ascii="Aptos" w:hAnsi="Aptos"/>
                <w:b/>
                <w:color w:val="17242E"/>
                <w:sz w:val="16"/>
              </w:rPr>
              <w:t>Sensor</w:t>
            </w:r>
          </w:p>
        </w:tc>
        <w:tc>
          <w:tcPr>
            <w:tcW w:type="dxa" w:w="2664"/>
            <w:shd w:fill="FFFFFF"/>
            <w:vAlign w:val="center"/>
            <w:tcMar>
              <w:top w:w="70" w:type="dxa"/>
              <w:start w:w="95" w:type="dxa"/>
              <w:bottom w:w="70" w:type="dxa"/>
              <w:end w:w="95" w:type="dxa"/>
            </w:tcMar>
          </w:tcPr>
          <w:p>
            <w:pPr>
              <w:spacing w:after="0"/>
            </w:pPr>
            <w:r/>
            <w:r>
              <w:rPr>
                <w:rFonts w:ascii="Aptos" w:hAnsi="Aptos"/>
                <w:b w:val="0"/>
                <w:color w:val="17242E"/>
                <w:sz w:val="16"/>
              </w:rPr>
              <w:t>1</w:t>
            </w:r>
          </w:p>
        </w:tc>
      </w:tr>
      <w:tr>
        <w:trPr>
          <w:cantSplit/>
        </w:trPr>
        <w:tc>
          <w:tcPr>
            <w:tcW w:type="dxa" w:w="6912"/>
            <w:shd w:fill="F3F6F8"/>
            <w:vAlign w:val="center"/>
            <w:tcMar>
              <w:top w:w="70" w:type="dxa"/>
              <w:start w:w="95" w:type="dxa"/>
              <w:bottom w:w="70" w:type="dxa"/>
              <w:end w:w="95" w:type="dxa"/>
            </w:tcMar>
          </w:tcPr>
          <w:p>
            <w:pPr>
              <w:spacing w:after="0"/>
            </w:pPr>
            <w:r/>
            <w:r>
              <w:rPr>
                <w:rFonts w:ascii="Aptos" w:hAnsi="Aptos"/>
                <w:b/>
                <w:color w:val="17242E"/>
                <w:sz w:val="16"/>
              </w:rPr>
              <w:t>Signatures</w:t>
            </w:r>
          </w:p>
        </w:tc>
        <w:tc>
          <w:tcPr>
            <w:tcW w:type="dxa" w:w="2664"/>
            <w:shd w:fill="F3F6F8"/>
            <w:vAlign w:val="center"/>
            <w:tcMar>
              <w:top w:w="70" w:type="dxa"/>
              <w:start w:w="95" w:type="dxa"/>
              <w:bottom w:w="70" w:type="dxa"/>
              <w:end w:w="95" w:type="dxa"/>
            </w:tcMar>
          </w:tcPr>
          <w:p>
            <w:pPr>
              <w:spacing w:after="0"/>
            </w:pPr>
            <w:r/>
            <w:r>
              <w:rPr>
                <w:rFonts w:ascii="Aptos" w:hAnsi="Aptos"/>
                <w:b w:val="0"/>
                <w:color w:val="17242E"/>
                <w:sz w:val="16"/>
              </w:rPr>
              <w:t>1</w:t>
            </w:r>
          </w:p>
        </w:tc>
      </w:tr>
      <w:tr>
        <w:trPr>
          <w:cantSplit/>
        </w:trPr>
        <w:tc>
          <w:tcPr>
            <w:tcW w:type="dxa" w:w="6912"/>
            <w:shd w:fill="FFFFFF"/>
            <w:vAlign w:val="center"/>
            <w:tcMar>
              <w:top w:w="70" w:type="dxa"/>
              <w:start w:w="95" w:type="dxa"/>
              <w:bottom w:w="70" w:type="dxa"/>
              <w:end w:w="95" w:type="dxa"/>
            </w:tcMar>
          </w:tcPr>
          <w:p>
            <w:pPr>
              <w:spacing w:after="0"/>
            </w:pPr>
            <w:r/>
            <w:r>
              <w:rPr>
                <w:rFonts w:ascii="Aptos" w:hAnsi="Aptos"/>
                <w:b/>
                <w:color w:val="17242E"/>
                <w:sz w:val="16"/>
              </w:rPr>
              <w:t>System</w:t>
            </w:r>
          </w:p>
        </w:tc>
        <w:tc>
          <w:tcPr>
            <w:tcW w:type="dxa" w:w="2664"/>
            <w:shd w:fill="FFFFFF"/>
            <w:vAlign w:val="center"/>
            <w:tcMar>
              <w:top w:w="70" w:type="dxa"/>
              <w:start w:w="95" w:type="dxa"/>
              <w:bottom w:w="70" w:type="dxa"/>
              <w:end w:w="95" w:type="dxa"/>
            </w:tcMar>
          </w:tcPr>
          <w:p>
            <w:pPr>
              <w:spacing w:after="0"/>
            </w:pPr>
            <w:r/>
            <w:r>
              <w:rPr>
                <w:rFonts w:ascii="Aptos" w:hAnsi="Aptos"/>
                <w:b w:val="0"/>
                <w:color w:val="17242E"/>
                <w:sz w:val="16"/>
              </w:rPr>
              <w:t>1</w:t>
            </w:r>
          </w:p>
        </w:tc>
      </w:tr>
      <w:tr>
        <w:trPr>
          <w:cantSplit/>
        </w:trPr>
        <w:tc>
          <w:tcPr>
            <w:tcW w:type="dxa" w:w="6912"/>
            <w:shd w:fill="F3F6F8"/>
            <w:vAlign w:val="center"/>
            <w:tcMar>
              <w:top w:w="70" w:type="dxa"/>
              <w:start w:w="95" w:type="dxa"/>
              <w:bottom w:w="70" w:type="dxa"/>
              <w:end w:w="95" w:type="dxa"/>
            </w:tcMar>
          </w:tcPr>
          <w:p>
            <w:pPr>
              <w:spacing w:after="0"/>
            </w:pPr>
            <w:r/>
            <w:r>
              <w:rPr>
                <w:rFonts w:ascii="Aptos" w:hAnsi="Aptos"/>
                <w:b/>
                <w:color w:val="17242E"/>
                <w:sz w:val="16"/>
              </w:rPr>
              <w:t>Telemetry</w:t>
            </w:r>
          </w:p>
        </w:tc>
        <w:tc>
          <w:tcPr>
            <w:tcW w:type="dxa" w:w="2664"/>
            <w:shd w:fill="F3F6F8"/>
            <w:vAlign w:val="center"/>
            <w:tcMar>
              <w:top w:w="70" w:type="dxa"/>
              <w:start w:w="95" w:type="dxa"/>
              <w:bottom w:w="70" w:type="dxa"/>
              <w:end w:w="95" w:type="dxa"/>
            </w:tcMar>
          </w:tcPr>
          <w:p>
            <w:pPr>
              <w:spacing w:after="0"/>
            </w:pPr>
            <w:r/>
            <w:r>
              <w:rPr>
                <w:rFonts w:ascii="Aptos" w:hAnsi="Aptos"/>
                <w:b w:val="0"/>
                <w:color w:val="17242E"/>
                <w:sz w:val="16"/>
              </w:rPr>
              <w:t>2</w:t>
            </w:r>
          </w:p>
        </w:tc>
      </w:tr>
      <w:tr>
        <w:trPr>
          <w:cantSplit/>
        </w:trPr>
        <w:tc>
          <w:tcPr>
            <w:tcW w:type="dxa" w:w="6912"/>
            <w:shd w:fill="FFFFFF"/>
            <w:vAlign w:val="center"/>
            <w:tcMar>
              <w:top w:w="70" w:type="dxa"/>
              <w:start w:w="95" w:type="dxa"/>
              <w:bottom w:w="70" w:type="dxa"/>
              <w:end w:w="95" w:type="dxa"/>
            </w:tcMar>
          </w:tcPr>
          <w:p>
            <w:pPr>
              <w:spacing w:after="0"/>
            </w:pPr>
            <w:r/>
            <w:r>
              <w:rPr>
                <w:rFonts w:ascii="Aptos" w:hAnsi="Aptos"/>
                <w:b/>
                <w:color w:val="17242E"/>
                <w:sz w:val="16"/>
              </w:rPr>
              <w:t>Threat Intel</w:t>
            </w:r>
          </w:p>
        </w:tc>
        <w:tc>
          <w:tcPr>
            <w:tcW w:type="dxa" w:w="2664"/>
            <w:shd w:fill="FFFFFF"/>
            <w:vAlign w:val="center"/>
            <w:tcMar>
              <w:top w:w="70" w:type="dxa"/>
              <w:start w:w="95" w:type="dxa"/>
              <w:bottom w:w="70" w:type="dxa"/>
              <w:end w:w="95" w:type="dxa"/>
            </w:tcMar>
          </w:tcPr>
          <w:p>
            <w:pPr>
              <w:spacing w:after="0"/>
            </w:pPr>
            <w:r/>
            <w:r>
              <w:rPr>
                <w:rFonts w:ascii="Aptos" w:hAnsi="Aptos"/>
                <w:b w:val="0"/>
                <w:color w:val="17242E"/>
                <w:sz w:val="16"/>
              </w:rPr>
              <w:t>1</w:t>
            </w:r>
          </w:p>
        </w:tc>
      </w:tr>
      <w:tr>
        <w:trPr>
          <w:cantSplit/>
        </w:trPr>
        <w:tc>
          <w:tcPr>
            <w:tcW w:type="dxa" w:w="6912"/>
            <w:shd w:fill="F3F6F8"/>
            <w:vAlign w:val="center"/>
            <w:tcMar>
              <w:top w:w="70" w:type="dxa"/>
              <w:start w:w="95" w:type="dxa"/>
              <w:bottom w:w="70" w:type="dxa"/>
              <w:end w:w="95" w:type="dxa"/>
            </w:tcMar>
          </w:tcPr>
          <w:p>
            <w:pPr>
              <w:spacing w:after="0"/>
            </w:pPr>
            <w:r/>
            <w:r>
              <w:rPr>
                <w:rFonts w:ascii="Aptos" w:hAnsi="Aptos"/>
                <w:b/>
                <w:color w:val="17242E"/>
                <w:sz w:val="16"/>
              </w:rPr>
              <w:t>TOTAL</w:t>
            </w:r>
          </w:p>
        </w:tc>
        <w:tc>
          <w:tcPr>
            <w:tcW w:type="dxa" w:w="2664"/>
            <w:shd w:fill="F3F6F8"/>
            <w:vAlign w:val="center"/>
            <w:tcMar>
              <w:top w:w="70" w:type="dxa"/>
              <w:start w:w="95" w:type="dxa"/>
              <w:bottom w:w="70" w:type="dxa"/>
              <w:end w:w="95" w:type="dxa"/>
            </w:tcMar>
          </w:tcPr>
          <w:p>
            <w:pPr>
              <w:spacing w:after="0"/>
            </w:pPr>
            <w:r/>
            <w:r>
              <w:rPr>
                <w:rFonts w:ascii="Aptos" w:hAnsi="Aptos"/>
                <w:b w:val="0"/>
                <w:color w:val="17242E"/>
                <w:sz w:val="16"/>
              </w:rPr>
              <w:t>67</w:t>
            </w:r>
          </w:p>
        </w:tc>
      </w:tr>
    </w:tbl>
    <w:p>
      <w:pPr>
        <w:spacing w:after="20"/>
      </w:pPr>
    </w:p>
    <w:p>
      <w:pPr>
        <w:pStyle w:val="Heading2"/>
        <w:keepNext/>
      </w:pPr>
      <w:r>
        <w:t>AI (3)</w:t>
      </w:r>
    </w:p>
    <w:tbl>
      <w:tblPr>
        <w:tblW w:type="auto" w:w="0"/>
        <w:jc w:val="center"/>
        <w:tblLayout w:type="fixed"/>
        <w:tblLook w:firstColumn="1" w:firstRow="1" w:lastColumn="0" w:lastRow="0" w:noHBand="0" w:noVBand="1" w:val="04A0"/>
      </w:tblPr>
      <w:tblGrid>
        <w:gridCol w:w="10454"/>
      </w:tblGrid>
      <w:tr>
        <w:trPr>
          <w:cantSplit/>
        </w:trPr>
        <w:tc>
          <w:tcPr>
            <w:tcW w:type="dxa" w:w="9576"/>
            <w:shd w:fill="EAF5F8"/>
            <w:tcMar>
              <w:top w:w="75" w:type="dxa"/>
              <w:start w:w="120" w:type="dxa"/>
              <w:bottom w:w="75" w:type="dxa"/>
              <w:end w:w="120" w:type="dxa"/>
            </w:tcMar>
          </w:tcPr>
          <w:p>
            <w:pPr>
              <w:spacing w:after="40"/>
            </w:pPr>
            <w:r/>
            <w:r>
              <w:rPr>
                <w:rFonts w:ascii="Aptos" w:hAnsi="Aptos"/>
                <w:b/>
                <w:color w:val="0B6E99"/>
                <w:sz w:val="18"/>
              </w:rPr>
              <w:t>AI Triage (Ollama)</w:t>
            </w:r>
          </w:p>
          <w:p>
            <w:pPr>
              <w:spacing w:after="0"/>
            </w:pPr>
            <w:r>
              <w:rPr>
                <w:color w:val="17242E"/>
                <w:sz w:val="16"/>
              </w:rPr>
              <w:t>Explains and scores serious events using a local LLM (Ollama).</w:t>
            </w:r>
          </w:p>
        </w:tc>
      </w:tr>
    </w:tbl>
    <w:p>
      <w:pPr>
        <w:spacing w:after="0"/>
      </w:pPr>
    </w:p>
    <w:tbl>
      <w:tblPr>
        <w:tblW w:type="auto" w:w="0"/>
        <w:jc w:val="center"/>
        <w:tblLayout w:type="fixed"/>
        <w:tblLook w:firstColumn="1" w:firstRow="1" w:lastColumn="0" w:lastRow="0" w:noHBand="0" w:noVBand="1" w:val="04A0"/>
      </w:tblPr>
      <w:tblGrid>
        <w:gridCol w:w="10454"/>
      </w:tblGrid>
      <w:tr>
        <w:trPr>
          <w:cantSplit/>
        </w:trPr>
        <w:tc>
          <w:tcPr>
            <w:tcW w:type="dxa" w:w="9576"/>
            <w:shd w:fill="EAF5F8"/>
            <w:tcMar>
              <w:top w:w="75" w:type="dxa"/>
              <w:start w:w="120" w:type="dxa"/>
              <w:bottom w:w="75" w:type="dxa"/>
              <w:end w:w="120" w:type="dxa"/>
            </w:tcMar>
          </w:tcPr>
          <w:p>
            <w:pPr>
              <w:spacing w:after="40"/>
            </w:pPr>
            <w:r/>
            <w:r>
              <w:rPr>
                <w:rFonts w:ascii="Aptos" w:hAnsi="Aptos"/>
                <w:b/>
                <w:color w:val="0B6E99"/>
                <w:sz w:val="18"/>
              </w:rPr>
              <w:t>Cloud CTI Escalation</w:t>
            </w:r>
          </w:p>
          <w:p>
            <w:pPr>
              <w:spacing w:after="0"/>
            </w:pPr>
            <w:r>
              <w:rPr>
                <w:color w:val="17242E"/>
                <w:sz w:val="16"/>
              </w:rPr>
              <w:t>Opt-in: corroborates CRITICAL events with a cloud model (uses your own key).</w:t>
            </w:r>
          </w:p>
        </w:tc>
      </w:tr>
    </w:tbl>
    <w:p>
      <w:pPr>
        <w:spacing w:after="0"/>
      </w:pPr>
    </w:p>
    <w:tbl>
      <w:tblPr>
        <w:tblW w:type="auto" w:w="0"/>
        <w:jc w:val="center"/>
        <w:tblLayout w:type="fixed"/>
        <w:tblLook w:firstColumn="1" w:firstRow="1" w:lastColumn="0" w:lastRow="0" w:noHBand="0" w:noVBand="1" w:val="04A0"/>
      </w:tblPr>
      <w:tblGrid>
        <w:gridCol w:w="10454"/>
      </w:tblGrid>
      <w:tr>
        <w:trPr>
          <w:cantSplit/>
        </w:trPr>
        <w:tc>
          <w:tcPr>
            <w:tcW w:type="dxa" w:w="9576"/>
            <w:shd w:fill="EAF5F8"/>
            <w:tcMar>
              <w:top w:w="75" w:type="dxa"/>
              <w:start w:w="120" w:type="dxa"/>
              <w:bottom w:w="75" w:type="dxa"/>
              <w:end w:w="120" w:type="dxa"/>
            </w:tcMar>
          </w:tcPr>
          <w:p>
            <w:pPr>
              <w:spacing w:after="40"/>
            </w:pPr>
            <w:r/>
            <w:r>
              <w:rPr>
                <w:rFonts w:ascii="Aptos" w:hAnsi="Aptos"/>
                <w:b/>
                <w:color w:val="0B6E99"/>
                <w:sz w:val="18"/>
              </w:rPr>
              <w:t>Deterministic Fast-Path Interceptor</w:t>
            </w:r>
          </w:p>
          <w:p>
            <w:pPr>
              <w:spacing w:after="0"/>
            </w:pPr>
            <w:r>
              <w:rPr>
                <w:color w:val="17242E"/>
                <w:sz w:val="16"/>
              </w:rPr>
              <w:t>Checks bus events against a deterministic IOC pattern library and emits CRITICAL alerts immediately — without waiting for Ollama — for high-confidence known-bad patterns.</w:t>
            </w:r>
          </w:p>
        </w:tc>
      </w:tr>
    </w:tbl>
    <w:p>
      <w:pPr>
        <w:spacing w:after="0"/>
      </w:pPr>
    </w:p>
    <w:p>
      <w:pPr>
        <w:pStyle w:val="Heading2"/>
        <w:keepNext/>
      </w:pPr>
      <w:r>
        <w:t>AI Defense (1)</w:t>
      </w:r>
    </w:p>
    <w:tbl>
      <w:tblPr>
        <w:tblW w:type="auto" w:w="0"/>
        <w:jc w:val="center"/>
        <w:tblLayout w:type="fixed"/>
        <w:tblLook w:firstColumn="1" w:firstRow="1" w:lastColumn="0" w:lastRow="0" w:noHBand="0" w:noVBand="1" w:val="04A0"/>
      </w:tblPr>
      <w:tblGrid>
        <w:gridCol w:w="10454"/>
      </w:tblGrid>
      <w:tr>
        <w:trPr>
          <w:cantSplit/>
        </w:trPr>
        <w:tc>
          <w:tcPr>
            <w:tcW w:type="dxa" w:w="9576"/>
            <w:shd w:fill="EAF5F8"/>
            <w:tcMar>
              <w:top w:w="75" w:type="dxa"/>
              <w:start w:w="120" w:type="dxa"/>
              <w:bottom w:w="75" w:type="dxa"/>
              <w:end w:w="120" w:type="dxa"/>
            </w:tcMar>
          </w:tcPr>
          <w:p>
            <w:pPr>
              <w:spacing w:after="40"/>
            </w:pPr>
            <w:r/>
            <w:r>
              <w:rPr>
                <w:rFonts w:ascii="Aptos" w:hAnsi="Aptos"/>
                <w:b/>
                <w:color w:val="0B6E99"/>
                <w:sz w:val="18"/>
              </w:rPr>
              <w:t>AI Model Integrity Guard</w:t>
            </w:r>
          </w:p>
          <w:p>
            <w:pPr>
              <w:spacing w:after="0"/>
            </w:pPr>
            <w:r>
              <w:rPr>
                <w:color w:val="17242E"/>
                <w:sz w:val="16"/>
              </w:rPr>
              <w:t>Cryptographically attests local LLM weights (Ollama blobs) against a pinned baseline; flags tampering/poisoning before load.</w:t>
            </w:r>
          </w:p>
        </w:tc>
      </w:tr>
    </w:tbl>
    <w:p>
      <w:pPr>
        <w:spacing w:after="0"/>
      </w:pPr>
    </w:p>
    <w:p>
      <w:pPr>
        <w:pStyle w:val="Heading2"/>
        <w:keepNext/>
      </w:pPr>
      <w:r>
        <w:t>Compliance (1)</w:t>
      </w:r>
    </w:p>
    <w:tbl>
      <w:tblPr>
        <w:tblW w:type="auto" w:w="0"/>
        <w:jc w:val="center"/>
        <w:tblLayout w:type="fixed"/>
        <w:tblLook w:firstColumn="1" w:firstRow="1" w:lastColumn="0" w:lastRow="0" w:noHBand="0" w:noVBand="1" w:val="04A0"/>
      </w:tblPr>
      <w:tblGrid>
        <w:gridCol w:w="10454"/>
      </w:tblGrid>
      <w:tr>
        <w:trPr>
          <w:cantSplit/>
        </w:trPr>
        <w:tc>
          <w:tcPr>
            <w:tcW w:type="dxa" w:w="9576"/>
            <w:shd w:fill="EAF5F8"/>
            <w:tcMar>
              <w:top w:w="75" w:type="dxa"/>
              <w:start w:w="120" w:type="dxa"/>
              <w:bottom w:w="75" w:type="dxa"/>
              <w:end w:w="120" w:type="dxa"/>
            </w:tcMar>
          </w:tcPr>
          <w:p>
            <w:pPr>
              <w:spacing w:after="40"/>
            </w:pPr>
            <w:r/>
            <w:r>
              <w:rPr>
                <w:rFonts w:ascii="Aptos" w:hAnsi="Aptos"/>
                <w:b/>
                <w:color w:val="0B6E99"/>
                <w:sz w:val="18"/>
              </w:rPr>
              <w:t>Compliance Mapper</w:t>
            </w:r>
          </w:p>
          <w:p>
            <w:pPr>
              <w:spacing w:after="0"/>
            </w:pPr>
            <w:r>
              <w:rPr>
                <w:color w:val="17242E"/>
                <w:sz w:val="16"/>
              </w:rPr>
              <w:t>Maps live MITRE ATT&amp;CK detections to NIST 800-53 + DoD STIG controls and writes an auditable compliance posture artifact.</w:t>
            </w:r>
          </w:p>
        </w:tc>
      </w:tr>
    </w:tbl>
    <w:p>
      <w:pPr>
        <w:spacing w:after="0"/>
      </w:pPr>
    </w:p>
    <w:p>
      <w:pPr>
        <w:pStyle w:val="Heading2"/>
        <w:keepNext/>
      </w:pPr>
      <w:r>
        <w:t>Deception (2)</w:t>
      </w:r>
    </w:p>
    <w:tbl>
      <w:tblPr>
        <w:tblW w:type="auto" w:w="0"/>
        <w:jc w:val="center"/>
        <w:tblLayout w:type="fixed"/>
        <w:tblLook w:firstColumn="1" w:firstRow="1" w:lastColumn="0" w:lastRow="0" w:noHBand="0" w:noVBand="1" w:val="04A0"/>
      </w:tblPr>
      <w:tblGrid>
        <w:gridCol w:w="10454"/>
      </w:tblGrid>
      <w:tr>
        <w:trPr>
          <w:cantSplit/>
        </w:trPr>
        <w:tc>
          <w:tcPr>
            <w:tcW w:type="dxa" w:w="9576"/>
            <w:shd w:fill="EAF5F8"/>
            <w:tcMar>
              <w:top w:w="75" w:type="dxa"/>
              <w:start w:w="120" w:type="dxa"/>
              <w:bottom w:w="75" w:type="dxa"/>
              <w:end w:w="120" w:type="dxa"/>
            </w:tcMar>
          </w:tcPr>
          <w:p>
            <w:pPr>
              <w:spacing w:after="40"/>
            </w:pPr>
            <w:r/>
            <w:r>
              <w:rPr>
                <w:rFonts w:ascii="Aptos" w:hAnsi="Aptos"/>
                <w:b/>
                <w:color w:val="0B6E99"/>
                <w:sz w:val="18"/>
              </w:rPr>
              <w:t>Active Deception</w:t>
            </w:r>
          </w:p>
          <w:p>
            <w:pPr>
              <w:spacing w:after="0"/>
            </w:pPr>
            <w:r>
              <w:rPr>
                <w:color w:val="17242E"/>
                <w:sz w:val="16"/>
              </w:rPr>
              <w:t>Plants canaries/honeytokens and DYNAMICALLY re-stages fresh traps when one is burned.</w:t>
            </w:r>
          </w:p>
        </w:tc>
      </w:tr>
    </w:tbl>
    <w:p>
      <w:pPr>
        <w:spacing w:after="0"/>
      </w:pPr>
    </w:p>
    <w:tbl>
      <w:tblPr>
        <w:tblW w:type="auto" w:w="0"/>
        <w:jc w:val="center"/>
        <w:tblLayout w:type="fixed"/>
        <w:tblLook w:firstColumn="1" w:firstRow="1" w:lastColumn="0" w:lastRow="0" w:noHBand="0" w:noVBand="1" w:val="04A0"/>
      </w:tblPr>
      <w:tblGrid>
        <w:gridCol w:w="10454"/>
      </w:tblGrid>
      <w:tr>
        <w:trPr>
          <w:cantSplit/>
        </w:trPr>
        <w:tc>
          <w:tcPr>
            <w:tcW w:type="dxa" w:w="9576"/>
            <w:shd w:fill="EAF5F8"/>
            <w:tcMar>
              <w:top w:w="75" w:type="dxa"/>
              <w:start w:w="120" w:type="dxa"/>
              <w:bottom w:w="75" w:type="dxa"/>
              <w:end w:w="120" w:type="dxa"/>
            </w:tcMar>
          </w:tcPr>
          <w:p>
            <w:pPr>
              <w:spacing w:after="40"/>
            </w:pPr>
            <w:r/>
            <w:r>
              <w:rPr>
                <w:rFonts w:ascii="Aptos" w:hAnsi="Aptos"/>
                <w:b/>
                <w:color w:val="0B6E99"/>
                <w:sz w:val="18"/>
              </w:rPr>
              <w:t>Smart Deception</w:t>
            </w:r>
          </w:p>
          <w:p>
            <w:pPr>
              <w:spacing w:after="0"/>
            </w:pPr>
            <w:r>
              <w:rPr>
                <w:color w:val="17242E"/>
                <w:sz w:val="16"/>
              </w:rPr>
              <w:t>AI-generated contextual honeytokens; CRITICAL alert on tamper.</w:t>
            </w:r>
          </w:p>
        </w:tc>
      </w:tr>
    </w:tbl>
    <w:p>
      <w:pPr>
        <w:spacing w:after="0"/>
      </w:pPr>
    </w:p>
    <w:p>
      <w:pPr>
        <w:pStyle w:val="Heading2"/>
        <w:keepNext/>
      </w:pPr>
      <w:r>
        <w:t>Detection (7)</w:t>
      </w:r>
    </w:p>
    <w:tbl>
      <w:tblPr>
        <w:tblW w:type="auto" w:w="0"/>
        <w:jc w:val="center"/>
        <w:tblLayout w:type="fixed"/>
        <w:tblLook w:firstColumn="1" w:firstRow="1" w:lastColumn="0" w:lastRow="0" w:noHBand="0" w:noVBand="1" w:val="04A0"/>
      </w:tblPr>
      <w:tblGrid>
        <w:gridCol w:w="10454"/>
      </w:tblGrid>
      <w:tr>
        <w:trPr>
          <w:cantSplit/>
        </w:trPr>
        <w:tc>
          <w:tcPr>
            <w:tcW w:type="dxa" w:w="9576"/>
            <w:shd w:fill="EAF5F8"/>
            <w:tcMar>
              <w:top w:w="75" w:type="dxa"/>
              <w:start w:w="120" w:type="dxa"/>
              <w:bottom w:w="75" w:type="dxa"/>
              <w:end w:w="120" w:type="dxa"/>
            </w:tcMar>
          </w:tcPr>
          <w:p>
            <w:pPr>
              <w:spacing w:after="40"/>
            </w:pPr>
            <w:r/>
            <w:r>
              <w:rPr>
                <w:rFonts w:ascii="Aptos" w:hAnsi="Aptos"/>
                <w:b/>
                <w:color w:val="0B6E99"/>
                <w:sz w:val="18"/>
              </w:rPr>
              <w:t>C2 Beacon Detector</w:t>
            </w:r>
          </w:p>
          <w:p>
            <w:pPr>
              <w:spacing w:after="0"/>
            </w:pPr>
            <w:r>
              <w:rPr>
                <w:color w:val="17242E"/>
                <w:sz w:val="16"/>
              </w:rPr>
              <w:t>Flags regular-interval outbound callbacks (command-and-control beaconing, T1071/T1571) by timing per-process connections to a host.</w:t>
            </w:r>
          </w:p>
        </w:tc>
      </w:tr>
    </w:tbl>
    <w:p>
      <w:pPr>
        <w:spacing w:after="0"/>
      </w:pPr>
    </w:p>
    <w:tbl>
      <w:tblPr>
        <w:tblW w:type="auto" w:w="0"/>
        <w:jc w:val="center"/>
        <w:tblLayout w:type="fixed"/>
        <w:tblLook w:firstColumn="1" w:firstRow="1" w:lastColumn="0" w:lastRow="0" w:noHBand="0" w:noVBand="1" w:val="04A0"/>
      </w:tblPr>
      <w:tblGrid>
        <w:gridCol w:w="10454"/>
      </w:tblGrid>
      <w:tr>
        <w:trPr>
          <w:cantSplit/>
        </w:trPr>
        <w:tc>
          <w:tcPr>
            <w:tcW w:type="dxa" w:w="9576"/>
            <w:shd w:fill="EAF5F8"/>
            <w:tcMar>
              <w:top w:w="75" w:type="dxa"/>
              <w:start w:w="120" w:type="dxa"/>
              <w:bottom w:w="75" w:type="dxa"/>
              <w:end w:w="120" w:type="dxa"/>
            </w:tcMar>
          </w:tcPr>
          <w:p>
            <w:pPr>
              <w:spacing w:after="40"/>
            </w:pPr>
            <w:r/>
            <w:r>
              <w:rPr>
                <w:rFonts w:ascii="Aptos" w:hAnsi="Aptos"/>
                <w:b/>
                <w:color w:val="0B6E99"/>
                <w:sz w:val="18"/>
              </w:rPr>
              <w:t>Counter-Agentic Detection</w:t>
            </w:r>
          </w:p>
          <w:p>
            <w:pPr>
              <w:spacing w:after="0"/>
            </w:pPr>
            <w:r>
              <w:rPr>
                <w:color w:val="17242E"/>
                <w:sz w:val="16"/>
              </w:rPr>
              <w:t>Detects autonomous/agentic malware by its inference-cadence rhythm, discovery→action chains, and anomalous inference-port access. Detection-only; no active/offensive response.</w:t>
            </w:r>
          </w:p>
        </w:tc>
      </w:tr>
    </w:tbl>
    <w:p>
      <w:pPr>
        <w:spacing w:after="0"/>
      </w:pPr>
    </w:p>
    <w:tbl>
      <w:tblPr>
        <w:tblW w:type="auto" w:w="0"/>
        <w:jc w:val="center"/>
        <w:tblLayout w:type="fixed"/>
        <w:tblLook w:firstColumn="1" w:firstRow="1" w:lastColumn="0" w:lastRow="0" w:noHBand="0" w:noVBand="1" w:val="04A0"/>
      </w:tblPr>
      <w:tblGrid>
        <w:gridCol w:w="10454"/>
      </w:tblGrid>
      <w:tr>
        <w:trPr>
          <w:cantSplit/>
        </w:trPr>
        <w:tc>
          <w:tcPr>
            <w:tcW w:type="dxa" w:w="9576"/>
            <w:shd w:fill="EAF5F8"/>
            <w:tcMar>
              <w:top w:w="75" w:type="dxa"/>
              <w:start w:w="120" w:type="dxa"/>
              <w:bottom w:w="75" w:type="dxa"/>
              <w:end w:w="120" w:type="dxa"/>
            </w:tcMar>
          </w:tcPr>
          <w:p>
            <w:pPr>
              <w:spacing w:after="40"/>
            </w:pPr>
            <w:r/>
            <w:r>
              <w:rPr>
                <w:rFonts w:ascii="Aptos" w:hAnsi="Aptos"/>
                <w:b/>
                <w:color w:val="0B6E99"/>
                <w:sz w:val="18"/>
              </w:rPr>
              <w:t>Evidence Lattice Fusion</w:t>
            </w:r>
          </w:p>
          <w:p>
            <w:pPr>
              <w:spacing w:after="0"/>
            </w:pPr>
            <w:r>
              <w:rPr>
                <w:color w:val="17242E"/>
                <w:sz w:val="16"/>
              </w:rPr>
              <w:t>Fuses MEDIUM signals about the same PID, path/hash, or IP across three independent modules and two sensor domains; emits an explainable HIGH finding without polling, cloud access, or automatic response.</w:t>
            </w:r>
          </w:p>
        </w:tc>
      </w:tr>
    </w:tbl>
    <w:p>
      <w:pPr>
        <w:spacing w:after="0"/>
      </w:pPr>
    </w:p>
    <w:tbl>
      <w:tblPr>
        <w:tblW w:type="auto" w:w="0"/>
        <w:jc w:val="center"/>
        <w:tblLayout w:type="fixed"/>
        <w:tblLook w:firstColumn="1" w:firstRow="1" w:lastColumn="0" w:lastRow="0" w:noHBand="0" w:noVBand="1" w:val="04A0"/>
      </w:tblPr>
      <w:tblGrid>
        <w:gridCol w:w="10454"/>
      </w:tblGrid>
      <w:tr>
        <w:trPr>
          <w:cantSplit/>
        </w:trPr>
        <w:tc>
          <w:tcPr>
            <w:tcW w:type="dxa" w:w="9576"/>
            <w:shd w:fill="EAF5F8"/>
            <w:tcMar>
              <w:top w:w="75" w:type="dxa"/>
              <w:start w:w="120" w:type="dxa"/>
              <w:bottom w:w="75" w:type="dxa"/>
              <w:end w:w="120" w:type="dxa"/>
            </w:tcMar>
          </w:tcPr>
          <w:p>
            <w:pPr>
              <w:spacing w:after="40"/>
            </w:pPr>
            <w:r/>
            <w:r>
              <w:rPr>
                <w:rFonts w:ascii="Aptos" w:hAnsi="Aptos"/>
                <w:b/>
                <w:color w:val="0B6E99"/>
                <w:sz w:val="18"/>
              </w:rPr>
              <w:t>LSASS Credential-Access Guard</w:t>
            </w:r>
          </w:p>
          <w:p>
            <w:pPr>
              <w:spacing w:after="0"/>
            </w:pPr>
            <w:r>
              <w:rPr>
                <w:color w:val="17242E"/>
                <w:sz w:val="16"/>
              </w:rPr>
              <w:t>Detects LSASS credential-dumping (Mimikatz/procdump/comsvcs MiniDump, T1003.001) by process command line + artifact signatures. Read-only.</w:t>
            </w:r>
          </w:p>
        </w:tc>
      </w:tr>
    </w:tbl>
    <w:p>
      <w:pPr>
        <w:spacing w:after="0"/>
      </w:pPr>
    </w:p>
    <w:tbl>
      <w:tblPr>
        <w:tblW w:type="auto" w:w="0"/>
        <w:jc w:val="center"/>
        <w:tblLayout w:type="fixed"/>
        <w:tblLook w:firstColumn="1" w:firstRow="1" w:lastColumn="0" w:lastRow="0" w:noHBand="0" w:noVBand="1" w:val="04A0"/>
      </w:tblPr>
      <w:tblGrid>
        <w:gridCol w:w="10454"/>
      </w:tblGrid>
      <w:tr>
        <w:trPr>
          <w:cantSplit/>
        </w:trPr>
        <w:tc>
          <w:tcPr>
            <w:tcW w:type="dxa" w:w="9576"/>
            <w:shd w:fill="EAF5F8"/>
            <w:tcMar>
              <w:top w:w="75" w:type="dxa"/>
              <w:start w:w="120" w:type="dxa"/>
              <w:bottom w:w="75" w:type="dxa"/>
              <w:end w:w="120" w:type="dxa"/>
            </w:tcMar>
          </w:tcPr>
          <w:p>
            <w:pPr>
              <w:spacing w:after="40"/>
            </w:pPr>
            <w:r/>
            <w:r>
              <w:rPr>
                <w:rFonts w:ascii="Aptos" w:hAnsi="Aptos"/>
                <w:b/>
                <w:color w:val="0B6E99"/>
                <w:sz w:val="18"/>
              </w:rPr>
              <w:t>Purple Remediation Guard</w:t>
            </w:r>
          </w:p>
          <w:p>
            <w:pPr>
              <w:spacing w:after="0"/>
            </w:pPr>
            <w:r>
              <w:rPr>
                <w:color w:val="17242E"/>
                <w:sz w:val="16"/>
              </w:rPr>
              <w:t>Turns reviewed red-team misses into exact, rerun-verifiable detector signatures.</w:t>
            </w:r>
          </w:p>
        </w:tc>
      </w:tr>
    </w:tbl>
    <w:p>
      <w:pPr>
        <w:spacing w:after="0"/>
      </w:pPr>
    </w:p>
    <w:tbl>
      <w:tblPr>
        <w:tblW w:type="auto" w:w="0"/>
        <w:jc w:val="center"/>
        <w:tblLayout w:type="fixed"/>
        <w:tblLook w:firstColumn="1" w:firstRow="1" w:lastColumn="0" w:lastRow="0" w:noHBand="0" w:noVBand="1" w:val="04A0"/>
      </w:tblPr>
      <w:tblGrid>
        <w:gridCol w:w="10454"/>
      </w:tblGrid>
      <w:tr>
        <w:trPr>
          <w:cantSplit/>
        </w:trPr>
        <w:tc>
          <w:tcPr>
            <w:tcW w:type="dxa" w:w="9576"/>
            <w:shd w:fill="EAF5F8"/>
            <w:tcMar>
              <w:top w:w="75" w:type="dxa"/>
              <w:start w:w="120" w:type="dxa"/>
              <w:bottom w:w="75" w:type="dxa"/>
              <w:end w:w="120" w:type="dxa"/>
            </w:tcMar>
          </w:tcPr>
          <w:p>
            <w:pPr>
              <w:spacing w:after="40"/>
            </w:pPr>
            <w:r/>
            <w:r>
              <w:rPr>
                <w:rFonts w:ascii="Aptos" w:hAnsi="Aptos"/>
                <w:b/>
                <w:color w:val="0B6E99"/>
                <w:sz w:val="18"/>
              </w:rPr>
              <w:t>Removable-Media / USB Monitor</w:t>
            </w:r>
          </w:p>
          <w:p>
            <w:pPr>
              <w:spacing w:after="0"/>
            </w:pPr>
            <w:r>
              <w:rPr>
                <w:color w:val="17242E"/>
                <w:sz w:val="16"/>
              </w:rPr>
              <w:t>Alerts on removable media, keeps it untrusted until a protected-store PIN approves Angerona scanning, and disables Windows AutoRun/AutoPlay.</w:t>
            </w:r>
          </w:p>
        </w:tc>
      </w:tr>
    </w:tbl>
    <w:p>
      <w:pPr>
        <w:spacing w:after="0"/>
      </w:pPr>
    </w:p>
    <w:tbl>
      <w:tblPr>
        <w:tblW w:type="auto" w:w="0"/>
        <w:jc w:val="center"/>
        <w:tblLayout w:type="fixed"/>
        <w:tblLook w:firstColumn="1" w:firstRow="1" w:lastColumn="0" w:lastRow="0" w:noHBand="0" w:noVBand="1" w:val="04A0"/>
      </w:tblPr>
      <w:tblGrid>
        <w:gridCol w:w="10454"/>
      </w:tblGrid>
      <w:tr>
        <w:trPr>
          <w:cantSplit/>
        </w:trPr>
        <w:tc>
          <w:tcPr>
            <w:tcW w:type="dxa" w:w="9576"/>
            <w:shd w:fill="EAF5F8"/>
            <w:tcMar>
              <w:top w:w="75" w:type="dxa"/>
              <w:start w:w="120" w:type="dxa"/>
              <w:bottom w:w="75" w:type="dxa"/>
              <w:end w:w="120" w:type="dxa"/>
            </w:tcMar>
          </w:tcPr>
          <w:p>
            <w:pPr>
              <w:spacing w:after="40"/>
            </w:pPr>
            <w:r/>
            <w:r>
              <w:rPr>
                <w:rFonts w:ascii="Aptos" w:hAnsi="Aptos"/>
                <w:b/>
                <w:color w:val="0B6E99"/>
                <w:sz w:val="18"/>
              </w:rPr>
              <w:t>Shadow-Copy / Recovery Tamper Guard</w:t>
            </w:r>
          </w:p>
          <w:p>
            <w:pPr>
              <w:spacing w:after="0"/>
            </w:pPr>
            <w:r>
              <w:rPr>
                <w:color w:val="17242E"/>
                <w:sz w:val="16"/>
              </w:rPr>
              <w:t>Detects shadow-copy deletion + recovery disabling (vssadmin/wmic/wbadmin/bcdedit, T1490) — a ransomware precursor — and alerts with the pid.</w:t>
            </w:r>
          </w:p>
        </w:tc>
      </w:tr>
    </w:tbl>
    <w:p>
      <w:pPr>
        <w:spacing w:after="0"/>
      </w:pPr>
    </w:p>
    <w:p>
      <w:pPr>
        <w:pStyle w:val="Heading2"/>
        <w:keepNext/>
      </w:pPr>
      <w:r>
        <w:t>Endpoint (6)</w:t>
      </w:r>
    </w:p>
    <w:tbl>
      <w:tblPr>
        <w:tblW w:type="auto" w:w="0"/>
        <w:jc w:val="center"/>
        <w:tblLayout w:type="fixed"/>
        <w:tblLook w:firstColumn="1" w:firstRow="1" w:lastColumn="0" w:lastRow="0" w:noHBand="0" w:noVBand="1" w:val="04A0"/>
      </w:tblPr>
      <w:tblGrid>
        <w:gridCol w:w="10454"/>
      </w:tblGrid>
      <w:tr>
        <w:trPr>
          <w:cantSplit/>
        </w:trPr>
        <w:tc>
          <w:tcPr>
            <w:tcW w:type="dxa" w:w="9576"/>
            <w:shd w:fill="EAF5F8"/>
            <w:tcMar>
              <w:top w:w="75" w:type="dxa"/>
              <w:start w:w="120" w:type="dxa"/>
              <w:bottom w:w="75" w:type="dxa"/>
              <w:end w:w="120" w:type="dxa"/>
            </w:tcMar>
          </w:tcPr>
          <w:p>
            <w:pPr>
              <w:spacing w:after="40"/>
            </w:pPr>
            <w:r/>
            <w:r>
              <w:rPr>
                <w:rFonts w:ascii="Aptos" w:hAnsi="Aptos"/>
                <w:b/>
                <w:color w:val="0B6E99"/>
                <w:sz w:val="18"/>
              </w:rPr>
              <w:t>AMSI Bridge</w:t>
            </w:r>
          </w:p>
          <w:p>
            <w:pPr>
              <w:spacing w:after="0"/>
            </w:pPr>
            <w:r>
              <w:rPr>
                <w:color w:val="17242E"/>
                <w:sz w:val="16"/>
              </w:rPr>
              <w:t>AMSI scanning consumer — pushes PowerShell/script content from bus events through AmsiScanBuffer to detect malicious scripts at execution time.  Does NOT patch AmsiScanBuffer (no offensive bypass).</w:t>
            </w:r>
          </w:p>
        </w:tc>
      </w:tr>
    </w:tbl>
    <w:p>
      <w:pPr>
        <w:spacing w:after="0"/>
      </w:pPr>
    </w:p>
    <w:tbl>
      <w:tblPr>
        <w:tblW w:type="auto" w:w="0"/>
        <w:jc w:val="center"/>
        <w:tblLayout w:type="fixed"/>
        <w:tblLook w:firstColumn="1" w:firstRow="1" w:lastColumn="0" w:lastRow="0" w:noHBand="0" w:noVBand="1" w:val="04A0"/>
      </w:tblPr>
      <w:tblGrid>
        <w:gridCol w:w="10454"/>
      </w:tblGrid>
      <w:tr>
        <w:trPr>
          <w:cantSplit/>
        </w:trPr>
        <w:tc>
          <w:tcPr>
            <w:tcW w:type="dxa" w:w="9576"/>
            <w:shd w:fill="EAF5F8"/>
            <w:tcMar>
              <w:top w:w="75" w:type="dxa"/>
              <w:start w:w="120" w:type="dxa"/>
              <w:bottom w:w="75" w:type="dxa"/>
              <w:end w:w="120" w:type="dxa"/>
            </w:tcMar>
          </w:tcPr>
          <w:p>
            <w:pPr>
              <w:spacing w:after="40"/>
            </w:pPr>
            <w:r/>
            <w:r>
              <w:rPr>
                <w:rFonts w:ascii="Aptos" w:hAnsi="Aptos"/>
                <w:b/>
                <w:color w:val="0B6E99"/>
                <w:sz w:val="18"/>
              </w:rPr>
              <w:t>AV Telemetry Bridge</w:t>
            </w:r>
          </w:p>
          <w:p>
            <w:pPr>
              <w:spacing w:after="0"/>
            </w:pPr>
            <w:r>
              <w:rPr>
                <w:color w:val="17242E"/>
                <w:sz w:val="16"/>
              </w:rPr>
              <w:t>Bridges Windows Defender detection events (EID 1116/1117/5001) into the Angerona bus for cross-sensor correlation.</w:t>
            </w:r>
          </w:p>
        </w:tc>
      </w:tr>
    </w:tbl>
    <w:p>
      <w:pPr>
        <w:spacing w:after="0"/>
      </w:pPr>
    </w:p>
    <w:tbl>
      <w:tblPr>
        <w:tblW w:type="auto" w:w="0"/>
        <w:jc w:val="center"/>
        <w:tblLayout w:type="fixed"/>
        <w:tblLook w:firstColumn="1" w:firstRow="1" w:lastColumn="0" w:lastRow="0" w:noHBand="0" w:noVBand="1" w:val="04A0"/>
      </w:tblPr>
      <w:tblGrid>
        <w:gridCol w:w="10454"/>
      </w:tblGrid>
      <w:tr>
        <w:trPr>
          <w:cantSplit/>
        </w:trPr>
        <w:tc>
          <w:tcPr>
            <w:tcW w:type="dxa" w:w="9576"/>
            <w:shd w:fill="EAF5F8"/>
            <w:tcMar>
              <w:top w:w="75" w:type="dxa"/>
              <w:start w:w="120" w:type="dxa"/>
              <w:bottom w:w="75" w:type="dxa"/>
              <w:end w:w="120" w:type="dxa"/>
            </w:tcMar>
          </w:tcPr>
          <w:p>
            <w:pPr>
              <w:spacing w:after="40"/>
            </w:pPr>
            <w:r/>
            <w:r>
              <w:rPr>
                <w:rFonts w:ascii="Aptos" w:hAnsi="Aptos"/>
                <w:b/>
                <w:color w:val="0B6E99"/>
                <w:sz w:val="18"/>
              </w:rPr>
              <w:t>Kernel Sensor Bridge</w:t>
            </w:r>
          </w:p>
          <w:p>
            <w:pPr>
              <w:spacing w:after="0"/>
            </w:pPr>
            <w:r>
              <w:rPr>
                <w:color w:val="17242E"/>
                <w:sz w:val="16"/>
              </w:rPr>
              <w:t>Reads process-creation and image-load events from the AngeronaSensor.sys kernel driver ring buffer via DeviceIoControl.  Provides tamper-resistant telemetry that cannot be suppressed from user space.</w:t>
            </w:r>
          </w:p>
        </w:tc>
      </w:tr>
    </w:tbl>
    <w:p>
      <w:pPr>
        <w:spacing w:after="0"/>
      </w:pPr>
    </w:p>
    <w:tbl>
      <w:tblPr>
        <w:tblW w:type="auto" w:w="0"/>
        <w:jc w:val="center"/>
        <w:tblLayout w:type="fixed"/>
        <w:tblLook w:firstColumn="1" w:firstRow="1" w:lastColumn="0" w:lastRow="0" w:noHBand="0" w:noVBand="1" w:val="04A0"/>
      </w:tblPr>
      <w:tblGrid>
        <w:gridCol w:w="10454"/>
      </w:tblGrid>
      <w:tr>
        <w:trPr>
          <w:cantSplit/>
        </w:trPr>
        <w:tc>
          <w:tcPr>
            <w:tcW w:type="dxa" w:w="9576"/>
            <w:shd w:fill="EAF5F8"/>
            <w:tcMar>
              <w:top w:w="75" w:type="dxa"/>
              <w:start w:w="120" w:type="dxa"/>
              <w:bottom w:w="75" w:type="dxa"/>
              <w:end w:w="120" w:type="dxa"/>
            </w:tcMar>
          </w:tcPr>
          <w:p>
            <w:pPr>
              <w:spacing w:after="40"/>
            </w:pPr>
            <w:r/>
            <w:r>
              <w:rPr>
                <w:rFonts w:ascii="Aptos" w:hAnsi="Aptos"/>
                <w:b/>
                <w:color w:val="0B6E99"/>
                <w:sz w:val="18"/>
              </w:rPr>
              <w:t>Linux Observe Sensor</w:t>
            </w:r>
          </w:p>
          <w:p>
            <w:pPr>
              <w:spacing w:after="0"/>
            </w:pPr>
            <w:r>
              <w:rPr>
                <w:color w:val="17242E"/>
                <w:sz w:val="16"/>
              </w:rPr>
              <w:t>Rootless, privacy-minimized process, established-flow, and kernel posture observation; optional eBPF adds privileged kernel telemetry separately.</w:t>
            </w:r>
          </w:p>
        </w:tc>
      </w:tr>
    </w:tbl>
    <w:p>
      <w:pPr>
        <w:spacing w:after="0"/>
      </w:pPr>
    </w:p>
    <w:tbl>
      <w:tblPr>
        <w:tblW w:type="auto" w:w="0"/>
        <w:jc w:val="center"/>
        <w:tblLayout w:type="fixed"/>
        <w:tblLook w:firstColumn="1" w:firstRow="1" w:lastColumn="0" w:lastRow="0" w:noHBand="0" w:noVBand="1" w:val="04A0"/>
      </w:tblPr>
      <w:tblGrid>
        <w:gridCol w:w="10454"/>
      </w:tblGrid>
      <w:tr>
        <w:trPr>
          <w:cantSplit/>
        </w:trPr>
        <w:tc>
          <w:tcPr>
            <w:tcW w:type="dxa" w:w="9576"/>
            <w:shd w:fill="EAF5F8"/>
            <w:tcMar>
              <w:top w:w="75" w:type="dxa"/>
              <w:start w:w="120" w:type="dxa"/>
              <w:bottom w:w="75" w:type="dxa"/>
              <w:end w:w="120" w:type="dxa"/>
            </w:tcMar>
          </w:tcPr>
          <w:p>
            <w:pPr>
              <w:spacing w:after="40"/>
            </w:pPr>
            <w:r/>
            <w:r>
              <w:rPr>
                <w:rFonts w:ascii="Aptos" w:hAnsi="Aptos"/>
                <w:b/>
                <w:color w:val="0B6E99"/>
                <w:sz w:val="18"/>
              </w:rPr>
              <w:t>macOS Observe Sensor</w:t>
            </w:r>
          </w:p>
          <w:p>
            <w:pPr>
              <w:spacing w:after="0"/>
            </w:pPr>
            <w:r>
              <w:rPr>
                <w:color w:val="17242E"/>
                <w:sz w:val="16"/>
              </w:rPr>
              <w:t>Privacy-minimized process and network observation for the macOS sensor preview; native Endpoint Security enforcement is reported separately.</w:t>
            </w:r>
          </w:p>
        </w:tc>
      </w:tr>
    </w:tbl>
    <w:p>
      <w:pPr>
        <w:spacing w:after="0"/>
      </w:pPr>
    </w:p>
    <w:tbl>
      <w:tblPr>
        <w:tblW w:type="auto" w:w="0"/>
        <w:jc w:val="center"/>
        <w:tblLayout w:type="fixed"/>
        <w:tblLook w:firstColumn="1" w:firstRow="1" w:lastColumn="0" w:lastRow="0" w:noHBand="0" w:noVBand="1" w:val="04A0"/>
      </w:tblPr>
      <w:tblGrid>
        <w:gridCol w:w="10454"/>
      </w:tblGrid>
      <w:tr>
        <w:trPr>
          <w:cantSplit/>
        </w:trPr>
        <w:tc>
          <w:tcPr>
            <w:tcW w:type="dxa" w:w="9576"/>
            <w:shd w:fill="EAF5F8"/>
            <w:tcMar>
              <w:top w:w="75" w:type="dxa"/>
              <w:start w:w="120" w:type="dxa"/>
              <w:bottom w:w="75" w:type="dxa"/>
              <w:end w:w="120" w:type="dxa"/>
            </w:tcMar>
          </w:tcPr>
          <w:p>
            <w:pPr>
              <w:spacing w:after="40"/>
            </w:pPr>
            <w:r/>
            <w:r>
              <w:rPr>
                <w:rFonts w:ascii="Aptos" w:hAnsi="Aptos"/>
                <w:b/>
                <w:color w:val="0B6E99"/>
                <w:sz w:val="18"/>
              </w:rPr>
              <w:t>Sysmon Event Bridge</w:t>
            </w:r>
          </w:p>
          <w:p>
            <w:pPr>
              <w:spacing w:after="0"/>
            </w:pPr>
            <w:r>
              <w:rPr>
                <w:color w:val="17242E"/>
                <w:sz w:val="16"/>
              </w:rPr>
              <w:t>Reads Microsoft-Windows-Sysmon/Operational events (EID 1/3/6/8/10/25) and emits them onto the Angerona bus. Falls back to psutil process-diff when Sysmon or win32evtlog is unavailable.</w:t>
            </w:r>
          </w:p>
        </w:tc>
      </w:tr>
    </w:tbl>
    <w:p>
      <w:pPr>
        <w:spacing w:after="0"/>
      </w:pPr>
    </w:p>
    <w:p>
      <w:pPr>
        <w:pStyle w:val="Heading2"/>
        <w:keepNext/>
      </w:pPr>
      <w:r>
        <w:t>Forensics (2)</w:t>
      </w:r>
    </w:p>
    <w:tbl>
      <w:tblPr>
        <w:tblW w:type="auto" w:w="0"/>
        <w:jc w:val="center"/>
        <w:tblLayout w:type="fixed"/>
        <w:tblLook w:firstColumn="1" w:firstRow="1" w:lastColumn="0" w:lastRow="0" w:noHBand="0" w:noVBand="1" w:val="04A0"/>
      </w:tblPr>
      <w:tblGrid>
        <w:gridCol w:w="10454"/>
      </w:tblGrid>
      <w:tr>
        <w:trPr>
          <w:cantSplit/>
        </w:trPr>
        <w:tc>
          <w:tcPr>
            <w:tcW w:type="dxa" w:w="9576"/>
            <w:shd w:fill="EAF5F8"/>
            <w:tcMar>
              <w:top w:w="75" w:type="dxa"/>
              <w:start w:w="120" w:type="dxa"/>
              <w:bottom w:w="75" w:type="dxa"/>
              <w:end w:w="120" w:type="dxa"/>
            </w:tcMar>
          </w:tcPr>
          <w:p>
            <w:pPr>
              <w:spacing w:after="40"/>
            </w:pPr>
            <w:r/>
            <w:r>
              <w:rPr>
                <w:rFonts w:ascii="Aptos" w:hAnsi="Aptos"/>
                <w:b/>
                <w:color w:val="0B6E99"/>
                <w:sz w:val="18"/>
              </w:rPr>
              <w:t>Data Provenance Graph</w:t>
            </w:r>
          </w:p>
          <w:p>
            <w:pPr>
              <w:spacing w:after="0"/>
            </w:pPr>
            <w:r>
              <w:rPr>
                <w:color w:val="17242E"/>
                <w:sz w:val="16"/>
              </w:rPr>
              <w:t>Builds a PROC/FIM/NET provenance DAG from the flight recorder + live events; exposes ancestry()/subtree() for blast-radius views.</w:t>
            </w:r>
          </w:p>
        </w:tc>
      </w:tr>
    </w:tbl>
    <w:p>
      <w:pPr>
        <w:spacing w:after="0"/>
      </w:pPr>
    </w:p>
    <w:tbl>
      <w:tblPr>
        <w:tblW w:type="auto" w:w="0"/>
        <w:jc w:val="center"/>
        <w:tblLayout w:type="fixed"/>
        <w:tblLook w:firstColumn="1" w:firstRow="1" w:lastColumn="0" w:lastRow="0" w:noHBand="0" w:noVBand="1" w:val="04A0"/>
      </w:tblPr>
      <w:tblGrid>
        <w:gridCol w:w="10454"/>
      </w:tblGrid>
      <w:tr>
        <w:trPr>
          <w:cantSplit/>
        </w:trPr>
        <w:tc>
          <w:tcPr>
            <w:tcW w:type="dxa" w:w="9576"/>
            <w:shd w:fill="EAF5F8"/>
            <w:tcMar>
              <w:top w:w="75" w:type="dxa"/>
              <w:start w:w="120" w:type="dxa"/>
              <w:bottom w:w="75" w:type="dxa"/>
              <w:end w:w="120" w:type="dxa"/>
            </w:tcMar>
          </w:tcPr>
          <w:p>
            <w:pPr>
              <w:spacing w:after="40"/>
            </w:pPr>
            <w:r/>
            <w:r>
              <w:rPr>
                <w:rFonts w:ascii="Aptos" w:hAnsi="Aptos"/>
                <w:b/>
                <w:color w:val="0B6E99"/>
                <w:sz w:val="18"/>
              </w:rPr>
              <w:t>Forensics Capture</w:t>
            </w:r>
          </w:p>
          <w:p>
            <w:pPr>
              <w:spacing w:after="0"/>
            </w:pPr>
            <w:r>
              <w:rPr>
                <w:color w:val="17242E"/>
                <w:sz w:val="16"/>
              </w:rPr>
              <w:t>On serious events, captures memory strings, sockets, and shell history for the suspect PID.</w:t>
            </w:r>
          </w:p>
        </w:tc>
      </w:tr>
    </w:tbl>
    <w:p>
      <w:pPr>
        <w:spacing w:after="0"/>
      </w:pPr>
    </w:p>
    <w:p>
      <w:pPr>
        <w:pStyle w:val="Heading2"/>
        <w:keepNext/>
      </w:pPr>
      <w:r>
        <w:t>Integration (1)</w:t>
      </w:r>
    </w:p>
    <w:tbl>
      <w:tblPr>
        <w:tblW w:type="auto" w:w="0"/>
        <w:jc w:val="center"/>
        <w:tblLayout w:type="fixed"/>
        <w:tblLook w:firstColumn="1" w:firstRow="1" w:lastColumn="0" w:lastRow="0" w:noHBand="0" w:noVBand="1" w:val="04A0"/>
      </w:tblPr>
      <w:tblGrid>
        <w:gridCol w:w="10454"/>
      </w:tblGrid>
      <w:tr>
        <w:trPr>
          <w:cantSplit/>
        </w:trPr>
        <w:tc>
          <w:tcPr>
            <w:tcW w:type="dxa" w:w="9576"/>
            <w:shd w:fill="EAF5F8"/>
            <w:tcMar>
              <w:top w:w="75" w:type="dxa"/>
              <w:start w:w="120" w:type="dxa"/>
              <w:bottom w:w="75" w:type="dxa"/>
              <w:end w:w="120" w:type="dxa"/>
            </w:tcMar>
          </w:tcPr>
          <w:p>
            <w:pPr>
              <w:spacing w:after="40"/>
            </w:pPr>
            <w:r/>
            <w:r>
              <w:rPr>
                <w:rFonts w:ascii="Aptos" w:hAnsi="Aptos"/>
                <w:b/>
                <w:color w:val="0B6E99"/>
                <w:sz w:val="18"/>
              </w:rPr>
              <w:t>SIEM Forwarder</w:t>
            </w:r>
          </w:p>
          <w:p>
            <w:pPr>
              <w:spacing w:after="0"/>
            </w:pPr>
            <w:r>
              <w:rPr>
                <w:color w:val="17242E"/>
                <w:sz w:val="16"/>
              </w:rPr>
              <w:t>Forwards detections to a central SIEM as CEF over Syslog (UDP/TCP). Opt-in: idle until ANGERONA_SIEM_HOST is set.</w:t>
            </w:r>
          </w:p>
        </w:tc>
      </w:tr>
    </w:tbl>
    <w:p>
      <w:pPr>
        <w:spacing w:after="0"/>
      </w:pPr>
    </w:p>
    <w:p>
      <w:pPr>
        <w:pStyle w:val="Heading2"/>
        <w:keepNext/>
      </w:pPr>
      <w:r>
        <w:t>Integrity (7)</w:t>
      </w:r>
    </w:p>
    <w:tbl>
      <w:tblPr>
        <w:tblW w:type="auto" w:w="0"/>
        <w:jc w:val="center"/>
        <w:tblLayout w:type="fixed"/>
        <w:tblLook w:firstColumn="1" w:firstRow="1" w:lastColumn="0" w:lastRow="0" w:noHBand="0" w:noVBand="1" w:val="04A0"/>
      </w:tblPr>
      <w:tblGrid>
        <w:gridCol w:w="10454"/>
      </w:tblGrid>
      <w:tr>
        <w:trPr>
          <w:cantSplit/>
        </w:trPr>
        <w:tc>
          <w:tcPr>
            <w:tcW w:type="dxa" w:w="9576"/>
            <w:shd w:fill="EAF5F8"/>
            <w:tcMar>
              <w:top w:w="75" w:type="dxa"/>
              <w:start w:w="120" w:type="dxa"/>
              <w:bottom w:w="75" w:type="dxa"/>
              <w:end w:w="120" w:type="dxa"/>
            </w:tcMar>
          </w:tcPr>
          <w:p>
            <w:pPr>
              <w:spacing w:after="40"/>
            </w:pPr>
            <w:r/>
            <w:r>
              <w:rPr>
                <w:rFonts w:ascii="Aptos" w:hAnsi="Aptos"/>
                <w:b/>
                <w:color w:val="0B6E99"/>
                <w:sz w:val="18"/>
              </w:rPr>
              <w:t>API Patch / Anti-Blinding Detector</w:t>
            </w:r>
          </w:p>
          <w:p>
            <w:pPr>
              <w:spacing w:after="0"/>
            </w:pPr>
            <w:r>
              <w:rPr>
                <w:color w:val="17242E"/>
                <w:sz w:val="16"/>
              </w:rPr>
              <w:t>Reads pristine ntdll/kernel32 from disk and compares export prologues against live memory to catch inline sensor hooks.</w:t>
            </w:r>
          </w:p>
        </w:tc>
      </w:tr>
    </w:tbl>
    <w:p>
      <w:pPr>
        <w:spacing w:after="0"/>
      </w:pPr>
    </w:p>
    <w:tbl>
      <w:tblPr>
        <w:tblW w:type="auto" w:w="0"/>
        <w:jc w:val="center"/>
        <w:tblLayout w:type="fixed"/>
        <w:tblLook w:firstColumn="1" w:firstRow="1" w:lastColumn="0" w:lastRow="0" w:noHBand="0" w:noVBand="1" w:val="04A0"/>
      </w:tblPr>
      <w:tblGrid>
        <w:gridCol w:w="10454"/>
      </w:tblGrid>
      <w:tr>
        <w:trPr>
          <w:cantSplit/>
        </w:trPr>
        <w:tc>
          <w:tcPr>
            <w:tcW w:type="dxa" w:w="9576"/>
            <w:shd w:fill="EAF5F8"/>
            <w:tcMar>
              <w:top w:w="75" w:type="dxa"/>
              <w:start w:w="120" w:type="dxa"/>
              <w:bottom w:w="75" w:type="dxa"/>
              <w:end w:w="120" w:type="dxa"/>
            </w:tcMar>
          </w:tcPr>
          <w:p>
            <w:pPr>
              <w:spacing w:after="40"/>
            </w:pPr>
            <w:r/>
            <w:r>
              <w:rPr>
                <w:rFonts w:ascii="Aptos" w:hAnsi="Aptos"/>
                <w:b/>
                <w:color w:val="0B6E99"/>
                <w:sz w:val="18"/>
              </w:rPr>
              <w:t>File Integrity Monitor</w:t>
            </w:r>
          </w:p>
          <w:p>
            <w:pPr>
              <w:spacing w:after="0"/>
            </w:pPr>
            <w:r>
              <w:rPr>
                <w:color w:val="17242E"/>
                <w:sz w:val="16"/>
              </w:rPr>
              <w:t>Detects unauthorized creation, modification, or deletion of watched files.</w:t>
            </w:r>
          </w:p>
        </w:tc>
      </w:tr>
    </w:tbl>
    <w:p>
      <w:pPr>
        <w:spacing w:after="0"/>
      </w:pPr>
    </w:p>
    <w:tbl>
      <w:tblPr>
        <w:tblW w:type="auto" w:w="0"/>
        <w:jc w:val="center"/>
        <w:tblLayout w:type="fixed"/>
        <w:tblLook w:firstColumn="1" w:firstRow="1" w:lastColumn="0" w:lastRow="0" w:noHBand="0" w:noVBand="1" w:val="04A0"/>
      </w:tblPr>
      <w:tblGrid>
        <w:gridCol w:w="10454"/>
      </w:tblGrid>
      <w:tr>
        <w:trPr>
          <w:cantSplit/>
        </w:trPr>
        <w:tc>
          <w:tcPr>
            <w:tcW w:type="dxa" w:w="9576"/>
            <w:shd w:fill="EAF5F8"/>
            <w:tcMar>
              <w:top w:w="75" w:type="dxa"/>
              <w:start w:w="120" w:type="dxa"/>
              <w:bottom w:w="75" w:type="dxa"/>
              <w:end w:w="120" w:type="dxa"/>
            </w:tcMar>
          </w:tcPr>
          <w:p>
            <w:pPr>
              <w:spacing w:after="40"/>
            </w:pPr>
            <w:r/>
            <w:r>
              <w:rPr>
                <w:rFonts w:ascii="Aptos" w:hAnsi="Aptos"/>
                <w:b/>
                <w:color w:val="0B6E99"/>
                <w:sz w:val="18"/>
              </w:rPr>
              <w:t>Hardware-Rooted Integrity</w:t>
            </w:r>
          </w:p>
          <w:p>
            <w:pPr>
              <w:spacing w:after="0"/>
            </w:pPr>
            <w:r>
              <w:rPr>
                <w:color w:val="17242E"/>
                <w:sz w:val="16"/>
              </w:rPr>
              <w:t>DPAPI-wraps the IPC secret so only this user/host can unwrap it; outlines TPM 2.0 sealing of the flight-recorder DB key.</w:t>
            </w:r>
          </w:p>
        </w:tc>
      </w:tr>
    </w:tbl>
    <w:p>
      <w:pPr>
        <w:spacing w:after="0"/>
      </w:pPr>
    </w:p>
    <w:tbl>
      <w:tblPr>
        <w:tblW w:type="auto" w:w="0"/>
        <w:jc w:val="center"/>
        <w:tblLayout w:type="fixed"/>
        <w:tblLook w:firstColumn="1" w:firstRow="1" w:lastColumn="0" w:lastRow="0" w:noHBand="0" w:noVBand="1" w:val="04A0"/>
      </w:tblPr>
      <w:tblGrid>
        <w:gridCol w:w="10454"/>
      </w:tblGrid>
      <w:tr>
        <w:trPr>
          <w:cantSplit/>
        </w:trPr>
        <w:tc>
          <w:tcPr>
            <w:tcW w:type="dxa" w:w="9576"/>
            <w:shd w:fill="EAF5F8"/>
            <w:tcMar>
              <w:top w:w="75" w:type="dxa"/>
              <w:start w:w="120" w:type="dxa"/>
              <w:bottom w:w="75" w:type="dxa"/>
              <w:end w:w="120" w:type="dxa"/>
            </w:tcMar>
          </w:tcPr>
          <w:p>
            <w:pPr>
              <w:spacing w:after="40"/>
            </w:pPr>
            <w:r/>
            <w:r>
              <w:rPr>
                <w:rFonts w:ascii="Aptos" w:hAnsi="Aptos"/>
                <w:b/>
                <w:color w:val="0B6E99"/>
                <w:sz w:val="18"/>
              </w:rPr>
              <w:t>Kernel-Boundary Posture Ledger</w:t>
            </w:r>
          </w:p>
          <w:p>
            <w:pPr>
              <w:spacing w:after="0"/>
            </w:pPr>
            <w:r>
              <w:rPr>
                <w:color w:val="17242E"/>
                <w:sz w:val="16"/>
              </w:rPr>
              <w:t>Read-only evidence for Secure Boot, VBS/HVCI, boot integrity flags, Code Integrity telemetry, and kernel-driver-service drift.</w:t>
            </w:r>
          </w:p>
        </w:tc>
      </w:tr>
    </w:tbl>
    <w:p>
      <w:pPr>
        <w:spacing w:after="0"/>
      </w:pPr>
    </w:p>
    <w:tbl>
      <w:tblPr>
        <w:tblW w:type="auto" w:w="0"/>
        <w:jc w:val="center"/>
        <w:tblLayout w:type="fixed"/>
        <w:tblLook w:firstColumn="1" w:firstRow="1" w:lastColumn="0" w:lastRow="0" w:noHBand="0" w:noVBand="1" w:val="04A0"/>
      </w:tblPr>
      <w:tblGrid>
        <w:gridCol w:w="10454"/>
      </w:tblGrid>
      <w:tr>
        <w:trPr>
          <w:cantSplit/>
        </w:trPr>
        <w:tc>
          <w:tcPr>
            <w:tcW w:type="dxa" w:w="9576"/>
            <w:shd w:fill="EAF5F8"/>
            <w:tcMar>
              <w:top w:w="75" w:type="dxa"/>
              <w:start w:w="120" w:type="dxa"/>
              <w:bottom w:w="75" w:type="dxa"/>
              <w:end w:w="120" w:type="dxa"/>
            </w:tcMar>
          </w:tcPr>
          <w:p>
            <w:pPr>
              <w:spacing w:after="40"/>
            </w:pPr>
            <w:r/>
            <w:r>
              <w:rPr>
                <w:rFonts w:ascii="Aptos" w:hAnsi="Aptos"/>
                <w:b/>
                <w:color w:val="0B6E99"/>
                <w:sz w:val="18"/>
              </w:rPr>
              <w:t>Remote Bridge</w:t>
            </w:r>
          </w:p>
          <w:p>
            <w:pPr>
              <w:spacing w:after="0"/>
            </w:pPr>
            <w:r>
              <w:rPr>
                <w:color w:val="17242E"/>
                <w:sz w:val="16"/>
              </w:rPr>
              <w:t>Secure multi-node telemetry forwarding (SENDER/RECEIVER) with mutual authentication and AES-256-GCM encryption. Off by default.</w:t>
            </w:r>
          </w:p>
        </w:tc>
      </w:tr>
    </w:tbl>
    <w:p>
      <w:pPr>
        <w:spacing w:after="0"/>
      </w:pPr>
    </w:p>
    <w:tbl>
      <w:tblPr>
        <w:tblW w:type="auto" w:w="0"/>
        <w:jc w:val="center"/>
        <w:tblLayout w:type="fixed"/>
        <w:tblLook w:firstColumn="1" w:firstRow="1" w:lastColumn="0" w:lastRow="0" w:noHBand="0" w:noVBand="1" w:val="04A0"/>
      </w:tblPr>
      <w:tblGrid>
        <w:gridCol w:w="10454"/>
      </w:tblGrid>
      <w:tr>
        <w:trPr>
          <w:cantSplit/>
        </w:trPr>
        <w:tc>
          <w:tcPr>
            <w:tcW w:type="dxa" w:w="9576"/>
            <w:shd w:fill="EAF5F8"/>
            <w:tcMar>
              <w:top w:w="75" w:type="dxa"/>
              <w:start w:w="120" w:type="dxa"/>
              <w:bottom w:w="75" w:type="dxa"/>
              <w:end w:w="120" w:type="dxa"/>
            </w:tcMar>
          </w:tcPr>
          <w:p>
            <w:pPr>
              <w:spacing w:after="40"/>
            </w:pPr>
            <w:r/>
            <w:r>
              <w:rPr>
                <w:rFonts w:ascii="Aptos" w:hAnsi="Aptos"/>
                <w:b/>
                <w:color w:val="0B6E99"/>
                <w:sz w:val="18"/>
              </w:rPr>
              <w:t>Self-Integrity Monitor</w:t>
            </w:r>
          </w:p>
          <w:p>
            <w:pPr>
              <w:spacing w:after="0"/>
            </w:pPr>
            <w:r>
              <w:rPr>
                <w:color w:val="17242E"/>
                <w:sz w:val="16"/>
              </w:rPr>
              <w:t>Detects in-memory tampering (monkeypatching) of Angerona's own enforcement functions — the third BL-01 vector after terminate/suspend.</w:t>
            </w:r>
          </w:p>
        </w:tc>
      </w:tr>
    </w:tbl>
    <w:p>
      <w:pPr>
        <w:spacing w:after="0"/>
      </w:pPr>
    </w:p>
    <w:tbl>
      <w:tblPr>
        <w:tblW w:type="auto" w:w="0"/>
        <w:jc w:val="center"/>
        <w:tblLayout w:type="fixed"/>
        <w:tblLook w:firstColumn="1" w:firstRow="1" w:lastColumn="0" w:lastRow="0" w:noHBand="0" w:noVBand="1" w:val="04A0"/>
      </w:tblPr>
      <w:tblGrid>
        <w:gridCol w:w="10454"/>
      </w:tblGrid>
      <w:tr>
        <w:trPr>
          <w:cantSplit/>
        </w:trPr>
        <w:tc>
          <w:tcPr>
            <w:tcW w:type="dxa" w:w="9576"/>
            <w:shd w:fill="EAF5F8"/>
            <w:tcMar>
              <w:top w:w="75" w:type="dxa"/>
              <w:start w:w="120" w:type="dxa"/>
              <w:bottom w:w="75" w:type="dxa"/>
              <w:end w:w="120" w:type="dxa"/>
            </w:tcMar>
          </w:tcPr>
          <w:p>
            <w:pPr>
              <w:spacing w:after="40"/>
            </w:pPr>
            <w:r/>
            <w:r>
              <w:rPr>
                <w:rFonts w:ascii="Aptos" w:hAnsi="Aptos"/>
                <w:b/>
                <w:color w:val="0B6E99"/>
                <w:sz w:val="18"/>
              </w:rPr>
              <w:t>Zero-Trust Local IPC Guard</w:t>
            </w:r>
          </w:p>
          <w:p>
            <w:pPr>
              <w:spacing w:after="0"/>
            </w:pPr>
            <w:r>
              <w:rPr>
                <w:color w:val="17242E"/>
                <w:sz w:val="16"/>
              </w:rPr>
              <w:t>HMAC-SHA256 challenge/response auth for the loopback IPC channel (127.0.0.1:65432); default-deny, logs spoofing attempts.</w:t>
            </w:r>
          </w:p>
        </w:tc>
      </w:tr>
    </w:tbl>
    <w:p>
      <w:pPr>
        <w:spacing w:after="0"/>
      </w:pPr>
    </w:p>
    <w:p>
      <w:pPr>
        <w:pStyle w:val="Heading2"/>
        <w:keepNext/>
      </w:pPr>
      <w:r>
        <w:t>Maintenance (1)</w:t>
      </w:r>
    </w:p>
    <w:tbl>
      <w:tblPr>
        <w:tblW w:type="auto" w:w="0"/>
        <w:jc w:val="center"/>
        <w:tblLayout w:type="fixed"/>
        <w:tblLook w:firstColumn="1" w:firstRow="1" w:lastColumn="0" w:lastRow="0" w:noHBand="0" w:noVBand="1" w:val="04A0"/>
      </w:tblPr>
      <w:tblGrid>
        <w:gridCol w:w="10454"/>
      </w:tblGrid>
      <w:tr>
        <w:trPr>
          <w:cantSplit/>
        </w:trPr>
        <w:tc>
          <w:tcPr>
            <w:tcW w:type="dxa" w:w="9576"/>
            <w:shd w:fill="EAF5F8"/>
            <w:tcMar>
              <w:top w:w="75" w:type="dxa"/>
              <w:start w:w="120" w:type="dxa"/>
              <w:bottom w:w="75" w:type="dxa"/>
              <w:end w:w="120" w:type="dxa"/>
            </w:tcMar>
          </w:tcPr>
          <w:p>
            <w:pPr>
              <w:spacing w:after="40"/>
            </w:pPr>
            <w:r/>
            <w:r>
              <w:rPr>
                <w:rFonts w:ascii="Aptos" w:hAnsi="Aptos"/>
                <w:b/>
                <w:color w:val="0B6E99"/>
                <w:sz w:val="18"/>
              </w:rPr>
              <w:t>Storage Hygiene Enforcer</w:t>
            </w:r>
          </w:p>
          <w:p>
            <w:pPr>
              <w:spacing w:after="0"/>
            </w:pPr>
            <w:r>
              <w:rPr>
                <w:color w:val="17242E"/>
                <w:sz w:val="16"/>
              </w:rPr>
              <w:t>Detects Angerona data spilled to the default C: location and keeps it on the configured data root. Detect+alert by default; opt-in auto-migrate; operator-gated purge.</w:t>
            </w:r>
          </w:p>
        </w:tc>
      </w:tr>
    </w:tbl>
    <w:p>
      <w:pPr>
        <w:spacing w:after="0"/>
      </w:pPr>
    </w:p>
    <w:p>
      <w:pPr>
        <w:pStyle w:val="Heading2"/>
        <w:keepNext/>
      </w:pPr>
      <w:r>
        <w:t>Memory (1)</w:t>
      </w:r>
    </w:p>
    <w:tbl>
      <w:tblPr>
        <w:tblW w:type="auto" w:w="0"/>
        <w:jc w:val="center"/>
        <w:tblLayout w:type="fixed"/>
        <w:tblLook w:firstColumn="1" w:firstRow="1" w:lastColumn="0" w:lastRow="0" w:noHBand="0" w:noVBand="1" w:val="04A0"/>
      </w:tblPr>
      <w:tblGrid>
        <w:gridCol w:w="10454"/>
      </w:tblGrid>
      <w:tr>
        <w:trPr>
          <w:cantSplit/>
        </w:trPr>
        <w:tc>
          <w:tcPr>
            <w:tcW w:type="dxa" w:w="9576"/>
            <w:shd w:fill="EAF5F8"/>
            <w:tcMar>
              <w:top w:w="75" w:type="dxa"/>
              <w:start w:w="120" w:type="dxa"/>
              <w:bottom w:w="75" w:type="dxa"/>
              <w:end w:w="120" w:type="dxa"/>
            </w:tcMar>
          </w:tcPr>
          <w:p>
            <w:pPr>
              <w:spacing w:after="40"/>
            </w:pPr>
            <w:r/>
            <w:r>
              <w:rPr>
                <w:rFonts w:ascii="Aptos" w:hAnsi="Aptos"/>
                <w:b/>
                <w:color w:val="0B6E99"/>
                <w:sz w:val="18"/>
              </w:rPr>
              <w:t>Memory Injection Scanner</w:t>
            </w:r>
          </w:p>
          <w:p>
            <w:pPr>
              <w:spacing w:after="0"/>
            </w:pPr>
            <w:r>
              <w:rPr>
                <w:color w:val="17242E"/>
                <w:sz w:val="16"/>
              </w:rPr>
              <w:t>Scans running process address spaces via VirtualQueryEx for anonymous RWX memory regions that indicate T1055 injection (shellcode, process hollowing, reflective DLL loading).</w:t>
            </w:r>
          </w:p>
        </w:tc>
      </w:tr>
    </w:tbl>
    <w:p>
      <w:pPr>
        <w:spacing w:after="0"/>
      </w:pPr>
    </w:p>
    <w:p>
      <w:pPr>
        <w:pStyle w:val="Heading2"/>
        <w:keepNext/>
      </w:pPr>
      <w:r>
        <w:t>Network (6)</w:t>
      </w:r>
    </w:p>
    <w:tbl>
      <w:tblPr>
        <w:tblW w:type="auto" w:w="0"/>
        <w:jc w:val="center"/>
        <w:tblLayout w:type="fixed"/>
        <w:tblLook w:firstColumn="1" w:firstRow="1" w:lastColumn="0" w:lastRow="0" w:noHBand="0" w:noVBand="1" w:val="04A0"/>
      </w:tblPr>
      <w:tblGrid>
        <w:gridCol w:w="10454"/>
      </w:tblGrid>
      <w:tr>
        <w:trPr>
          <w:cantSplit/>
        </w:trPr>
        <w:tc>
          <w:tcPr>
            <w:tcW w:type="dxa" w:w="9576"/>
            <w:shd w:fill="EAF5F8"/>
            <w:tcMar>
              <w:top w:w="75" w:type="dxa"/>
              <w:start w:w="120" w:type="dxa"/>
              <w:bottom w:w="75" w:type="dxa"/>
              <w:end w:w="120" w:type="dxa"/>
            </w:tcMar>
          </w:tcPr>
          <w:p>
            <w:pPr>
              <w:spacing w:after="40"/>
            </w:pPr>
            <w:r/>
            <w:r>
              <w:rPr>
                <w:rFonts w:ascii="Aptos" w:hAnsi="Aptos"/>
                <w:b/>
                <w:color w:val="0B6E99"/>
                <w:sz w:val="18"/>
              </w:rPr>
              <w:t>ARP Watchdog</w:t>
            </w:r>
          </w:p>
          <w:p>
            <w:pPr>
              <w:spacing w:after="0"/>
            </w:pPr>
            <w:r>
              <w:rPr>
                <w:color w:val="17242E"/>
                <w:sz w:val="16"/>
              </w:rPr>
              <w:t>Detects ARP poisoning (T1557.002) via ARP cache diff polling and optional real-time scapy gratuitous-ARP sniffing.</w:t>
            </w:r>
          </w:p>
        </w:tc>
      </w:tr>
    </w:tbl>
    <w:p>
      <w:pPr>
        <w:spacing w:after="0"/>
      </w:pPr>
    </w:p>
    <w:tbl>
      <w:tblPr>
        <w:tblW w:type="auto" w:w="0"/>
        <w:jc w:val="center"/>
        <w:tblLayout w:type="fixed"/>
        <w:tblLook w:firstColumn="1" w:firstRow="1" w:lastColumn="0" w:lastRow="0" w:noHBand="0" w:noVBand="1" w:val="04A0"/>
      </w:tblPr>
      <w:tblGrid>
        <w:gridCol w:w="10454"/>
      </w:tblGrid>
      <w:tr>
        <w:trPr>
          <w:cantSplit/>
        </w:trPr>
        <w:tc>
          <w:tcPr>
            <w:tcW w:type="dxa" w:w="9576"/>
            <w:shd w:fill="EAF5F8"/>
            <w:tcMar>
              <w:top w:w="75" w:type="dxa"/>
              <w:start w:w="120" w:type="dxa"/>
              <w:bottom w:w="75" w:type="dxa"/>
              <w:end w:w="120" w:type="dxa"/>
            </w:tcMar>
          </w:tcPr>
          <w:p>
            <w:pPr>
              <w:spacing w:after="40"/>
            </w:pPr>
            <w:r/>
            <w:r>
              <w:rPr>
                <w:rFonts w:ascii="Aptos" w:hAnsi="Aptos"/>
                <w:b/>
                <w:color w:val="0B6E99"/>
                <w:sz w:val="18"/>
              </w:rPr>
              <w:t>Network Monitor</w:t>
            </w:r>
          </w:p>
          <w:p>
            <w:pPr>
              <w:spacing w:after="0"/>
            </w:pPr>
            <w:r>
              <w:rPr>
                <w:color w:val="17242E"/>
                <w:sz w:val="16"/>
              </w:rPr>
              <w:t>Watches new outbound connections; alerts on suspicious ports and first-seen external hosts.</w:t>
            </w:r>
          </w:p>
        </w:tc>
      </w:tr>
    </w:tbl>
    <w:p>
      <w:pPr>
        <w:spacing w:after="0"/>
      </w:pPr>
    </w:p>
    <w:tbl>
      <w:tblPr>
        <w:tblW w:type="auto" w:w="0"/>
        <w:jc w:val="center"/>
        <w:tblLayout w:type="fixed"/>
        <w:tblLook w:firstColumn="1" w:firstRow="1" w:lastColumn="0" w:lastRow="0" w:noHBand="0" w:noVBand="1" w:val="04A0"/>
      </w:tblPr>
      <w:tblGrid>
        <w:gridCol w:w="10454"/>
      </w:tblGrid>
      <w:tr>
        <w:trPr>
          <w:cantSplit/>
        </w:trPr>
        <w:tc>
          <w:tcPr>
            <w:tcW w:type="dxa" w:w="9576"/>
            <w:shd w:fill="EAF5F8"/>
            <w:tcMar>
              <w:top w:w="75" w:type="dxa"/>
              <w:start w:w="120" w:type="dxa"/>
              <w:bottom w:w="75" w:type="dxa"/>
              <w:end w:w="120" w:type="dxa"/>
            </w:tcMar>
          </w:tcPr>
          <w:p>
            <w:pPr>
              <w:spacing w:after="40"/>
            </w:pPr>
            <w:r/>
            <w:r>
              <w:rPr>
                <w:rFonts w:ascii="Aptos" w:hAnsi="Aptos"/>
                <w:b/>
                <w:color w:val="0B6E99"/>
                <w:sz w:val="18"/>
              </w:rPr>
              <w:t>Network Protocol Deep Decoder</w:t>
            </w:r>
          </w:p>
          <w:p>
            <w:pPr>
              <w:spacing w:after="0"/>
            </w:pPr>
            <w:r>
              <w:rPr>
                <w:color w:val="17242E"/>
                <w:sz w:val="16"/>
              </w:rPr>
              <w:t>Decodes DNS query names and scores label entropy to catch DGA beacons and DNS-tunneling exfiltration.</w:t>
            </w:r>
          </w:p>
        </w:tc>
      </w:tr>
    </w:tbl>
    <w:p>
      <w:pPr>
        <w:spacing w:after="0"/>
      </w:pPr>
    </w:p>
    <w:tbl>
      <w:tblPr>
        <w:tblW w:type="auto" w:w="0"/>
        <w:jc w:val="center"/>
        <w:tblLayout w:type="fixed"/>
        <w:tblLook w:firstColumn="1" w:firstRow="1" w:lastColumn="0" w:lastRow="0" w:noHBand="0" w:noVBand="1" w:val="04A0"/>
      </w:tblPr>
      <w:tblGrid>
        <w:gridCol w:w="10454"/>
      </w:tblGrid>
      <w:tr>
        <w:trPr>
          <w:cantSplit/>
        </w:trPr>
        <w:tc>
          <w:tcPr>
            <w:tcW w:type="dxa" w:w="9576"/>
            <w:shd w:fill="EAF5F8"/>
            <w:tcMar>
              <w:top w:w="75" w:type="dxa"/>
              <w:start w:w="120" w:type="dxa"/>
              <w:bottom w:w="75" w:type="dxa"/>
              <w:end w:w="120" w:type="dxa"/>
            </w:tcMar>
          </w:tcPr>
          <w:p>
            <w:pPr>
              <w:spacing w:after="40"/>
            </w:pPr>
            <w:r/>
            <w:r>
              <w:rPr>
                <w:rFonts w:ascii="Aptos" w:hAnsi="Aptos"/>
                <w:b/>
                <w:color w:val="0B6E99"/>
                <w:sz w:val="18"/>
              </w:rPr>
              <w:t>Packet Sniffer</w:t>
            </w:r>
          </w:p>
          <w:p>
            <w:pPr>
              <w:spacing w:after="0"/>
            </w:pPr>
            <w:r>
              <w:rPr>
                <w:color w:val="17242E"/>
                <w:sz w:val="16"/>
              </w:rPr>
              <w:t>Inspects network packets for cleartext credentials in a crash-isolated capture worker.</w:t>
            </w:r>
          </w:p>
        </w:tc>
      </w:tr>
    </w:tbl>
    <w:p>
      <w:pPr>
        <w:spacing w:after="0"/>
      </w:pPr>
    </w:p>
    <w:tbl>
      <w:tblPr>
        <w:tblW w:type="auto" w:w="0"/>
        <w:jc w:val="center"/>
        <w:tblLayout w:type="fixed"/>
        <w:tblLook w:firstColumn="1" w:firstRow="1" w:lastColumn="0" w:lastRow="0" w:noHBand="0" w:noVBand="1" w:val="04A0"/>
      </w:tblPr>
      <w:tblGrid>
        <w:gridCol w:w="10454"/>
      </w:tblGrid>
      <w:tr>
        <w:trPr>
          <w:cantSplit/>
        </w:trPr>
        <w:tc>
          <w:tcPr>
            <w:tcW w:type="dxa" w:w="9576"/>
            <w:shd w:fill="EAF5F8"/>
            <w:tcMar>
              <w:top w:w="75" w:type="dxa"/>
              <w:start w:w="120" w:type="dxa"/>
              <w:bottom w:w="75" w:type="dxa"/>
              <w:end w:w="120" w:type="dxa"/>
            </w:tcMar>
          </w:tcPr>
          <w:p>
            <w:pPr>
              <w:spacing w:after="40"/>
            </w:pPr>
            <w:r/>
            <w:r>
              <w:rPr>
                <w:rFonts w:ascii="Aptos" w:hAnsi="Aptos"/>
                <w:b/>
                <w:color w:val="0B6E99"/>
                <w:sz w:val="18"/>
              </w:rPr>
              <w:t>WFP Controller</w:t>
            </w:r>
          </w:p>
          <w:p>
            <w:pPr>
              <w:spacing w:after="0"/>
            </w:pPr>
            <w:r>
              <w:rPr>
                <w:color w:val="17242E"/>
                <w:sz w:val="16"/>
              </w:rPr>
              <w:t>Windows Filtering Platform bridge — resolves local port→PID mappings and monitors for unexpected outbound connections from system processes.</w:t>
            </w:r>
          </w:p>
        </w:tc>
      </w:tr>
    </w:tbl>
    <w:p>
      <w:pPr>
        <w:spacing w:after="0"/>
      </w:pPr>
    </w:p>
    <w:tbl>
      <w:tblPr>
        <w:tblW w:type="auto" w:w="0"/>
        <w:jc w:val="center"/>
        <w:tblLayout w:type="fixed"/>
        <w:tblLook w:firstColumn="1" w:firstRow="1" w:lastColumn="0" w:lastRow="0" w:noHBand="0" w:noVBand="1" w:val="04A0"/>
      </w:tblPr>
      <w:tblGrid>
        <w:gridCol w:w="10454"/>
      </w:tblGrid>
      <w:tr>
        <w:trPr>
          <w:cantSplit/>
        </w:trPr>
        <w:tc>
          <w:tcPr>
            <w:tcW w:type="dxa" w:w="9576"/>
            <w:shd w:fill="EAF5F8"/>
            <w:tcMar>
              <w:top w:w="75" w:type="dxa"/>
              <w:start w:w="120" w:type="dxa"/>
              <w:bottom w:w="75" w:type="dxa"/>
              <w:end w:w="120" w:type="dxa"/>
            </w:tcMar>
          </w:tcPr>
          <w:p>
            <w:pPr>
              <w:spacing w:after="40"/>
            </w:pPr>
            <w:r/>
            <w:r>
              <w:rPr>
                <w:rFonts w:ascii="Aptos" w:hAnsi="Aptos"/>
                <w:b/>
                <w:color w:val="0B6E99"/>
                <w:sz w:val="18"/>
              </w:rPr>
              <w:t>WLAN Monitor</w:t>
            </w:r>
          </w:p>
          <w:p>
            <w:pPr>
              <w:spacing w:after="0"/>
            </w:pPr>
            <w:r>
              <w:rPr>
                <w:color w:val="17242E"/>
                <w:sz w:val="16"/>
              </w:rPr>
              <w:t>Detects Evil Twin / rogue AP attacks by monitoring SSID and BSSID changes on the active wireless interface via netsh.</w:t>
            </w:r>
          </w:p>
        </w:tc>
      </w:tr>
    </w:tbl>
    <w:p>
      <w:pPr>
        <w:spacing w:after="0"/>
      </w:pPr>
    </w:p>
    <w:p>
      <w:pPr>
        <w:pStyle w:val="Heading2"/>
        <w:keepNext/>
      </w:pPr>
      <w:r>
        <w:t>Performance (5)</w:t>
      </w:r>
    </w:p>
    <w:tbl>
      <w:tblPr>
        <w:tblW w:type="auto" w:w="0"/>
        <w:jc w:val="center"/>
        <w:tblLayout w:type="fixed"/>
        <w:tblLook w:firstColumn="1" w:firstRow="1" w:lastColumn="0" w:lastRow="0" w:noHBand="0" w:noVBand="1" w:val="04A0"/>
      </w:tblPr>
      <w:tblGrid>
        <w:gridCol w:w="10454"/>
      </w:tblGrid>
      <w:tr>
        <w:trPr>
          <w:cantSplit/>
        </w:trPr>
        <w:tc>
          <w:tcPr>
            <w:tcW w:type="dxa" w:w="9576"/>
            <w:shd w:fill="EAF5F8"/>
            <w:tcMar>
              <w:top w:w="75" w:type="dxa"/>
              <w:start w:w="120" w:type="dxa"/>
              <w:bottom w:w="75" w:type="dxa"/>
              <w:end w:w="120" w:type="dxa"/>
            </w:tcMar>
          </w:tcPr>
          <w:p>
            <w:pPr>
              <w:spacing w:after="40"/>
            </w:pPr>
            <w:r/>
            <w:r>
              <w:rPr>
                <w:rFonts w:ascii="Aptos" w:hAnsi="Aptos"/>
                <w:b/>
                <w:color w:val="0B6E99"/>
                <w:sz w:val="18"/>
              </w:rPr>
              <w:t>Adaptive Resource Governor</w:t>
            </w:r>
          </w:p>
          <w:p>
            <w:pPr>
              <w:spacing w:after="0"/>
            </w:pPr>
            <w:r>
              <w:rPr>
                <w:color w:val="17242E"/>
                <w:sz w:val="16"/>
              </w:rPr>
              <w:t>Watches process CPU and throttles heavy non-critical module loops under load (Eco + normal); relaxes them when idle. Never slows the real-time protection path.</w:t>
            </w:r>
          </w:p>
        </w:tc>
      </w:tr>
    </w:tbl>
    <w:p>
      <w:pPr>
        <w:spacing w:after="0"/>
      </w:pPr>
    </w:p>
    <w:tbl>
      <w:tblPr>
        <w:tblW w:type="auto" w:w="0"/>
        <w:jc w:val="center"/>
        <w:tblLayout w:type="fixed"/>
        <w:tblLook w:firstColumn="1" w:firstRow="1" w:lastColumn="0" w:lastRow="0" w:noHBand="0" w:noVBand="1" w:val="04A0"/>
      </w:tblPr>
      <w:tblGrid>
        <w:gridCol w:w="10454"/>
      </w:tblGrid>
      <w:tr>
        <w:trPr>
          <w:cantSplit/>
        </w:trPr>
        <w:tc>
          <w:tcPr>
            <w:tcW w:type="dxa" w:w="9576"/>
            <w:shd w:fill="EAF5F8"/>
            <w:tcMar>
              <w:top w:w="75" w:type="dxa"/>
              <w:start w:w="120" w:type="dxa"/>
              <w:bottom w:w="75" w:type="dxa"/>
              <w:end w:w="120" w:type="dxa"/>
            </w:tcMar>
          </w:tcPr>
          <w:p>
            <w:pPr>
              <w:spacing w:after="40"/>
            </w:pPr>
            <w:r/>
            <w:r>
              <w:rPr>
                <w:rFonts w:ascii="Aptos" w:hAnsi="Aptos"/>
                <w:b/>
                <w:color w:val="0B6E99"/>
                <w:sz w:val="18"/>
              </w:rPr>
              <w:t>In-Memory Flight Cache</w:t>
            </w:r>
          </w:p>
          <w:p>
            <w:pPr>
              <w:spacing w:after="0"/>
            </w:pPr>
            <w:r>
              <w:rPr>
                <w:color w:val="17242E"/>
                <w:sz w:val="16"/>
              </w:rPr>
              <w:t>Bounded sqlite :memory: mirror of the flight recorder for fast, low-I/O reads of hot recent events.</w:t>
            </w:r>
          </w:p>
        </w:tc>
      </w:tr>
    </w:tbl>
    <w:p>
      <w:pPr>
        <w:spacing w:after="0"/>
      </w:pPr>
    </w:p>
    <w:tbl>
      <w:tblPr>
        <w:tblW w:type="auto" w:w="0"/>
        <w:jc w:val="center"/>
        <w:tblLayout w:type="fixed"/>
        <w:tblLook w:firstColumn="1" w:firstRow="1" w:lastColumn="0" w:lastRow="0" w:noHBand="0" w:noVBand="1" w:val="04A0"/>
      </w:tblPr>
      <w:tblGrid>
        <w:gridCol w:w="10454"/>
      </w:tblGrid>
      <w:tr>
        <w:trPr>
          <w:cantSplit/>
        </w:trPr>
        <w:tc>
          <w:tcPr>
            <w:tcW w:type="dxa" w:w="9576"/>
            <w:shd w:fill="EAF5F8"/>
            <w:tcMar>
              <w:top w:w="75" w:type="dxa"/>
              <w:start w:w="120" w:type="dxa"/>
              <w:bottom w:w="75" w:type="dxa"/>
              <w:end w:w="120" w:type="dxa"/>
            </w:tcMar>
          </w:tcPr>
          <w:p>
            <w:pPr>
              <w:spacing w:after="40"/>
            </w:pPr>
            <w:r/>
            <w:r>
              <w:rPr>
                <w:rFonts w:ascii="Aptos" w:hAnsi="Aptos"/>
                <w:b/>
                <w:color w:val="0B6E99"/>
                <w:sz w:val="18"/>
              </w:rPr>
              <w:t>Memory Time-Machine</w:t>
            </w:r>
          </w:p>
          <w:p>
            <w:pPr>
              <w:spacing w:after="0"/>
            </w:pPr>
            <w:r>
              <w:rPr>
                <w:color w:val="17242E"/>
                <w:sz w:val="16"/>
              </w:rPr>
              <w:t>SPSC mmap ring + per-PID sliding hash cache; forwards only the delta slice of newly-observed process strings to the LLM queue.</w:t>
            </w:r>
          </w:p>
        </w:tc>
      </w:tr>
    </w:tbl>
    <w:p>
      <w:pPr>
        <w:spacing w:after="0"/>
      </w:pPr>
    </w:p>
    <w:tbl>
      <w:tblPr>
        <w:tblW w:type="auto" w:w="0"/>
        <w:jc w:val="center"/>
        <w:tblLayout w:type="fixed"/>
        <w:tblLook w:firstColumn="1" w:firstRow="1" w:lastColumn="0" w:lastRow="0" w:noHBand="0" w:noVBand="1" w:val="04A0"/>
      </w:tblPr>
      <w:tblGrid>
        <w:gridCol w:w="10454"/>
      </w:tblGrid>
      <w:tr>
        <w:trPr>
          <w:cantSplit/>
        </w:trPr>
        <w:tc>
          <w:tcPr>
            <w:tcW w:type="dxa" w:w="9576"/>
            <w:shd w:fill="EAF5F8"/>
            <w:tcMar>
              <w:top w:w="75" w:type="dxa"/>
              <w:start w:w="120" w:type="dxa"/>
              <w:bottom w:w="75" w:type="dxa"/>
              <w:end w:w="120" w:type="dxa"/>
            </w:tcMar>
          </w:tcPr>
          <w:p>
            <w:pPr>
              <w:spacing w:after="40"/>
            </w:pPr>
            <w:r/>
            <w:r>
              <w:rPr>
                <w:rFonts w:ascii="Aptos" w:hAnsi="Aptos"/>
                <w:b/>
                <w:color w:val="0B6E99"/>
                <w:sz w:val="18"/>
              </w:rPr>
              <w:t>Speculative Triage Pre-Warm</w:t>
            </w:r>
          </w:p>
          <w:p>
            <w:pPr>
              <w:spacing w:after="0"/>
            </w:pPr>
            <w:r>
              <w:rPr>
                <w:color w:val="17242E"/>
                <w:sz w:val="16"/>
              </w:rPr>
              <w:t>Detects high-risk early markers and pre-streams a snapshot to Ollama so the final triage verdict returns with no cold start.</w:t>
            </w:r>
          </w:p>
        </w:tc>
      </w:tr>
    </w:tbl>
    <w:p>
      <w:pPr>
        <w:spacing w:after="0"/>
      </w:pPr>
    </w:p>
    <w:tbl>
      <w:tblPr>
        <w:tblW w:type="auto" w:w="0"/>
        <w:jc w:val="center"/>
        <w:tblLayout w:type="fixed"/>
        <w:tblLook w:firstColumn="1" w:firstRow="1" w:lastColumn="0" w:lastRow="0" w:noHBand="0" w:noVBand="1" w:val="04A0"/>
      </w:tblPr>
      <w:tblGrid>
        <w:gridCol w:w="10454"/>
      </w:tblGrid>
      <w:tr>
        <w:trPr>
          <w:cantSplit/>
        </w:trPr>
        <w:tc>
          <w:tcPr>
            <w:tcW w:type="dxa" w:w="9576"/>
            <w:shd w:fill="EAF5F8"/>
            <w:tcMar>
              <w:top w:w="75" w:type="dxa"/>
              <w:start w:w="120" w:type="dxa"/>
              <w:bottom w:w="75" w:type="dxa"/>
              <w:end w:w="120" w:type="dxa"/>
            </w:tcMar>
          </w:tcPr>
          <w:p>
            <w:pPr>
              <w:spacing w:after="40"/>
            </w:pPr>
            <w:r/>
            <w:r>
              <w:rPr>
                <w:rFonts w:ascii="Aptos" w:hAnsi="Aptos"/>
                <w:b/>
                <w:color w:val="0B6E99"/>
                <w:sz w:val="18"/>
              </w:rPr>
              <w:t>TUNE</w:t>
            </w:r>
          </w:p>
          <w:p>
            <w:pPr>
              <w:spacing w:after="0"/>
            </w:pPr>
            <w:r>
              <w:rPr>
                <w:color w:val="17242E"/>
                <w:sz w:val="16"/>
              </w:rPr>
              <w:t>Behavioural learning engine; downgrades known-good PROC/FIM/NMON noise before AI triage.</w:t>
            </w:r>
          </w:p>
        </w:tc>
      </w:tr>
    </w:tbl>
    <w:p>
      <w:pPr>
        <w:spacing w:after="0"/>
      </w:pPr>
    </w:p>
    <w:p>
      <w:pPr>
        <w:pStyle w:val="Heading2"/>
        <w:keepNext/>
      </w:pPr>
      <w:r>
        <w:t>Persistence (1)</w:t>
      </w:r>
    </w:p>
    <w:tbl>
      <w:tblPr>
        <w:tblW w:type="auto" w:w="0"/>
        <w:jc w:val="center"/>
        <w:tblLayout w:type="fixed"/>
        <w:tblLook w:firstColumn="1" w:firstRow="1" w:lastColumn="0" w:lastRow="0" w:noHBand="0" w:noVBand="1" w:val="04A0"/>
      </w:tblPr>
      <w:tblGrid>
        <w:gridCol w:w="10454"/>
      </w:tblGrid>
      <w:tr>
        <w:trPr>
          <w:cantSplit/>
        </w:trPr>
        <w:tc>
          <w:tcPr>
            <w:tcW w:type="dxa" w:w="9576"/>
            <w:shd w:fill="EAF5F8"/>
            <w:tcMar>
              <w:top w:w="75" w:type="dxa"/>
              <w:start w:w="120" w:type="dxa"/>
              <w:bottom w:w="75" w:type="dxa"/>
              <w:end w:w="120" w:type="dxa"/>
            </w:tcMar>
          </w:tcPr>
          <w:p>
            <w:pPr>
              <w:spacing w:after="40"/>
            </w:pPr>
            <w:r/>
            <w:r>
              <w:rPr>
                <w:rFonts w:ascii="Aptos" w:hAnsi="Aptos"/>
                <w:b/>
                <w:color w:val="0B6E99"/>
                <w:sz w:val="18"/>
              </w:rPr>
              <w:t>Persistence Sweep</w:t>
            </w:r>
          </w:p>
          <w:p>
            <w:pPr>
              <w:spacing w:after="0"/>
            </w:pPr>
            <w:r>
              <w:rPr>
                <w:color w:val="17242E"/>
                <w:sz w:val="16"/>
              </w:rPr>
              <w:t>Baselines and monitors autorun/persistence surfaces (Run keys, services, scheduled tasks, WMI subscriptions, startup folders); flags new and suspicious entries.</w:t>
            </w:r>
          </w:p>
        </w:tc>
      </w:tr>
    </w:tbl>
    <w:p>
      <w:pPr>
        <w:spacing w:after="0"/>
      </w:pPr>
    </w:p>
    <w:p>
      <w:pPr>
        <w:pStyle w:val="Heading2"/>
        <w:keepNext/>
      </w:pPr>
      <w:r>
        <w:t>Processes (1)</w:t>
      </w:r>
    </w:p>
    <w:tbl>
      <w:tblPr>
        <w:tblW w:type="auto" w:w="0"/>
        <w:jc w:val="center"/>
        <w:tblLayout w:type="fixed"/>
        <w:tblLook w:firstColumn="1" w:firstRow="1" w:lastColumn="0" w:lastRow="0" w:noHBand="0" w:noVBand="1" w:val="04A0"/>
      </w:tblPr>
      <w:tblGrid>
        <w:gridCol w:w="10454"/>
      </w:tblGrid>
      <w:tr>
        <w:trPr>
          <w:cantSplit/>
        </w:trPr>
        <w:tc>
          <w:tcPr>
            <w:tcW w:type="dxa" w:w="9576"/>
            <w:shd w:fill="EAF5F8"/>
            <w:tcMar>
              <w:top w:w="75" w:type="dxa"/>
              <w:start w:w="120" w:type="dxa"/>
              <w:bottom w:w="75" w:type="dxa"/>
              <w:end w:w="120" w:type="dxa"/>
            </w:tcMar>
          </w:tcPr>
          <w:p>
            <w:pPr>
              <w:spacing w:after="40"/>
            </w:pPr>
            <w:r/>
            <w:r>
              <w:rPr>
                <w:rFonts w:ascii="Aptos" w:hAnsi="Aptos"/>
                <w:b/>
                <w:color w:val="0B6E99"/>
                <w:sz w:val="18"/>
              </w:rPr>
              <w:t>Process Monitor</w:t>
            </w:r>
          </w:p>
          <w:p>
            <w:pPr>
              <w:spacing w:after="0"/>
            </w:pPr>
            <w:r>
              <w:rPr>
                <w:color w:val="17242E"/>
                <w:sz w:val="16"/>
              </w:rPr>
              <w:t>Flags suspicious process spawns and execution from risky locations.</w:t>
            </w:r>
          </w:p>
        </w:tc>
      </w:tr>
    </w:tbl>
    <w:p>
      <w:pPr>
        <w:spacing w:after="0"/>
      </w:pPr>
    </w:p>
    <w:p>
      <w:pPr>
        <w:pStyle w:val="Heading2"/>
        <w:keepNext/>
      </w:pPr>
      <w:r>
        <w:t>Ransomware (1)</w:t>
      </w:r>
    </w:p>
    <w:tbl>
      <w:tblPr>
        <w:tblW w:type="auto" w:w="0"/>
        <w:jc w:val="center"/>
        <w:tblLayout w:type="fixed"/>
        <w:tblLook w:firstColumn="1" w:firstRow="1" w:lastColumn="0" w:lastRow="0" w:noHBand="0" w:noVBand="1" w:val="04A0"/>
      </w:tblPr>
      <w:tblGrid>
        <w:gridCol w:w="10454"/>
      </w:tblGrid>
      <w:tr>
        <w:trPr>
          <w:cantSplit/>
        </w:trPr>
        <w:tc>
          <w:tcPr>
            <w:tcW w:type="dxa" w:w="9576"/>
            <w:shd w:fill="EAF5F8"/>
            <w:tcMar>
              <w:top w:w="75" w:type="dxa"/>
              <w:start w:w="120" w:type="dxa"/>
              <w:bottom w:w="75" w:type="dxa"/>
              <w:end w:w="120" w:type="dxa"/>
            </w:tcMar>
          </w:tcPr>
          <w:p>
            <w:pPr>
              <w:spacing w:after="40"/>
            </w:pPr>
            <w:r/>
            <w:r>
              <w:rPr>
                <w:rFonts w:ascii="Aptos" w:hAnsi="Aptos"/>
                <w:b/>
                <w:color w:val="0B6E99"/>
                <w:sz w:val="18"/>
              </w:rPr>
              <w:t>Ransomware Heuristics</w:t>
            </w:r>
          </w:p>
          <w:p>
            <w:pPr>
              <w:spacing w:after="0"/>
            </w:pPr>
            <w:r>
              <w:rPr>
                <w:color w:val="17242E"/>
                <w:sz w:val="16"/>
              </w:rPr>
              <w:t>Detects ransomware (T1486) via Shannon entropy scanning of recently modified files and rename-storm rate tracking in user directories.</w:t>
            </w:r>
          </w:p>
        </w:tc>
      </w:tr>
    </w:tbl>
    <w:p>
      <w:pPr>
        <w:spacing w:after="0"/>
      </w:pPr>
    </w:p>
    <w:p>
      <w:pPr>
        <w:pStyle w:val="Heading2"/>
        <w:keepNext/>
      </w:pPr>
      <w:r>
        <w:t>Reporting (1)</w:t>
      </w:r>
    </w:p>
    <w:tbl>
      <w:tblPr>
        <w:tblW w:type="auto" w:w="0"/>
        <w:jc w:val="center"/>
        <w:tblLayout w:type="fixed"/>
        <w:tblLook w:firstColumn="1" w:firstRow="1" w:lastColumn="0" w:lastRow="0" w:noHBand="0" w:noVBand="1" w:val="04A0"/>
      </w:tblPr>
      <w:tblGrid>
        <w:gridCol w:w="10454"/>
      </w:tblGrid>
      <w:tr>
        <w:trPr>
          <w:cantSplit/>
        </w:trPr>
        <w:tc>
          <w:tcPr>
            <w:tcW w:type="dxa" w:w="9576"/>
            <w:shd w:fill="EAF5F8"/>
            <w:tcMar>
              <w:top w:w="75" w:type="dxa"/>
              <w:start w:w="120" w:type="dxa"/>
              <w:bottom w:w="75" w:type="dxa"/>
              <w:end w:w="120" w:type="dxa"/>
            </w:tcMar>
          </w:tcPr>
          <w:p>
            <w:pPr>
              <w:spacing w:after="40"/>
            </w:pPr>
            <w:r/>
            <w:r>
              <w:rPr>
                <w:rFonts w:ascii="Aptos" w:hAnsi="Aptos"/>
                <w:b/>
                <w:color w:val="0B6E99"/>
                <w:sz w:val="18"/>
              </w:rPr>
              <w:t>Scheduled AI Security Briefing</w:t>
            </w:r>
          </w:p>
          <w:p>
            <w:pPr>
              <w:spacing w:after="0"/>
            </w:pPr>
            <w:r>
              <w:rPr>
                <w:color w:val="17242E"/>
                <w:sz w:val="16"/>
              </w:rPr>
              <w:t>Compiles a daily plain-English security briefing (alert volume, top techniques, incidents, containment) via local AI with a deterministic fallback.</w:t>
            </w:r>
          </w:p>
        </w:tc>
      </w:tr>
    </w:tbl>
    <w:p>
      <w:pPr>
        <w:spacing w:after="0"/>
      </w:pPr>
    </w:p>
    <w:p>
      <w:pPr>
        <w:pStyle w:val="Heading2"/>
        <w:keepNext/>
      </w:pPr>
      <w:r>
        <w:t>Resilience (7)</w:t>
      </w:r>
    </w:p>
    <w:tbl>
      <w:tblPr>
        <w:tblW w:type="auto" w:w="0"/>
        <w:jc w:val="center"/>
        <w:tblLayout w:type="fixed"/>
        <w:tblLook w:firstColumn="1" w:firstRow="1" w:lastColumn="0" w:lastRow="0" w:noHBand="0" w:noVBand="1" w:val="04A0"/>
      </w:tblPr>
      <w:tblGrid>
        <w:gridCol w:w="10454"/>
      </w:tblGrid>
      <w:tr>
        <w:trPr>
          <w:cantSplit/>
        </w:trPr>
        <w:tc>
          <w:tcPr>
            <w:tcW w:type="dxa" w:w="9576"/>
            <w:shd w:fill="EAF5F8"/>
            <w:tcMar>
              <w:top w:w="75" w:type="dxa"/>
              <w:start w:w="120" w:type="dxa"/>
              <w:bottom w:w="75" w:type="dxa"/>
              <w:end w:w="120" w:type="dxa"/>
            </w:tcMar>
          </w:tcPr>
          <w:p>
            <w:pPr>
              <w:spacing w:after="40"/>
            </w:pPr>
            <w:r/>
            <w:r>
              <w:rPr>
                <w:rFonts w:ascii="Aptos" w:hAnsi="Aptos"/>
                <w:b/>
                <w:color w:val="0B6E99"/>
                <w:sz w:val="18"/>
              </w:rPr>
              <w:t>Anti-Suspension Heartbeat</w:t>
            </w:r>
          </w:p>
          <w:p>
            <w:pPr>
              <w:spacing w:after="0"/>
            </w:pPr>
            <w:r>
              <w:rPr>
                <w:color w:val="17242E"/>
                <w:sz w:val="16"/>
              </w:rPr>
              <w:t>Writes a nanosecond heartbeat to a shared mmap region every 500 ms so the external FRZ watchdog binary can detect thread-suspension attacks.  If the Python process is frozen but alive, the watchdog triggers emergency network isolation and terminates the compromised interpreter.</w:t>
            </w:r>
          </w:p>
        </w:tc>
      </w:tr>
    </w:tbl>
    <w:p>
      <w:pPr>
        <w:spacing w:after="0"/>
      </w:pPr>
    </w:p>
    <w:tbl>
      <w:tblPr>
        <w:tblW w:type="auto" w:w="0"/>
        <w:jc w:val="center"/>
        <w:tblLayout w:type="fixed"/>
        <w:tblLook w:firstColumn="1" w:firstRow="1" w:lastColumn="0" w:lastRow="0" w:noHBand="0" w:noVBand="1" w:val="04A0"/>
      </w:tblPr>
      <w:tblGrid>
        <w:gridCol w:w="10454"/>
      </w:tblGrid>
      <w:tr>
        <w:trPr>
          <w:cantSplit/>
        </w:trPr>
        <w:tc>
          <w:tcPr>
            <w:tcW w:type="dxa" w:w="9576"/>
            <w:shd w:fill="EAF5F8"/>
            <w:tcMar>
              <w:top w:w="75" w:type="dxa"/>
              <w:start w:w="120" w:type="dxa"/>
              <w:bottom w:w="75" w:type="dxa"/>
              <w:end w:w="120" w:type="dxa"/>
            </w:tcMar>
          </w:tcPr>
          <w:p>
            <w:pPr>
              <w:spacing w:after="40"/>
            </w:pPr>
            <w:r/>
            <w:r>
              <w:rPr>
                <w:rFonts w:ascii="Aptos" w:hAnsi="Aptos"/>
                <w:b/>
                <w:color w:val="0B6E99"/>
                <w:sz w:val="18"/>
              </w:rPr>
              <w:t>CHAOS</w:t>
            </w:r>
          </w:p>
          <w:p>
            <w:pPr>
              <w:spacing w:after="0"/>
            </w:pPr>
            <w:r>
              <w:rPr>
                <w:color w:val="17242E"/>
                <w:sz w:val="16"/>
              </w:rPr>
              <w:t>Periodically fires safe synthetic probes and verifies detectors echo back.</w:t>
            </w:r>
          </w:p>
        </w:tc>
      </w:tr>
    </w:tbl>
    <w:p>
      <w:pPr>
        <w:spacing w:after="0"/>
      </w:pPr>
    </w:p>
    <w:tbl>
      <w:tblPr>
        <w:tblW w:type="auto" w:w="0"/>
        <w:jc w:val="center"/>
        <w:tblLayout w:type="fixed"/>
        <w:tblLook w:firstColumn="1" w:firstRow="1" w:lastColumn="0" w:lastRow="0" w:noHBand="0" w:noVBand="1" w:val="04A0"/>
      </w:tblPr>
      <w:tblGrid>
        <w:gridCol w:w="10454"/>
      </w:tblGrid>
      <w:tr>
        <w:trPr>
          <w:cantSplit/>
        </w:trPr>
        <w:tc>
          <w:tcPr>
            <w:tcW w:type="dxa" w:w="9576"/>
            <w:shd w:fill="EAF5F8"/>
            <w:tcMar>
              <w:top w:w="75" w:type="dxa"/>
              <w:start w:w="120" w:type="dxa"/>
              <w:bottom w:w="75" w:type="dxa"/>
              <w:end w:w="120" w:type="dxa"/>
            </w:tcMar>
          </w:tcPr>
          <w:p>
            <w:pPr>
              <w:spacing w:after="40"/>
            </w:pPr>
            <w:r/>
            <w:r>
              <w:rPr>
                <w:rFonts w:ascii="Aptos" w:hAnsi="Aptos"/>
                <w:b/>
                <w:color w:val="0B6E99"/>
                <w:sz w:val="18"/>
              </w:rPr>
              <w:t>Evolution Engine</w:t>
            </w:r>
          </w:p>
          <w:p>
            <w:pPr>
              <w:spacing w:after="0"/>
            </w:pPr>
            <w:r>
              <w:rPr>
                <w:color w:val="17242E"/>
                <w:sz w:val="16"/>
              </w:rPr>
              <w:t>Self-hardening loop: turns a verification bypass into an auto-generated YARA signature.</w:t>
            </w:r>
          </w:p>
        </w:tc>
      </w:tr>
    </w:tbl>
    <w:p>
      <w:pPr>
        <w:spacing w:after="0"/>
      </w:pPr>
    </w:p>
    <w:tbl>
      <w:tblPr>
        <w:tblW w:type="auto" w:w="0"/>
        <w:jc w:val="center"/>
        <w:tblLayout w:type="fixed"/>
        <w:tblLook w:firstColumn="1" w:firstRow="1" w:lastColumn="0" w:lastRow="0" w:noHBand="0" w:noVBand="1" w:val="04A0"/>
      </w:tblPr>
      <w:tblGrid>
        <w:gridCol w:w="10454"/>
      </w:tblGrid>
      <w:tr>
        <w:trPr>
          <w:cantSplit/>
        </w:trPr>
        <w:tc>
          <w:tcPr>
            <w:tcW w:type="dxa" w:w="9576"/>
            <w:shd w:fill="EAF5F8"/>
            <w:tcMar>
              <w:top w:w="75" w:type="dxa"/>
              <w:start w:w="120" w:type="dxa"/>
              <w:bottom w:w="75" w:type="dxa"/>
              <w:end w:w="120" w:type="dxa"/>
            </w:tcMar>
          </w:tcPr>
          <w:p>
            <w:pPr>
              <w:spacing w:after="40"/>
            </w:pPr>
            <w:r/>
            <w:r>
              <w:rPr>
                <w:rFonts w:ascii="Aptos" w:hAnsi="Aptos"/>
                <w:b/>
                <w:color w:val="0B6E99"/>
                <w:sz w:val="18"/>
              </w:rPr>
              <w:t>HEAL</w:t>
            </w:r>
          </w:p>
          <w:p>
            <w:pPr>
              <w:spacing w:after="0"/>
            </w:pPr>
            <w:r>
              <w:rPr>
                <w:color w:val="17242E"/>
                <w:sz w:val="16"/>
              </w:rPr>
              <w:t>Diagnoses crashed modules and stages LLM-proposed patches for operator review.</w:t>
            </w:r>
          </w:p>
        </w:tc>
      </w:tr>
    </w:tbl>
    <w:p>
      <w:pPr>
        <w:spacing w:after="0"/>
      </w:pPr>
    </w:p>
    <w:tbl>
      <w:tblPr>
        <w:tblW w:type="auto" w:w="0"/>
        <w:jc w:val="center"/>
        <w:tblLayout w:type="fixed"/>
        <w:tblLook w:firstColumn="1" w:firstRow="1" w:lastColumn="0" w:lastRow="0" w:noHBand="0" w:noVBand="1" w:val="04A0"/>
      </w:tblPr>
      <w:tblGrid>
        <w:gridCol w:w="10454"/>
      </w:tblGrid>
      <w:tr>
        <w:trPr>
          <w:cantSplit/>
        </w:trPr>
        <w:tc>
          <w:tcPr>
            <w:tcW w:type="dxa" w:w="9576"/>
            <w:shd w:fill="EAF5F8"/>
            <w:tcMar>
              <w:top w:w="75" w:type="dxa"/>
              <w:start w:w="120" w:type="dxa"/>
              <w:bottom w:w="75" w:type="dxa"/>
              <w:end w:w="120" w:type="dxa"/>
            </w:tcMar>
          </w:tcPr>
          <w:p>
            <w:pPr>
              <w:spacing w:after="40"/>
            </w:pPr>
            <w:r/>
            <w:r>
              <w:rPr>
                <w:rFonts w:ascii="Aptos" w:hAnsi="Aptos"/>
                <w:b/>
                <w:color w:val="0B6E99"/>
                <w:sz w:val="18"/>
              </w:rPr>
              <w:t>Monolithic Packaging</w:t>
            </w:r>
          </w:p>
          <w:p>
            <w:pPr>
              <w:spacing w:after="0"/>
            </w:pPr>
            <w:r>
              <w:rPr>
                <w:color w:val="17242E"/>
                <w:sz w:val="16"/>
              </w:rPr>
              <w:t>Monitors whether Angerona is running as a signed, monolithic hermetic binary (PyOxidizer).  Loose .py execution is flagged as a hardening gap. Exposes trigger_build() for review-gated rebuild — never auto-executes.</w:t>
            </w:r>
          </w:p>
        </w:tc>
      </w:tr>
    </w:tbl>
    <w:p>
      <w:pPr>
        <w:spacing w:after="0"/>
      </w:pPr>
    </w:p>
    <w:tbl>
      <w:tblPr>
        <w:tblW w:type="auto" w:w="0"/>
        <w:jc w:val="center"/>
        <w:tblLayout w:type="fixed"/>
        <w:tblLook w:firstColumn="1" w:firstRow="1" w:lastColumn="0" w:lastRow="0" w:noHBand="0" w:noVBand="1" w:val="04A0"/>
      </w:tblPr>
      <w:tblGrid>
        <w:gridCol w:w="10454"/>
      </w:tblGrid>
      <w:tr>
        <w:trPr>
          <w:cantSplit/>
        </w:trPr>
        <w:tc>
          <w:tcPr>
            <w:tcW w:type="dxa" w:w="9576"/>
            <w:shd w:fill="EAF5F8"/>
            <w:tcMar>
              <w:top w:w="75" w:type="dxa"/>
              <w:start w:w="120" w:type="dxa"/>
              <w:bottom w:w="75" w:type="dxa"/>
              <w:end w:w="120" w:type="dxa"/>
            </w:tcMar>
          </w:tcPr>
          <w:p>
            <w:pPr>
              <w:spacing w:after="40"/>
            </w:pPr>
            <w:r/>
            <w:r>
              <w:rPr>
                <w:rFonts w:ascii="Aptos" w:hAnsi="Aptos"/>
                <w:b/>
                <w:color w:val="0B6E99"/>
                <w:sz w:val="18"/>
              </w:rPr>
              <w:t>Telemetry Canary Drills</w:t>
            </w:r>
          </w:p>
          <w:p>
            <w:pPr>
              <w:spacing w:after="0"/>
            </w:pPr>
            <w:r>
              <w:rPr>
                <w:color w:val="17242E"/>
                <w:sz w:val="16"/>
              </w:rPr>
              <w:t>Fires synthetic benign canary subprocesses at regular intervals and listens for the corresponding ETWG 4688 echo on the EventBus.  A missed canary signals user-space telemetry blinding (e.g. ntdll!EtwEventWrite hooking) and raises a CRITICAL alert.</w:t>
            </w:r>
          </w:p>
        </w:tc>
      </w:tr>
    </w:tbl>
    <w:p>
      <w:pPr>
        <w:spacing w:after="0"/>
      </w:pPr>
    </w:p>
    <w:tbl>
      <w:tblPr>
        <w:tblW w:type="auto" w:w="0"/>
        <w:jc w:val="center"/>
        <w:tblLayout w:type="fixed"/>
        <w:tblLook w:firstColumn="1" w:firstRow="1" w:lastColumn="0" w:lastRow="0" w:noHBand="0" w:noVBand="1" w:val="04A0"/>
      </w:tblPr>
      <w:tblGrid>
        <w:gridCol w:w="10454"/>
      </w:tblGrid>
      <w:tr>
        <w:trPr>
          <w:cantSplit/>
        </w:trPr>
        <w:tc>
          <w:tcPr>
            <w:tcW w:type="dxa" w:w="9576"/>
            <w:shd w:fill="EAF5F8"/>
            <w:tcMar>
              <w:top w:w="75" w:type="dxa"/>
              <w:start w:w="120" w:type="dxa"/>
              <w:bottom w:w="75" w:type="dxa"/>
              <w:end w:w="120" w:type="dxa"/>
            </w:tcMar>
          </w:tcPr>
          <w:p>
            <w:pPr>
              <w:spacing w:after="40"/>
            </w:pPr>
            <w:r/>
            <w:r>
              <w:rPr>
                <w:rFonts w:ascii="Aptos" w:hAnsi="Aptos"/>
                <w:b/>
                <w:color w:val="0B6E99"/>
                <w:sz w:val="18"/>
              </w:rPr>
              <w:t>Watchdog Monitor</w:t>
            </w:r>
          </w:p>
          <w:p>
            <w:pPr>
              <w:spacing w:after="0"/>
            </w:pPr>
            <w:r>
              <w:rPr>
                <w:color w:val="17242E"/>
                <w:sz w:val="16"/>
              </w:rPr>
              <w:t>Self-healing supervisor: detects crashed/hung modules and restarts them (throttled).</w:t>
            </w:r>
          </w:p>
        </w:tc>
      </w:tr>
    </w:tbl>
    <w:p>
      <w:pPr>
        <w:spacing w:after="0"/>
      </w:pPr>
    </w:p>
    <w:p>
      <w:pPr>
        <w:pStyle w:val="Heading2"/>
        <w:keepNext/>
      </w:pPr>
      <w:r>
        <w:t>Response (6)</w:t>
      </w:r>
    </w:p>
    <w:tbl>
      <w:tblPr>
        <w:tblW w:type="auto" w:w="0"/>
        <w:jc w:val="center"/>
        <w:tblLayout w:type="fixed"/>
        <w:tblLook w:firstColumn="1" w:firstRow="1" w:lastColumn="0" w:lastRow="0" w:noHBand="0" w:noVBand="1" w:val="04A0"/>
      </w:tblPr>
      <w:tblGrid>
        <w:gridCol w:w="10454"/>
      </w:tblGrid>
      <w:tr>
        <w:trPr>
          <w:cantSplit/>
        </w:trPr>
        <w:tc>
          <w:tcPr>
            <w:tcW w:type="dxa" w:w="9576"/>
            <w:shd w:fill="EAF5F8"/>
            <w:tcMar>
              <w:top w:w="75" w:type="dxa"/>
              <w:start w:w="120" w:type="dxa"/>
              <w:bottom w:w="75" w:type="dxa"/>
              <w:end w:w="120" w:type="dxa"/>
            </w:tcMar>
          </w:tcPr>
          <w:p>
            <w:pPr>
              <w:spacing w:after="40"/>
            </w:pPr>
            <w:r/>
            <w:r>
              <w:rPr>
                <w:rFonts w:ascii="Aptos" w:hAnsi="Aptos"/>
                <w:b/>
                <w:color w:val="0B6E99"/>
                <w:sz w:val="18"/>
              </w:rPr>
              <w:t>Active Response SOAR</w:t>
            </w:r>
          </w:p>
          <w:p>
            <w:pPr>
              <w:spacing w:after="0"/>
            </w:pPr>
            <w:r>
              <w:rPr>
                <w:color w:val="17242E"/>
                <w:sz w:val="16"/>
              </w:rPr>
              <w:t>Opt-in: terminates the offending process and rolls back its file artifact on real CRITICAL alerts.</w:t>
            </w:r>
          </w:p>
        </w:tc>
      </w:tr>
    </w:tbl>
    <w:p>
      <w:pPr>
        <w:spacing w:after="0"/>
      </w:pPr>
    </w:p>
    <w:tbl>
      <w:tblPr>
        <w:tblW w:type="auto" w:w="0"/>
        <w:jc w:val="center"/>
        <w:tblLayout w:type="fixed"/>
        <w:tblLook w:firstColumn="1" w:firstRow="1" w:lastColumn="0" w:lastRow="0" w:noHBand="0" w:noVBand="1" w:val="04A0"/>
      </w:tblPr>
      <w:tblGrid>
        <w:gridCol w:w="10454"/>
      </w:tblGrid>
      <w:tr>
        <w:trPr>
          <w:cantSplit/>
        </w:trPr>
        <w:tc>
          <w:tcPr>
            <w:tcW w:type="dxa" w:w="9576"/>
            <w:shd w:fill="EAF5F8"/>
            <w:tcMar>
              <w:top w:w="75" w:type="dxa"/>
              <w:start w:w="120" w:type="dxa"/>
              <w:bottom w:w="75" w:type="dxa"/>
              <w:end w:w="120" w:type="dxa"/>
            </w:tcMar>
          </w:tcPr>
          <w:p>
            <w:pPr>
              <w:spacing w:after="40"/>
            </w:pPr>
            <w:r/>
            <w:r>
              <w:rPr>
                <w:rFonts w:ascii="Aptos" w:hAnsi="Aptos"/>
                <w:b/>
                <w:color w:val="0B6E99"/>
                <w:sz w:val="18"/>
              </w:rPr>
              <w:t>Adversary Combat</w:t>
            </w:r>
          </w:p>
          <w:p>
            <w:pPr>
              <w:spacing w:after="0"/>
            </w:pPr>
            <w:r>
              <w:rPr>
                <w:color w:val="17242E"/>
                <w:sz w:val="16"/>
              </w:rPr>
              <w:t>Unattended maximum-response tier: blocks, contains, quarantines, isolates, and activates honeypots with undo receipts.</w:t>
            </w:r>
          </w:p>
        </w:tc>
      </w:tr>
    </w:tbl>
    <w:p>
      <w:pPr>
        <w:spacing w:after="0"/>
      </w:pPr>
    </w:p>
    <w:tbl>
      <w:tblPr>
        <w:tblW w:type="auto" w:w="0"/>
        <w:jc w:val="center"/>
        <w:tblLayout w:type="fixed"/>
        <w:tblLook w:firstColumn="1" w:firstRow="1" w:lastColumn="0" w:lastRow="0" w:noHBand="0" w:noVBand="1" w:val="04A0"/>
      </w:tblPr>
      <w:tblGrid>
        <w:gridCol w:w="10454"/>
      </w:tblGrid>
      <w:tr>
        <w:trPr>
          <w:cantSplit/>
        </w:trPr>
        <w:tc>
          <w:tcPr>
            <w:tcW w:type="dxa" w:w="9576"/>
            <w:shd w:fill="EAF5F8"/>
            <w:tcMar>
              <w:top w:w="75" w:type="dxa"/>
              <w:start w:w="120" w:type="dxa"/>
              <w:bottom w:w="75" w:type="dxa"/>
              <w:end w:w="120" w:type="dxa"/>
            </w:tcMar>
          </w:tcPr>
          <w:p>
            <w:pPr>
              <w:spacing w:after="40"/>
            </w:pPr>
            <w:r/>
            <w:r>
              <w:rPr>
                <w:rFonts w:ascii="Aptos" w:hAnsi="Aptos"/>
                <w:b/>
                <w:color w:val="0B6E99"/>
                <w:sz w:val="18"/>
              </w:rPr>
              <w:t>Indirect Syscall Bridge</w:t>
            </w:r>
          </w:p>
          <w:p>
            <w:pPr>
              <w:spacing w:after="0"/>
            </w:pPr>
            <w:r>
              <w:rPr>
                <w:color w:val="17242E"/>
                <w:sz w:val="16"/>
              </w:rPr>
              <w:t>Wraps the compiled syscall_bridge.pyd C extension to route critical SOAR containment actions (terminate / suspend / resume) via indirect NT syscalls, bypassing hooked ntdll exports.  Falls back to ctypes/psutil if the .pyd is not compiled.</w:t>
            </w:r>
          </w:p>
        </w:tc>
      </w:tr>
    </w:tbl>
    <w:p>
      <w:pPr>
        <w:spacing w:after="0"/>
      </w:pPr>
    </w:p>
    <w:tbl>
      <w:tblPr>
        <w:tblW w:type="auto" w:w="0"/>
        <w:jc w:val="center"/>
        <w:tblLayout w:type="fixed"/>
        <w:tblLook w:firstColumn="1" w:firstRow="1" w:lastColumn="0" w:lastRow="0" w:noHBand="0" w:noVBand="1" w:val="04A0"/>
      </w:tblPr>
      <w:tblGrid>
        <w:gridCol w:w="10454"/>
      </w:tblGrid>
      <w:tr>
        <w:trPr>
          <w:cantSplit/>
        </w:trPr>
        <w:tc>
          <w:tcPr>
            <w:tcW w:type="dxa" w:w="9576"/>
            <w:shd w:fill="EAF5F8"/>
            <w:tcMar>
              <w:top w:w="75" w:type="dxa"/>
              <w:start w:w="120" w:type="dxa"/>
              <w:bottom w:w="75" w:type="dxa"/>
              <w:end w:w="120" w:type="dxa"/>
            </w:tcMar>
          </w:tcPr>
          <w:p>
            <w:pPr>
              <w:spacing w:after="40"/>
            </w:pPr>
            <w:r/>
            <w:r>
              <w:rPr>
                <w:rFonts w:ascii="Aptos" w:hAnsi="Aptos"/>
                <w:b/>
                <w:color w:val="0B6E99"/>
                <w:sz w:val="18"/>
              </w:rPr>
              <w:t>Mobile Response Bridge</w:t>
            </w:r>
          </w:p>
          <w:p>
            <w:pPr>
              <w:spacing w:after="0"/>
            </w:pPr>
            <w:r>
              <w:rPr>
                <w:color w:val="17242E"/>
                <w:sz w:val="16"/>
              </w:rPr>
              <w:t>E2EE (Signal) state-gated remote orchestration: posture queries and token+PIN-gated containment from the operator's phone.</w:t>
            </w:r>
          </w:p>
        </w:tc>
      </w:tr>
    </w:tbl>
    <w:p>
      <w:pPr>
        <w:spacing w:after="0"/>
      </w:pPr>
    </w:p>
    <w:tbl>
      <w:tblPr>
        <w:tblW w:type="auto" w:w="0"/>
        <w:jc w:val="center"/>
        <w:tblLayout w:type="fixed"/>
        <w:tblLook w:firstColumn="1" w:firstRow="1" w:lastColumn="0" w:lastRow="0" w:noHBand="0" w:noVBand="1" w:val="04A0"/>
      </w:tblPr>
      <w:tblGrid>
        <w:gridCol w:w="10454"/>
      </w:tblGrid>
      <w:tr>
        <w:trPr>
          <w:cantSplit/>
        </w:trPr>
        <w:tc>
          <w:tcPr>
            <w:tcW w:type="dxa" w:w="9576"/>
            <w:shd w:fill="EAF5F8"/>
            <w:tcMar>
              <w:top w:w="75" w:type="dxa"/>
              <w:start w:w="120" w:type="dxa"/>
              <w:bottom w:w="75" w:type="dxa"/>
              <w:end w:w="120" w:type="dxa"/>
            </w:tcMar>
          </w:tcPr>
          <w:p>
            <w:pPr>
              <w:spacing w:after="40"/>
            </w:pPr>
            <w:r/>
            <w:r>
              <w:rPr>
                <w:rFonts w:ascii="Aptos" w:hAnsi="Aptos"/>
                <w:b/>
                <w:color w:val="0B6E99"/>
                <w:sz w:val="18"/>
              </w:rPr>
              <w:t>Shadow Shield</w:t>
            </w:r>
          </w:p>
          <w:p>
            <w:pPr>
              <w:spacing w:after="0"/>
            </w:pPr>
            <w:r>
              <w:rPr>
                <w:color w:val="17242E"/>
                <w:sz w:val="16"/>
              </w:rPr>
              <w:t>Ransomware file shielding via a delta version cache and VSS snapshots.</w:t>
            </w:r>
          </w:p>
        </w:tc>
      </w:tr>
    </w:tbl>
    <w:p>
      <w:pPr>
        <w:spacing w:after="0"/>
      </w:pPr>
    </w:p>
    <w:tbl>
      <w:tblPr>
        <w:tblW w:type="auto" w:w="0"/>
        <w:jc w:val="center"/>
        <w:tblLayout w:type="fixed"/>
        <w:tblLook w:firstColumn="1" w:firstRow="1" w:lastColumn="0" w:lastRow="0" w:noHBand="0" w:noVBand="1" w:val="04A0"/>
      </w:tblPr>
      <w:tblGrid>
        <w:gridCol w:w="10454"/>
      </w:tblGrid>
      <w:tr>
        <w:trPr>
          <w:cantSplit/>
        </w:trPr>
        <w:tc>
          <w:tcPr>
            <w:tcW w:type="dxa" w:w="9576"/>
            <w:shd w:fill="EAF5F8"/>
            <w:tcMar>
              <w:top w:w="75" w:type="dxa"/>
              <w:start w:w="120" w:type="dxa"/>
              <w:bottom w:w="75" w:type="dxa"/>
              <w:end w:w="120" w:type="dxa"/>
            </w:tcMar>
          </w:tcPr>
          <w:p>
            <w:pPr>
              <w:spacing w:after="40"/>
            </w:pPr>
            <w:r/>
            <w:r>
              <w:rPr>
                <w:rFonts w:ascii="Aptos" w:hAnsi="Aptos"/>
                <w:b/>
                <w:color w:val="0B6E99"/>
                <w:sz w:val="18"/>
              </w:rPr>
              <w:t>SOAR Automation</w:t>
            </w:r>
          </w:p>
          <w:p>
            <w:pPr>
              <w:spacing w:after="0"/>
            </w:pPr>
            <w:r>
              <w:rPr>
                <w:color w:val="17242E"/>
                <w:sz w:val="16"/>
              </w:rPr>
              <w:t>Runs response playbooks on serious events (recommend, or opt-in auto-contain). G3-B: requires 2-signal corroboration and System32 allowlist before auto-act.</w:t>
            </w:r>
          </w:p>
        </w:tc>
      </w:tr>
    </w:tbl>
    <w:p>
      <w:pPr>
        <w:spacing w:after="0"/>
      </w:pPr>
    </w:p>
    <w:p>
      <w:pPr>
        <w:pStyle w:val="Heading2"/>
        <w:keepNext/>
      </w:pPr>
      <w:r>
        <w:t>Sensor (1)</w:t>
      </w:r>
    </w:p>
    <w:tbl>
      <w:tblPr>
        <w:tblW w:type="auto" w:w="0"/>
        <w:jc w:val="center"/>
        <w:tblLayout w:type="fixed"/>
        <w:tblLook w:firstColumn="1" w:firstRow="1" w:lastColumn="0" w:lastRow="0" w:noHBand="0" w:noVBand="1" w:val="04A0"/>
      </w:tblPr>
      <w:tblGrid>
        <w:gridCol w:w="10454"/>
      </w:tblGrid>
      <w:tr>
        <w:trPr>
          <w:cantSplit/>
        </w:trPr>
        <w:tc>
          <w:tcPr>
            <w:tcW w:type="dxa" w:w="9576"/>
            <w:shd w:fill="EAF5F8"/>
            <w:tcMar>
              <w:top w:w="75" w:type="dxa"/>
              <w:start w:w="120" w:type="dxa"/>
              <w:bottom w:w="75" w:type="dxa"/>
              <w:end w:w="120" w:type="dxa"/>
            </w:tcMar>
          </w:tcPr>
          <w:p>
            <w:pPr>
              <w:spacing w:after="40"/>
            </w:pPr>
            <w:r/>
            <w:r>
              <w:rPr>
                <w:rFonts w:ascii="Aptos" w:hAnsi="Aptos"/>
                <w:b/>
                <w:color w:val="0B6E99"/>
                <w:sz w:val="18"/>
              </w:rPr>
              <w:t>Linux eBPF Sensor</w:t>
            </w:r>
          </w:p>
          <w:p>
            <w:pPr>
              <w:spacing w:after="0"/>
            </w:pPr>
            <w:r>
              <w:rPr>
                <w:color w:val="17242E"/>
                <w:sz w:val="16"/>
              </w:rPr>
              <w:t>Native Linux kernel telemetry (execve + tcp_sendmsg) via BCC/eBPF; forwards to the main instance over the Remote Bridge. Linux-only, opt-in.</w:t>
            </w:r>
          </w:p>
        </w:tc>
      </w:tr>
    </w:tbl>
    <w:p>
      <w:pPr>
        <w:spacing w:after="0"/>
      </w:pPr>
    </w:p>
    <w:p>
      <w:pPr>
        <w:pStyle w:val="Heading2"/>
        <w:keepNext/>
      </w:pPr>
      <w:r>
        <w:t>Signatures (1)</w:t>
      </w:r>
    </w:p>
    <w:tbl>
      <w:tblPr>
        <w:tblW w:type="auto" w:w="0"/>
        <w:jc w:val="center"/>
        <w:tblLayout w:type="fixed"/>
        <w:tblLook w:firstColumn="1" w:firstRow="1" w:lastColumn="0" w:lastRow="0" w:noHBand="0" w:noVBand="1" w:val="04A0"/>
      </w:tblPr>
      <w:tblGrid>
        <w:gridCol w:w="10454"/>
      </w:tblGrid>
      <w:tr>
        <w:trPr>
          <w:cantSplit/>
        </w:trPr>
        <w:tc>
          <w:tcPr>
            <w:tcW w:type="dxa" w:w="9576"/>
            <w:shd w:fill="EAF5F8"/>
            <w:tcMar>
              <w:top w:w="75" w:type="dxa"/>
              <w:start w:w="120" w:type="dxa"/>
              <w:bottom w:w="75" w:type="dxa"/>
              <w:end w:w="120" w:type="dxa"/>
            </w:tcMar>
          </w:tcPr>
          <w:p>
            <w:pPr>
              <w:spacing w:after="40"/>
            </w:pPr>
            <w:r/>
            <w:r>
              <w:rPr>
                <w:rFonts w:ascii="Aptos" w:hAnsi="Aptos"/>
                <w:b/>
                <w:color w:val="0B6E99"/>
                <w:sz w:val="18"/>
              </w:rPr>
              <w:t>YARA Scanner</w:t>
            </w:r>
          </w:p>
          <w:p>
            <w:pPr>
              <w:spacing w:after="0"/>
            </w:pPr>
            <w:r>
              <w:rPr>
                <w:color w:val="17242E"/>
                <w:sz w:val="16"/>
              </w:rPr>
              <w:t>Scans Downloads and the isolated drill sandbox with in-process YARA.</w:t>
            </w:r>
          </w:p>
        </w:tc>
      </w:tr>
    </w:tbl>
    <w:p>
      <w:pPr>
        <w:spacing w:after="0"/>
      </w:pPr>
    </w:p>
    <w:p>
      <w:pPr>
        <w:pStyle w:val="Heading2"/>
        <w:keepNext/>
      </w:pPr>
      <w:r>
        <w:t>SOAR (1)</w:t>
      </w:r>
    </w:p>
    <w:tbl>
      <w:tblPr>
        <w:tblW w:type="auto" w:w="0"/>
        <w:jc w:val="center"/>
        <w:tblLayout w:type="fixed"/>
        <w:tblLook w:firstColumn="1" w:firstRow="1" w:lastColumn="0" w:lastRow="0" w:noHBand="0" w:noVBand="1" w:val="04A0"/>
      </w:tblPr>
      <w:tblGrid>
        <w:gridCol w:w="10454"/>
      </w:tblGrid>
      <w:tr>
        <w:trPr>
          <w:cantSplit/>
        </w:trPr>
        <w:tc>
          <w:tcPr>
            <w:tcW w:type="dxa" w:w="9576"/>
            <w:shd w:fill="EAF5F8"/>
            <w:tcMar>
              <w:top w:w="75" w:type="dxa"/>
              <w:start w:w="120" w:type="dxa"/>
              <w:bottom w:w="75" w:type="dxa"/>
              <w:end w:w="120" w:type="dxa"/>
            </w:tcMar>
          </w:tcPr>
          <w:p>
            <w:pPr>
              <w:spacing w:after="40"/>
            </w:pPr>
            <w:r/>
            <w:r>
              <w:rPr>
                <w:rFonts w:ascii="Aptos" w:hAnsi="Aptos"/>
                <w:b/>
                <w:color w:val="0B6E99"/>
                <w:sz w:val="18"/>
              </w:rPr>
              <w:t>Posture Hardening</w:t>
            </w:r>
          </w:p>
          <w:p>
            <w:pPr>
              <w:spacing w:after="0"/>
            </w:pPr>
            <w:r>
              <w:rPr>
                <w:color w:val="17242E"/>
                <w:sz w:val="16"/>
              </w:rPr>
              <w:t>Self-healing loop: turns red-team SUCCESS into staged, review-gated OS hardening.</w:t>
            </w:r>
          </w:p>
        </w:tc>
      </w:tr>
    </w:tbl>
    <w:p>
      <w:pPr>
        <w:spacing w:after="0"/>
      </w:pPr>
    </w:p>
    <w:p>
      <w:pPr>
        <w:pStyle w:val="Heading2"/>
        <w:keepNext/>
      </w:pPr>
      <w:r>
        <w:t>System (1)</w:t>
      </w:r>
    </w:p>
    <w:tbl>
      <w:tblPr>
        <w:tblW w:type="auto" w:w="0"/>
        <w:jc w:val="center"/>
        <w:tblLayout w:type="fixed"/>
        <w:tblLook w:firstColumn="1" w:firstRow="1" w:lastColumn="0" w:lastRow="0" w:noHBand="0" w:noVBand="1" w:val="04A0"/>
      </w:tblPr>
      <w:tblGrid>
        <w:gridCol w:w="10454"/>
      </w:tblGrid>
      <w:tr>
        <w:trPr>
          <w:cantSplit/>
        </w:trPr>
        <w:tc>
          <w:tcPr>
            <w:tcW w:type="dxa" w:w="9576"/>
            <w:shd w:fill="EAF5F8"/>
            <w:tcMar>
              <w:top w:w="75" w:type="dxa"/>
              <w:start w:w="120" w:type="dxa"/>
              <w:bottom w:w="75" w:type="dxa"/>
              <w:end w:w="120" w:type="dxa"/>
            </w:tcMar>
          </w:tcPr>
          <w:p>
            <w:pPr>
              <w:spacing w:after="40"/>
            </w:pPr>
            <w:r/>
            <w:r>
              <w:rPr>
                <w:rFonts w:ascii="Aptos" w:hAnsi="Aptos"/>
                <w:b/>
                <w:color w:val="0B6E99"/>
                <w:sz w:val="18"/>
              </w:rPr>
              <w:t>Dynamic Resource Governor</w:t>
            </w:r>
          </w:p>
          <w:p>
            <w:pPr>
              <w:spacing w:after="0"/>
            </w:pPr>
            <w:r>
              <w:rPr>
                <w:color w:val="17242E"/>
                <w:sz w:val="16"/>
              </w:rPr>
              <w:t>Escalates process priority to HIGH_PRIORITY_CLASS under incident load and returns to NORMAL after COOLDOWN_S seconds of calm.</w:t>
            </w:r>
          </w:p>
        </w:tc>
      </w:tr>
    </w:tbl>
    <w:p>
      <w:pPr>
        <w:spacing w:after="0"/>
      </w:pPr>
    </w:p>
    <w:p>
      <w:pPr>
        <w:pStyle w:val="Heading2"/>
        <w:keepNext/>
      </w:pPr>
      <w:r>
        <w:t>Telemetry (2)</w:t>
      </w:r>
    </w:p>
    <w:tbl>
      <w:tblPr>
        <w:tblW w:type="auto" w:w="0"/>
        <w:jc w:val="center"/>
        <w:tblLayout w:type="fixed"/>
        <w:tblLook w:firstColumn="1" w:firstRow="1" w:lastColumn="0" w:lastRow="0" w:noHBand="0" w:noVBand="1" w:val="04A0"/>
      </w:tblPr>
      <w:tblGrid>
        <w:gridCol w:w="10454"/>
      </w:tblGrid>
      <w:tr>
        <w:trPr>
          <w:cantSplit/>
        </w:trPr>
        <w:tc>
          <w:tcPr>
            <w:tcW w:type="dxa" w:w="9576"/>
            <w:shd w:fill="EAF5F8"/>
            <w:tcMar>
              <w:top w:w="75" w:type="dxa"/>
              <w:start w:w="120" w:type="dxa"/>
              <w:bottom w:w="75" w:type="dxa"/>
              <w:end w:w="120" w:type="dxa"/>
            </w:tcMar>
          </w:tcPr>
          <w:p>
            <w:pPr>
              <w:spacing w:after="40"/>
            </w:pPr>
            <w:r/>
            <w:r>
              <w:rPr>
                <w:rFonts w:ascii="Aptos" w:hAnsi="Aptos"/>
                <w:b/>
                <w:color w:val="0B6E99"/>
                <w:sz w:val="18"/>
              </w:rPr>
              <w:t>ETW Core Listener</w:t>
            </w:r>
          </w:p>
          <w:p>
            <w:pPr>
              <w:spacing w:after="0"/>
            </w:pPr>
            <w:r>
              <w:rPr>
                <w:color w:val="17242E"/>
                <w:sz w:val="16"/>
              </w:rPr>
              <w:t>Captures process-creation (4688) + logon (4624/4672) telemetry from the Windows Security channel; psutil fallback.</w:t>
            </w:r>
          </w:p>
        </w:tc>
      </w:tr>
    </w:tbl>
    <w:p>
      <w:pPr>
        <w:spacing w:after="0"/>
      </w:pPr>
    </w:p>
    <w:tbl>
      <w:tblPr>
        <w:tblW w:type="auto" w:w="0"/>
        <w:jc w:val="center"/>
        <w:tblLayout w:type="fixed"/>
        <w:tblLook w:firstColumn="1" w:firstRow="1" w:lastColumn="0" w:lastRow="0" w:noHBand="0" w:noVBand="1" w:val="04A0"/>
      </w:tblPr>
      <w:tblGrid>
        <w:gridCol w:w="10454"/>
      </w:tblGrid>
      <w:tr>
        <w:trPr>
          <w:cantSplit/>
        </w:trPr>
        <w:tc>
          <w:tcPr>
            <w:tcW w:type="dxa" w:w="9576"/>
            <w:shd w:fill="EAF5F8"/>
            <w:tcMar>
              <w:top w:w="75" w:type="dxa"/>
              <w:start w:w="120" w:type="dxa"/>
              <w:bottom w:w="75" w:type="dxa"/>
              <w:end w:w="120" w:type="dxa"/>
            </w:tcMar>
          </w:tcPr>
          <w:p>
            <w:pPr>
              <w:spacing w:after="40"/>
            </w:pPr>
            <w:r/>
            <w:r>
              <w:rPr>
                <w:rFonts w:ascii="Aptos" w:hAnsi="Aptos"/>
                <w:b/>
                <w:color w:val="0B6E99"/>
                <w:sz w:val="18"/>
              </w:rPr>
              <w:t>ETW Real-Time Process Sensor</w:t>
            </w:r>
          </w:p>
          <w:p>
            <w:pPr>
              <w:spacing w:after="0"/>
            </w:pPr>
            <w:r>
              <w:rPr>
                <w:color w:val="17242E"/>
                <w:sz w:val="16"/>
              </w:rPr>
              <w:t>Event-driven process-creation capture via the Kernel-Process ETW provider (pywintrace); closes the polling blind spot. Requires elevation; defers to polling sensors when unavailable.</w:t>
            </w:r>
          </w:p>
        </w:tc>
      </w:tr>
    </w:tbl>
    <w:p>
      <w:pPr>
        <w:spacing w:after="0"/>
      </w:pPr>
    </w:p>
    <w:p>
      <w:pPr>
        <w:pStyle w:val="Heading2"/>
        <w:keepNext/>
      </w:pPr>
      <w:r>
        <w:t>Threat Intel (1)</w:t>
      </w:r>
    </w:p>
    <w:tbl>
      <w:tblPr>
        <w:tblW w:type="auto" w:w="0"/>
        <w:jc w:val="center"/>
        <w:tblLayout w:type="fixed"/>
        <w:tblLook w:firstColumn="1" w:firstRow="1" w:lastColumn="0" w:lastRow="0" w:noHBand="0" w:noVBand="1" w:val="04A0"/>
      </w:tblPr>
      <w:tblGrid>
        <w:gridCol w:w="10454"/>
      </w:tblGrid>
      <w:tr>
        <w:trPr>
          <w:cantSplit/>
        </w:trPr>
        <w:tc>
          <w:tcPr>
            <w:tcW w:type="dxa" w:w="9576"/>
            <w:shd w:fill="EAF5F8"/>
            <w:tcMar>
              <w:top w:w="75" w:type="dxa"/>
              <w:start w:w="120" w:type="dxa"/>
              <w:bottom w:w="75" w:type="dxa"/>
              <w:end w:w="120" w:type="dxa"/>
            </w:tcMar>
          </w:tcPr>
          <w:p>
            <w:pPr>
              <w:spacing w:after="40"/>
            </w:pPr>
            <w:r/>
            <w:r>
              <w:rPr>
                <w:rFonts w:ascii="Aptos" w:hAnsi="Aptos"/>
                <w:b/>
                <w:color w:val="0B6E99"/>
                <w:sz w:val="18"/>
              </w:rPr>
              <w:t>Upstream Threat Intel Sync</w:t>
            </w:r>
          </w:p>
          <w:p>
            <w:pPr>
              <w:spacing w:after="0"/>
            </w:pPr>
            <w:r>
              <w:rPr>
                <w:color w:val="17242E"/>
                <w:sz w:val="16"/>
              </w:rPr>
              <w:t>Correlates the CISA KEV catalog against this host's OS + running services; stages review-gated remediation, never auto-applies.</w:t>
            </w:r>
          </w:p>
        </w:tc>
      </w:tr>
    </w:tbl>
    <w:p>
      <w:pPr>
        <w:spacing w:after="0"/>
      </w:pPr>
    </w:p>
    <w:p>
      <w:pPr>
        <w:pStyle w:val="Heading1"/>
        <w:keepNext/>
      </w:pPr>
      <w:r>
        <w:t>8. Interfaces and Operator Workflows</w:t>
      </w:r>
    </w:p>
    <w:p>
      <w:pPr>
        <w:pStyle w:val="ListBullet"/>
        <w:spacing w:after="60"/>
      </w:pPr>
      <w:r>
        <w:t>Dashboard and Local SOC workspace for posture, modules, live alerts, investigations, and operations.</w:t>
      </w:r>
    </w:p>
    <w:p>
      <w:pPr>
        <w:pStyle w:val="ListBullet"/>
        <w:spacing w:after="60"/>
      </w:pPr>
      <w:r>
        <w:t>Settings for response posture, privacy, AI, integrations, resource use, appearance, voice, trusted processes, and startup behavior.</w:t>
      </w:r>
    </w:p>
    <w:p>
      <w:pPr>
        <w:pStyle w:val="ListBullet"/>
        <w:spacing w:after="60"/>
      </w:pPr>
      <w:r>
        <w:t>Interactive console for process and connection inspection, containment, module control, incident review, MITRE coverage, remediation logs, SQL hunting, testing, and local AI questions.</w:t>
      </w:r>
    </w:p>
    <w:p>
      <w:pPr>
        <w:pStyle w:val="ListBullet"/>
        <w:spacing w:after="60"/>
      </w:pPr>
      <w:r>
        <w:t>Shark Attack console for selectable scenarios, difficulty, custom techniques, live offense monitoring, evidence correlation, and after-action reporting.</w:t>
      </w:r>
    </w:p>
    <w:p>
      <w:pPr>
        <w:pStyle w:val="ListBullet"/>
        <w:spacing w:after="60"/>
      </w:pPr>
      <w:r>
        <w:t>Threat Intelligence and CVE analysis surfaces for CISA KEV correlation, local exposure context, and staged remediation guidance.</w:t>
      </w:r>
    </w:p>
    <w:p>
      <w:pPr>
        <w:pStyle w:val="ListBullet"/>
        <w:spacing w:after="60"/>
      </w:pPr>
      <w:r>
        <w:t>ARIA assistant, HUD, runbook retrieval, routines, research, inbox triage, voice, and optional outbound notifications.</w:t>
      </w:r>
    </w:p>
    <w:p>
      <w:pPr>
        <w:pStyle w:val="ListBullet"/>
        <w:spacing w:after="60"/>
      </w:pPr>
      <w:r>
        <w:t>Installer, startup repair, diagnostics, backup validation, self-checks, release checksums, SBOM/provenance workflows, and packaged Windows deployment paths.</w:t>
      </w:r>
    </w:p>
    <w:p>
      <w:pPr>
        <w:pStyle w:val="Heading1"/>
        <w:keepNext/>
      </w:pPr>
      <w:r>
        <w:t>9. Current Boundaries</w:t>
      </w:r>
    </w:p>
    <w:tbl>
      <w:tblPr>
        <w:tblStyle w:val="TableGrid"/>
        <w:tblW w:type="auto" w:w="0"/>
        <w:jc w:val="center"/>
        <w:tblLayout w:type="fixed"/>
        <w:tblLook w:firstColumn="1" w:firstRow="1" w:lastColumn="0" w:lastRow="0" w:noHBand="0" w:noVBand="1" w:val="04A0"/>
      </w:tblPr>
      <w:tblGrid>
        <w:gridCol w:w="5227"/>
        <w:gridCol w:w="5227"/>
      </w:tblGrid>
      <w:tr>
        <w:trPr>
          <w:tblHeader/>
          <w:cantSplit/>
        </w:trPr>
        <w:tc>
          <w:tcPr>
            <w:tcW w:type="dxa" w:w="2376"/>
            <w:shd w:fill="081B2C"/>
            <w:vAlign w:val="center"/>
            <w:tcMar>
              <w:top w:w="70" w:type="dxa"/>
              <w:start w:w="95" w:type="dxa"/>
              <w:bottom w:w="70" w:type="dxa"/>
              <w:end w:w="95" w:type="dxa"/>
            </w:tcMar>
          </w:tcPr>
          <w:p>
            <w:pPr>
              <w:spacing w:after="0"/>
            </w:pPr>
            <w:r/>
            <w:r>
              <w:rPr>
                <w:rFonts w:ascii="Aptos" w:hAnsi="Aptos"/>
                <w:b/>
                <w:color w:val="FFFFFF"/>
                <w:sz w:val="17"/>
              </w:rPr>
              <w:t>Boundary</w:t>
            </w:r>
          </w:p>
        </w:tc>
        <w:tc>
          <w:tcPr>
            <w:tcW w:type="dxa" w:w="7200"/>
            <w:shd w:fill="081B2C"/>
            <w:vAlign w:val="center"/>
            <w:tcMar>
              <w:top w:w="70" w:type="dxa"/>
              <w:start w:w="95" w:type="dxa"/>
              <w:bottom w:w="70" w:type="dxa"/>
              <w:end w:w="95" w:type="dxa"/>
            </w:tcMar>
          </w:tcPr>
          <w:p>
            <w:pPr>
              <w:spacing w:after="0"/>
            </w:pPr>
            <w:r/>
            <w:r>
              <w:rPr>
                <w:rFonts w:ascii="Aptos" w:hAnsi="Aptos"/>
                <w:b/>
                <w:color w:val="FFFFFF"/>
                <w:sz w:val="17"/>
              </w:rPr>
              <w:t>Current position</w:t>
            </w:r>
          </w:p>
        </w:tc>
      </w:tr>
      <w:tr>
        <w:trPr>
          <w:cantSplit/>
        </w:trPr>
        <w:tc>
          <w:tcPr>
            <w:tcW w:type="dxa" w:w="2376"/>
            <w:shd w:fill="FFFFFF"/>
            <w:vAlign w:val="center"/>
            <w:tcMar>
              <w:top w:w="70" w:type="dxa"/>
              <w:start w:w="95" w:type="dxa"/>
              <w:bottom w:w="70" w:type="dxa"/>
              <w:end w:w="95" w:type="dxa"/>
            </w:tcMar>
          </w:tcPr>
          <w:p>
            <w:pPr>
              <w:spacing w:after="0"/>
            </w:pPr>
            <w:r/>
            <w:r>
              <w:rPr>
                <w:rFonts w:ascii="Aptos" w:hAnsi="Aptos"/>
                <w:b/>
                <w:color w:val="17242E"/>
                <w:sz w:val="16"/>
              </w:rPr>
              <w:t>Product maturity</w:t>
            </w:r>
          </w:p>
        </w:tc>
        <w:tc>
          <w:tcPr>
            <w:tcW w:type="dxa" w:w="7200"/>
            <w:shd w:fill="FFFFFF"/>
            <w:vAlign w:val="center"/>
            <w:tcMar>
              <w:top w:w="70" w:type="dxa"/>
              <w:start w:w="95" w:type="dxa"/>
              <w:bottom w:w="70" w:type="dxa"/>
              <w:end w:w="95" w:type="dxa"/>
            </w:tcMar>
          </w:tcPr>
          <w:p>
            <w:pPr>
              <w:spacing w:after="0"/>
            </w:pPr>
            <w:r/>
            <w:r>
              <w:rPr>
                <w:rFonts w:ascii="Aptos" w:hAnsi="Aptos"/>
                <w:b w:val="0"/>
                <w:color w:val="17242E"/>
                <w:sz w:val="16"/>
              </w:rPr>
              <w:t>Substantial working security-engineering platform and lab suite; not independently certified as an enterprise EDR replacement.</w:t>
            </w:r>
          </w:p>
        </w:tc>
      </w:tr>
      <w:tr>
        <w:trPr>
          <w:cantSplit/>
        </w:trPr>
        <w:tc>
          <w:tcPr>
            <w:tcW w:type="dxa" w:w="2376"/>
            <w:shd w:fill="F3F6F8"/>
            <w:vAlign w:val="center"/>
            <w:tcMar>
              <w:top w:w="70" w:type="dxa"/>
              <w:start w:w="95" w:type="dxa"/>
              <w:bottom w:w="70" w:type="dxa"/>
              <w:end w:w="95" w:type="dxa"/>
            </w:tcMar>
          </w:tcPr>
          <w:p>
            <w:pPr>
              <w:spacing w:after="0"/>
            </w:pPr>
            <w:r/>
            <w:r>
              <w:rPr>
                <w:rFonts w:ascii="Aptos" w:hAnsi="Aptos"/>
                <w:b/>
                <w:color w:val="17242E"/>
                <w:sz w:val="16"/>
              </w:rPr>
              <w:t>Deployment scale</w:t>
            </w:r>
          </w:p>
        </w:tc>
        <w:tc>
          <w:tcPr>
            <w:tcW w:type="dxa" w:w="7200"/>
            <w:shd w:fill="F3F6F8"/>
            <w:vAlign w:val="center"/>
            <w:tcMar>
              <w:top w:w="70" w:type="dxa"/>
              <w:start w:w="95" w:type="dxa"/>
              <w:bottom w:w="70" w:type="dxa"/>
              <w:end w:w="95" w:type="dxa"/>
            </w:tcMar>
          </w:tcPr>
          <w:p>
            <w:pPr>
              <w:spacing w:after="0"/>
            </w:pPr>
            <w:r/>
            <w:r>
              <w:rPr>
                <w:rFonts w:ascii="Aptos" w:hAnsi="Aptos"/>
                <w:b w:val="0"/>
                <w:color w:val="17242E"/>
                <w:sz w:val="16"/>
              </w:rPr>
              <w:t>Strongest as a local workstation/lab platform. Central fleet administration, multi-node high availability, and enterprise identity governance remain separate deployment concerns.</w:t>
            </w:r>
          </w:p>
        </w:tc>
      </w:tr>
      <w:tr>
        <w:trPr>
          <w:cantSplit/>
        </w:trPr>
        <w:tc>
          <w:tcPr>
            <w:tcW w:type="dxa" w:w="2376"/>
            <w:shd w:fill="FFFFFF"/>
            <w:vAlign w:val="center"/>
            <w:tcMar>
              <w:top w:w="70" w:type="dxa"/>
              <w:start w:w="95" w:type="dxa"/>
              <w:bottom w:w="70" w:type="dxa"/>
              <w:end w:w="95" w:type="dxa"/>
            </w:tcMar>
          </w:tcPr>
          <w:p>
            <w:pPr>
              <w:spacing w:after="0"/>
            </w:pPr>
            <w:r/>
            <w:r>
              <w:rPr>
                <w:rFonts w:ascii="Aptos" w:hAnsi="Aptos"/>
                <w:b/>
                <w:color w:val="17242E"/>
                <w:sz w:val="16"/>
              </w:rPr>
              <w:t>Kernel enforcement</w:t>
            </w:r>
          </w:p>
        </w:tc>
        <w:tc>
          <w:tcPr>
            <w:tcW w:type="dxa" w:w="7200"/>
            <w:shd w:fill="FFFFFF"/>
            <w:vAlign w:val="center"/>
            <w:tcMar>
              <w:top w:w="70" w:type="dxa"/>
              <w:start w:w="95" w:type="dxa"/>
              <w:bottom w:w="70" w:type="dxa"/>
              <w:end w:w="95" w:type="dxa"/>
            </w:tcMar>
          </w:tcPr>
          <w:p>
            <w:pPr>
              <w:spacing w:after="0"/>
            </w:pPr>
            <w:r/>
            <w:r>
              <w:rPr>
                <w:rFonts w:ascii="Aptos" w:hAnsi="Aptos"/>
                <w:b w:val="0"/>
                <w:color w:val="17242E"/>
                <w:sz w:val="16"/>
              </w:rPr>
              <w:t>Primary product is elevated user mode using supported Windows interfaces. Optional kernel bridge code exists, but no unsigned production driver should be treated as a trust anchor.</w:t>
            </w:r>
          </w:p>
        </w:tc>
      </w:tr>
      <w:tr>
        <w:trPr>
          <w:cantSplit/>
        </w:trPr>
        <w:tc>
          <w:tcPr>
            <w:tcW w:type="dxa" w:w="2376"/>
            <w:shd w:fill="F3F6F8"/>
            <w:vAlign w:val="center"/>
            <w:tcMar>
              <w:top w:w="70" w:type="dxa"/>
              <w:start w:w="95" w:type="dxa"/>
              <w:bottom w:w="70" w:type="dxa"/>
              <w:end w:w="95" w:type="dxa"/>
            </w:tcMar>
          </w:tcPr>
          <w:p>
            <w:pPr>
              <w:spacing w:after="0"/>
            </w:pPr>
            <w:r/>
            <w:r>
              <w:rPr>
                <w:rFonts w:ascii="Aptos" w:hAnsi="Aptos"/>
                <w:b/>
                <w:color w:val="17242E"/>
                <w:sz w:val="16"/>
              </w:rPr>
              <w:t>Cross-platform</w:t>
            </w:r>
          </w:p>
        </w:tc>
        <w:tc>
          <w:tcPr>
            <w:tcW w:type="dxa" w:w="7200"/>
            <w:shd w:fill="F3F6F8"/>
            <w:vAlign w:val="center"/>
            <w:tcMar>
              <w:top w:w="70" w:type="dxa"/>
              <w:start w:w="95" w:type="dxa"/>
              <w:bottom w:w="70" w:type="dxa"/>
              <w:end w:w="95" w:type="dxa"/>
            </w:tcMar>
          </w:tcPr>
          <w:p>
            <w:pPr>
              <w:spacing w:after="0"/>
            </w:pPr>
            <w:r/>
            <w:r>
              <w:rPr>
                <w:rFonts w:ascii="Aptos" w:hAnsi="Aptos"/>
                <w:b w:val="0"/>
                <w:color w:val="17242E"/>
                <w:sz w:val="16"/>
              </w:rPr>
              <w:t>Windows is the primary response platform; Linux and macOS currently emphasize privacy-minimized observation and optional native sensor paths.</w:t>
            </w:r>
          </w:p>
        </w:tc>
      </w:tr>
      <w:tr>
        <w:trPr>
          <w:cantSplit/>
        </w:trPr>
        <w:tc>
          <w:tcPr>
            <w:tcW w:type="dxa" w:w="2376"/>
            <w:shd w:fill="FFFFFF"/>
            <w:vAlign w:val="center"/>
            <w:tcMar>
              <w:top w:w="70" w:type="dxa"/>
              <w:start w:w="95" w:type="dxa"/>
              <w:bottom w:w="70" w:type="dxa"/>
              <w:end w:w="95" w:type="dxa"/>
            </w:tcMar>
          </w:tcPr>
          <w:p>
            <w:pPr>
              <w:spacing w:after="0"/>
            </w:pPr>
            <w:r/>
            <w:r>
              <w:rPr>
                <w:rFonts w:ascii="Aptos" w:hAnsi="Aptos"/>
                <w:b/>
                <w:color w:val="17242E"/>
                <w:sz w:val="16"/>
              </w:rPr>
              <w:t>AI</w:t>
            </w:r>
          </w:p>
        </w:tc>
        <w:tc>
          <w:tcPr>
            <w:tcW w:type="dxa" w:w="7200"/>
            <w:shd w:fill="FFFFFF"/>
            <w:vAlign w:val="center"/>
            <w:tcMar>
              <w:top w:w="70" w:type="dxa"/>
              <w:start w:w="95" w:type="dxa"/>
              <w:bottom w:w="70" w:type="dxa"/>
              <w:end w:w="95" w:type="dxa"/>
            </w:tcMar>
          </w:tcPr>
          <w:p>
            <w:pPr>
              <w:spacing w:after="0"/>
            </w:pPr>
            <w:r/>
            <w:r>
              <w:rPr>
                <w:rFonts w:ascii="Aptos" w:hAnsi="Aptos"/>
                <w:b w:val="0"/>
                <w:color w:val="17242E"/>
                <w:sz w:val="16"/>
              </w:rPr>
              <w:t>Local AI improves explanation and workflow assistance; deterministic controls and detector evidence remain the authority for response.</w:t>
            </w:r>
          </w:p>
        </w:tc>
      </w:tr>
      <w:tr>
        <w:trPr>
          <w:cantSplit/>
        </w:trPr>
        <w:tc>
          <w:tcPr>
            <w:tcW w:type="dxa" w:w="2376"/>
            <w:shd w:fill="F3F6F8"/>
            <w:vAlign w:val="center"/>
            <w:tcMar>
              <w:top w:w="70" w:type="dxa"/>
              <w:start w:w="95" w:type="dxa"/>
              <w:bottom w:w="70" w:type="dxa"/>
              <w:end w:w="95" w:type="dxa"/>
            </w:tcMar>
          </w:tcPr>
          <w:p>
            <w:pPr>
              <w:spacing w:after="0"/>
            </w:pPr>
            <w:r/>
            <w:r>
              <w:rPr>
                <w:rFonts w:ascii="Aptos" w:hAnsi="Aptos"/>
                <w:b/>
                <w:color w:val="17242E"/>
                <w:sz w:val="16"/>
              </w:rPr>
              <w:t>Validation meaning</w:t>
            </w:r>
          </w:p>
        </w:tc>
        <w:tc>
          <w:tcPr>
            <w:tcW w:type="dxa" w:w="7200"/>
            <w:shd w:fill="F3F6F8"/>
            <w:vAlign w:val="center"/>
            <w:tcMar>
              <w:top w:w="70" w:type="dxa"/>
              <w:start w:w="95" w:type="dxa"/>
              <w:bottom w:w="70" w:type="dxa"/>
              <w:end w:w="95" w:type="dxa"/>
            </w:tcMar>
          </w:tcPr>
          <w:p>
            <w:pPr>
              <w:spacing w:after="0"/>
            </w:pPr>
            <w:r/>
            <w:r>
              <w:rPr>
                <w:rFonts w:ascii="Aptos" w:hAnsi="Aptos"/>
                <w:b w:val="0"/>
                <w:color w:val="17242E"/>
                <w:sz w:val="16"/>
              </w:rPr>
              <w:t>Automated tests and drills establish repeatability for implemented contracts, not universal detection of every future technique.</w:t>
            </w:r>
          </w:p>
        </w:tc>
      </w:tr>
      <w:tr>
        <w:trPr>
          <w:cantSplit/>
        </w:trPr>
        <w:tc>
          <w:tcPr>
            <w:tcW w:type="dxa" w:w="2376"/>
            <w:shd w:fill="FFFFFF"/>
            <w:vAlign w:val="center"/>
            <w:tcMar>
              <w:top w:w="70" w:type="dxa"/>
              <w:start w:w="95" w:type="dxa"/>
              <w:bottom w:w="70" w:type="dxa"/>
              <w:end w:w="95" w:type="dxa"/>
            </w:tcMar>
          </w:tcPr>
          <w:p>
            <w:pPr>
              <w:spacing w:after="0"/>
            </w:pPr>
            <w:r/>
            <w:r>
              <w:rPr>
                <w:rFonts w:ascii="Aptos" w:hAnsi="Aptos"/>
                <w:b/>
                <w:color w:val="17242E"/>
                <w:sz w:val="16"/>
              </w:rPr>
              <w:t>Autonomous action</w:t>
            </w:r>
          </w:p>
        </w:tc>
        <w:tc>
          <w:tcPr>
            <w:tcW w:type="dxa" w:w="7200"/>
            <w:shd w:fill="FFFFFF"/>
            <w:vAlign w:val="center"/>
            <w:tcMar>
              <w:top w:w="70" w:type="dxa"/>
              <w:start w:w="95" w:type="dxa"/>
              <w:bottom w:w="70" w:type="dxa"/>
              <w:end w:w="95" w:type="dxa"/>
            </w:tcMar>
          </w:tcPr>
          <w:p>
            <w:pPr>
              <w:spacing w:after="0"/>
            </w:pPr>
            <w:r/>
            <w:r>
              <w:rPr>
                <w:rFonts w:ascii="Aptos" w:hAnsi="Aptos"/>
                <w:b w:val="0"/>
                <w:color w:val="17242E"/>
                <w:sz w:val="16"/>
              </w:rPr>
              <w:t>Maximum mode is intentionally disruptive. Administrators choose the policy and retain durable evidence plus undo for reversible actions.</w:t>
            </w:r>
          </w:p>
        </w:tc>
      </w:tr>
    </w:tbl>
    <w:p>
      <w:pPr>
        <w:spacing w:after="20"/>
      </w:pPr>
    </w:p>
    <w:p>
      <w:r>
        <w:br w:type="page"/>
      </w:r>
    </w:p>
    <w:p>
      <w:pPr>
        <w:pStyle w:val="Heading1"/>
        <w:keepNext/>
      </w:pPr>
      <w:r>
        <w:t>10. Practical Value</w:t>
      </w:r>
    </w:p>
    <w:p>
      <w:r>
        <w:t>Angerona is a credible advanced home-lab suite, defensive R&amp;D platform, purple-team exercise system, and security-engineering portfolio project. Its strongest evidence is the integrated breadth: sensors, correlation, response, reversal, testing, UI, packaging, privacy controls, and documentation operate as one system rather than isolated demos.</w:t>
      </w:r>
    </w:p>
    <w:p>
      <w:pPr>
        <w:pStyle w:val="ListBullet"/>
        <w:spacing w:after="60"/>
      </w:pPr>
      <w:r>
        <w:t>For defenders: a hands-on platform for building and proving detections and containment playbooks.</w:t>
      </w:r>
    </w:p>
    <w:p>
      <w:pPr>
        <w:pStyle w:val="ListBullet"/>
        <w:spacing w:after="60"/>
      </w:pPr>
      <w:r>
        <w:t>For developers: a large modular Python/Qt codebase with concurrency, persistence, security boundaries, packaging, and automated verification.</w:t>
      </w:r>
    </w:p>
    <w:p>
      <w:pPr>
        <w:pStyle w:val="ListBullet"/>
        <w:spacing w:after="60"/>
      </w:pPr>
      <w:r>
        <w:t>For employers: concrete evidence of initiative and cross-domain security engineering when presented with a live demo, architecture explanation, and honest scope boundaries.</w:t>
      </w:r>
    </w:p>
    <w:p>
      <w:pPr>
        <w:pStyle w:val="ListBullet"/>
        <w:spacing w:after="60"/>
      </w:pPr>
      <w:r>
        <w:t>For researchers: an extensible place to prototype local-first defensive ideas and measure them against repeatable simulations.</w:t>
      </w:r>
    </w:p>
    <w:p>
      <w:pPr>
        <w:pStyle w:val="Heading2"/>
        <w:keepNext/>
      </w:pPr>
      <w:r>
        <w:t>Evidence a reviewer can inspect</w:t>
      </w:r>
    </w:p>
    <w:tbl>
      <w:tblPr>
        <w:tblStyle w:val="TableGrid"/>
        <w:tblW w:type="auto" w:w="0"/>
        <w:jc w:val="center"/>
        <w:tblLayout w:type="fixed"/>
        <w:tblLook w:firstColumn="1" w:firstRow="1" w:lastColumn="0" w:lastRow="0" w:noHBand="0" w:noVBand="1" w:val="04A0"/>
      </w:tblPr>
      <w:tblGrid>
        <w:gridCol w:w="5227"/>
        <w:gridCol w:w="5227"/>
      </w:tblGrid>
      <w:tr>
        <w:trPr>
          <w:tblHeader/>
          <w:cantSplit/>
        </w:trPr>
        <w:tc>
          <w:tcPr>
            <w:tcW w:type="dxa" w:w="2952"/>
            <w:shd w:fill="081B2C"/>
            <w:vAlign w:val="center"/>
            <w:tcMar>
              <w:top w:w="70" w:type="dxa"/>
              <w:start w:w="95" w:type="dxa"/>
              <w:bottom w:w="70" w:type="dxa"/>
              <w:end w:w="95" w:type="dxa"/>
            </w:tcMar>
          </w:tcPr>
          <w:p>
            <w:pPr>
              <w:spacing w:after="0"/>
            </w:pPr>
            <w:r/>
            <w:r>
              <w:rPr>
                <w:rFonts w:ascii="Aptos" w:hAnsi="Aptos"/>
                <w:b/>
                <w:color w:val="FFFFFF"/>
                <w:sz w:val="17"/>
              </w:rPr>
              <w:t>Evidence</w:t>
            </w:r>
          </w:p>
        </w:tc>
        <w:tc>
          <w:tcPr>
            <w:tcW w:type="dxa" w:w="6624"/>
            <w:shd w:fill="081B2C"/>
            <w:vAlign w:val="center"/>
            <w:tcMar>
              <w:top w:w="70" w:type="dxa"/>
              <w:start w:w="95" w:type="dxa"/>
              <w:bottom w:w="70" w:type="dxa"/>
              <w:end w:w="95" w:type="dxa"/>
            </w:tcMar>
          </w:tcPr>
          <w:p>
            <w:pPr>
              <w:spacing w:after="0"/>
            </w:pPr>
            <w:r/>
            <w:r>
              <w:rPr>
                <w:rFonts w:ascii="Aptos" w:hAnsi="Aptos"/>
                <w:b/>
                <w:color w:val="FFFFFF"/>
                <w:sz w:val="17"/>
              </w:rPr>
              <w:t>What it demonstrates</w:t>
            </w:r>
          </w:p>
        </w:tc>
      </w:tr>
      <w:tr>
        <w:trPr>
          <w:cantSplit/>
        </w:trPr>
        <w:tc>
          <w:tcPr>
            <w:tcW w:type="dxa" w:w="2952"/>
            <w:shd w:fill="FFFFFF"/>
            <w:vAlign w:val="center"/>
            <w:tcMar>
              <w:top w:w="70" w:type="dxa"/>
              <w:start w:w="95" w:type="dxa"/>
              <w:bottom w:w="70" w:type="dxa"/>
              <w:end w:w="95" w:type="dxa"/>
            </w:tcMar>
          </w:tcPr>
          <w:p>
            <w:pPr>
              <w:spacing w:after="0"/>
            </w:pPr>
            <w:r/>
            <w:r>
              <w:rPr>
                <w:rFonts w:ascii="Aptos" w:hAnsi="Aptos"/>
                <w:b/>
                <w:color w:val="17242E"/>
                <w:sz w:val="16"/>
              </w:rPr>
              <w:t>Working desktop application</w:t>
            </w:r>
          </w:p>
        </w:tc>
        <w:tc>
          <w:tcPr>
            <w:tcW w:type="dxa" w:w="6624"/>
            <w:shd w:fill="FFFFFF"/>
            <w:vAlign w:val="center"/>
            <w:tcMar>
              <w:top w:w="70" w:type="dxa"/>
              <w:start w:w="95" w:type="dxa"/>
              <w:bottom w:w="70" w:type="dxa"/>
              <w:end w:w="95" w:type="dxa"/>
            </w:tcMar>
          </w:tcPr>
          <w:p>
            <w:pPr>
              <w:spacing w:after="0"/>
            </w:pPr>
            <w:r/>
            <w:r>
              <w:rPr>
                <w:rFonts w:ascii="Aptos" w:hAnsi="Aptos"/>
                <w:b w:val="0"/>
                <w:color w:val="17242E"/>
                <w:sz w:val="16"/>
              </w:rPr>
              <w:t>Product integration, operator experience, lifecycle handling, and real-time state management</w:t>
            </w:r>
          </w:p>
        </w:tc>
      </w:tr>
      <w:tr>
        <w:trPr>
          <w:cantSplit/>
        </w:trPr>
        <w:tc>
          <w:tcPr>
            <w:tcW w:type="dxa" w:w="2952"/>
            <w:shd w:fill="F3F6F8"/>
            <w:vAlign w:val="center"/>
            <w:tcMar>
              <w:top w:w="70" w:type="dxa"/>
              <w:start w:w="95" w:type="dxa"/>
              <w:bottom w:w="70" w:type="dxa"/>
              <w:end w:w="95" w:type="dxa"/>
            </w:tcMar>
          </w:tcPr>
          <w:p>
            <w:pPr>
              <w:spacing w:after="0"/>
            </w:pPr>
            <w:r/>
            <w:r>
              <w:rPr>
                <w:rFonts w:ascii="Aptos" w:hAnsi="Aptos"/>
                <w:b/>
                <w:color w:val="17242E"/>
                <w:sz w:val="16"/>
              </w:rPr>
              <w:t>67-module catalogue</w:t>
            </w:r>
          </w:p>
        </w:tc>
        <w:tc>
          <w:tcPr>
            <w:tcW w:type="dxa" w:w="6624"/>
            <w:shd w:fill="F3F6F8"/>
            <w:vAlign w:val="center"/>
            <w:tcMar>
              <w:top w:w="70" w:type="dxa"/>
              <w:start w:w="95" w:type="dxa"/>
              <w:bottom w:w="70" w:type="dxa"/>
              <w:end w:w="95" w:type="dxa"/>
            </w:tcMar>
          </w:tcPr>
          <w:p>
            <w:pPr>
              <w:spacing w:after="0"/>
            </w:pPr>
            <w:r/>
            <w:r>
              <w:rPr>
                <w:rFonts w:ascii="Aptos" w:hAnsi="Aptos"/>
                <w:b w:val="0"/>
                <w:color w:val="17242E"/>
                <w:sz w:val="16"/>
              </w:rPr>
              <w:t>Breadth across telemetry, detection, response, AI, resilience, forensics, deception, and integration</w:t>
            </w:r>
          </w:p>
        </w:tc>
      </w:tr>
      <w:tr>
        <w:trPr>
          <w:cantSplit/>
        </w:trPr>
        <w:tc>
          <w:tcPr>
            <w:tcW w:type="dxa" w:w="2952"/>
            <w:shd w:fill="FFFFFF"/>
            <w:vAlign w:val="center"/>
            <w:tcMar>
              <w:top w:w="70" w:type="dxa"/>
              <w:start w:w="95" w:type="dxa"/>
              <w:bottom w:w="70" w:type="dxa"/>
              <w:end w:w="95" w:type="dxa"/>
            </w:tcMar>
          </w:tcPr>
          <w:p>
            <w:pPr>
              <w:spacing w:after="0"/>
            </w:pPr>
            <w:r/>
            <w:r>
              <w:rPr>
                <w:rFonts w:ascii="Aptos" w:hAnsi="Aptos"/>
                <w:b/>
                <w:color w:val="17242E"/>
                <w:sz w:val="16"/>
              </w:rPr>
              <w:t>1,083-test green gate</w:t>
            </w:r>
          </w:p>
        </w:tc>
        <w:tc>
          <w:tcPr>
            <w:tcW w:type="dxa" w:w="6624"/>
            <w:shd w:fill="FFFFFF"/>
            <w:vAlign w:val="center"/>
            <w:tcMar>
              <w:top w:w="70" w:type="dxa"/>
              <w:start w:w="95" w:type="dxa"/>
              <w:bottom w:w="70" w:type="dxa"/>
              <w:end w:w="95" w:type="dxa"/>
            </w:tcMar>
          </w:tcPr>
          <w:p>
            <w:pPr>
              <w:spacing w:after="0"/>
            </w:pPr>
            <w:r/>
            <w:r>
              <w:rPr>
                <w:rFonts w:ascii="Aptos" w:hAnsi="Aptos"/>
                <w:b w:val="0"/>
                <w:color w:val="17242E"/>
                <w:sz w:val="16"/>
              </w:rPr>
              <w:t>Regression discipline, edge-case coverage, and maintainable interfaces</w:t>
            </w:r>
          </w:p>
        </w:tc>
      </w:tr>
      <w:tr>
        <w:trPr>
          <w:cantSplit/>
        </w:trPr>
        <w:tc>
          <w:tcPr>
            <w:tcW w:type="dxa" w:w="2952"/>
            <w:shd w:fill="F3F6F8"/>
            <w:vAlign w:val="center"/>
            <w:tcMar>
              <w:top w:w="70" w:type="dxa"/>
              <w:start w:w="95" w:type="dxa"/>
              <w:bottom w:w="70" w:type="dxa"/>
              <w:end w:w="95" w:type="dxa"/>
            </w:tcMar>
          </w:tcPr>
          <w:p>
            <w:pPr>
              <w:spacing w:after="0"/>
            </w:pPr>
            <w:r/>
            <w:r>
              <w:rPr>
                <w:rFonts w:ascii="Aptos" w:hAnsi="Aptos"/>
                <w:b/>
                <w:color w:val="17242E"/>
                <w:sz w:val="16"/>
              </w:rPr>
              <w:t>Shark Attack AAR</w:t>
            </w:r>
          </w:p>
        </w:tc>
        <w:tc>
          <w:tcPr>
            <w:tcW w:type="dxa" w:w="6624"/>
            <w:shd w:fill="F3F6F8"/>
            <w:vAlign w:val="center"/>
            <w:tcMar>
              <w:top w:w="70" w:type="dxa"/>
              <w:start w:w="95" w:type="dxa"/>
              <w:bottom w:w="70" w:type="dxa"/>
              <w:end w:w="95" w:type="dxa"/>
            </w:tcMar>
          </w:tcPr>
          <w:p>
            <w:pPr>
              <w:spacing w:after="0"/>
            </w:pPr>
            <w:r/>
            <w:r>
              <w:rPr>
                <w:rFonts w:ascii="Aptos" w:hAnsi="Aptos"/>
                <w:b w:val="0"/>
                <w:color w:val="17242E"/>
                <w:sz w:val="16"/>
              </w:rPr>
              <w:t>Measurable detection and response behavior rather than feature-list claims alone</w:t>
            </w:r>
          </w:p>
        </w:tc>
      </w:tr>
      <w:tr>
        <w:trPr>
          <w:cantSplit/>
        </w:trPr>
        <w:tc>
          <w:tcPr>
            <w:tcW w:type="dxa" w:w="2952"/>
            <w:shd w:fill="FFFFFF"/>
            <w:vAlign w:val="center"/>
            <w:tcMar>
              <w:top w:w="70" w:type="dxa"/>
              <w:start w:w="95" w:type="dxa"/>
              <w:bottom w:w="70" w:type="dxa"/>
              <w:end w:w="95" w:type="dxa"/>
            </w:tcMar>
          </w:tcPr>
          <w:p>
            <w:pPr>
              <w:spacing w:after="0"/>
            </w:pPr>
            <w:r/>
            <w:r>
              <w:rPr>
                <w:rFonts w:ascii="Aptos" w:hAnsi="Aptos"/>
                <w:b/>
                <w:color w:val="17242E"/>
                <w:sz w:val="16"/>
              </w:rPr>
              <w:t>Receipts, reversal, and evidence binding</w:t>
            </w:r>
          </w:p>
        </w:tc>
        <w:tc>
          <w:tcPr>
            <w:tcW w:type="dxa" w:w="6624"/>
            <w:shd w:fill="FFFFFF"/>
            <w:vAlign w:val="center"/>
            <w:tcMar>
              <w:top w:w="70" w:type="dxa"/>
              <w:start w:w="95" w:type="dxa"/>
              <w:bottom w:w="70" w:type="dxa"/>
              <w:end w:w="95" w:type="dxa"/>
            </w:tcMar>
          </w:tcPr>
          <w:p>
            <w:pPr>
              <w:spacing w:after="0"/>
            </w:pPr>
            <w:r/>
            <w:r>
              <w:rPr>
                <w:rFonts w:ascii="Aptos" w:hAnsi="Aptos"/>
                <w:b w:val="0"/>
                <w:color w:val="17242E"/>
                <w:sz w:val="16"/>
              </w:rPr>
              <w:t>Security reasoning around authorization, attribution, auditability, and recovery</w:t>
            </w:r>
          </w:p>
        </w:tc>
      </w:tr>
      <w:tr>
        <w:trPr>
          <w:cantSplit/>
        </w:trPr>
        <w:tc>
          <w:tcPr>
            <w:tcW w:type="dxa" w:w="2952"/>
            <w:shd w:fill="F3F6F8"/>
            <w:vAlign w:val="center"/>
            <w:tcMar>
              <w:top w:w="70" w:type="dxa"/>
              <w:start w:w="95" w:type="dxa"/>
              <w:bottom w:w="70" w:type="dxa"/>
              <w:end w:w="95" w:type="dxa"/>
            </w:tcMar>
          </w:tcPr>
          <w:p>
            <w:pPr>
              <w:spacing w:after="0"/>
            </w:pPr>
            <w:r/>
            <w:r>
              <w:rPr>
                <w:rFonts w:ascii="Aptos" w:hAnsi="Aptos"/>
                <w:b/>
                <w:color w:val="17242E"/>
                <w:sz w:val="16"/>
              </w:rPr>
              <w:t>Master Manual and current bragsheet</w:t>
            </w:r>
          </w:p>
        </w:tc>
        <w:tc>
          <w:tcPr>
            <w:tcW w:type="dxa" w:w="6624"/>
            <w:shd w:fill="F3F6F8"/>
            <w:vAlign w:val="center"/>
            <w:tcMar>
              <w:top w:w="70" w:type="dxa"/>
              <w:start w:w="95" w:type="dxa"/>
              <w:bottom w:w="70" w:type="dxa"/>
              <w:end w:w="95" w:type="dxa"/>
            </w:tcMar>
          </w:tcPr>
          <w:p>
            <w:pPr>
              <w:spacing w:after="0"/>
            </w:pPr>
            <w:r/>
            <w:r>
              <w:rPr>
                <w:rFonts w:ascii="Aptos" w:hAnsi="Aptos"/>
                <w:b w:val="0"/>
                <w:color w:val="17242E"/>
                <w:sz w:val="16"/>
              </w:rPr>
              <w:t>Ability to communicate system design, operations, limits, and proof to technical and non-technical reviewers</w:t>
            </w:r>
          </w:p>
        </w:tc>
      </w:tr>
    </w:tbl>
    <w:p>
      <w:pPr>
        <w:spacing w:after="20"/>
      </w:pPr>
    </w:p>
    <w:sectPr w:rsidR="00FC693F" w:rsidRPr="0006063C" w:rsidSect="00034616">
      <w:headerReference w:type="default" r:id="rId9"/>
      <w:footerReference w:type="default" r:id="rId10"/>
      <w:pgSz w:w="12240" w:h="15840"/>
      <w:pgMar w:top="835" w:right="893" w:bottom="835" w:left="893" w:header="317"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4D626E"/>
        <w:sz w:val="16"/>
      </w:rPr>
      <w:t xml:space="preserve">ANGERONA  •  v1.10.1  •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Eyebrow"/>
      <w:jc w:val="right"/>
    </w:pPr>
    <w:r>
      <w:t>ANGERONA  /  CURRENT CAPABILITIES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0" w:lineRule="auto"/>
    </w:pPr>
    <w:rPr>
      <w:rFonts w:ascii="Aptos" w:hAnsi="Aptos"/>
      <w:color w:val="17242E"/>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081B2C"/>
      <w:sz w:val="36"/>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ptos Display" w:hAnsi="Aptos Display"/>
      <w:b/>
      <w:bCs/>
      <w:color w:val="0B6E99"/>
      <w:sz w:val="25"/>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Aptos Display" w:hAnsi="Aptos Display"/>
      <w:b/>
      <w:bCs/>
      <w:color w:val="20B8C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yebrow">
    <w:name w:val="Eyebrow"/>
    <w:pPr>
      <w:spacing w:after="120"/>
    </w:pPr>
    <w:rPr>
      <w:rFonts w:ascii="Aptos" w:hAnsi="Aptos"/>
      <w:b/>
      <w:color w:val="20B8CD"/>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Angerona Capabilities Bragsheet</dc:title>
  <dc:subject>Current capabilities, operating model, use cases, and verification status</dc:subject>
  <dc:creator>Angerona Project</dc:creator>
  <cp:keywords>Angerona, EDR, NDR, SOAR, cybersecurity, defensive security</cp:keywords>
  <dc:description>Current-state document; no release history.</dc:description>
  <cp:lastModifiedBy>Angerona Project</cp:lastModifiedBy>
  <cp:revision>1</cp:revision>
  <dcterms:created xsi:type="dcterms:W3CDTF">2013-12-23T23:15:00Z</dcterms:created>
  <dcterms:modified xsi:type="dcterms:W3CDTF">2013-12-23T23:15:00Z</dcterms:modified>
  <cp:category/>
</cp:coreProperties>
</file>