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with October dashboard responsiveness, default-on adaptive routine scan pacing, and a review of all 87 module source files covering 84 discovered capabilities.</w:t>
            </w:r>
          </w:p>
        </w:tc>
      </w:tr>
    </w:tbl>
    <w:p>
      <w:pPr>
        <w:spacing w:after="40"/>
      </w:pPr>
    </w:p>
    <w:p/>
    <w:p/>
    <w:p>
      <w:pPr>
        <w:jc w:val="center"/>
      </w:pPr>
      <w:r>
        <w:rPr>
          <w:rFonts w:ascii="Calibri" w:hAnsi="Calibri" w:eastAsia="Calibri"/>
          <w:b/>
          <w:color w:val="0B2545"/>
          <w:sz w:val="22"/>
        </w:rPr>
        <w:t>9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October 2026 maintenance. See section 13.3 for local validation; publication and exact-commit CI remain governed by the canonical publisher and GitHub Actions.</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unchanged 84-capability inventory, and analysis/loop/cycle34 evidence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v1.13.0  |  9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v1.13.0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2026-10-09T00:00:00Z</dcterms:modified>
  <cp:category/>
</cp:coreProperties>
</file>