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0412755"/>
        <w:docPartObj>
          <w:docPartGallery w:val="Cover Pages"/>
          <w:docPartUnique/>
        </w:docPartObj>
      </w:sdtPr>
      <w:sdtEndPr>
        <w:rPr>
          <w:rStyle w:val="Strong"/>
          <w:b/>
          <w:bCs/>
        </w:rPr>
      </w:sdtEndPr>
      <w:sdtContent>
        <w:p w:rsidR="004311D2" w:rsidRPr="00B61F90" w:rsidRDefault="000B0F9F" w:rsidP="000B0F9F">
          <w:pPr>
            <w:jc w:val="center"/>
          </w:pPr>
          <w:r w:rsidRPr="00B61F90">
            <w:rPr>
              <w:noProof/>
              <w:lang w:val="it-IT" w:eastAsia="it-IT"/>
            </w:rPr>
            <w:drawing>
              <wp:inline distT="0" distB="0" distL="0" distR="0">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p w:rsidR="000B0F9F" w:rsidRPr="00B61F90" w:rsidRDefault="005C2145" w:rsidP="000B0F9F">
          <w:pPr>
            <w:jc w:val="center"/>
            <w:rPr>
              <w:b/>
              <w:i/>
              <w:sz w:val="44"/>
              <w:szCs w:val="44"/>
            </w:rPr>
          </w:pPr>
          <w:r w:rsidRPr="005C2145">
            <w:rPr>
              <w:b/>
              <w:i/>
              <w:sz w:val="44"/>
              <w:szCs w:val="44"/>
            </w:rPr>
            <w:t>IIeP - Italian I</w:t>
          </w:r>
          <w:r>
            <w:rPr>
              <w:b/>
              <w:i/>
              <w:sz w:val="44"/>
              <w:szCs w:val="44"/>
            </w:rPr>
            <w:t>n</w:t>
          </w:r>
          <w:r w:rsidRPr="005C2145">
            <w:rPr>
              <w:b/>
              <w:i/>
              <w:sz w:val="44"/>
              <w:szCs w:val="44"/>
            </w:rPr>
            <w:t>teroperable eProcurement</w:t>
          </w:r>
        </w:p>
        <w:p w:rsidR="004311D2" w:rsidRPr="00B61F90" w:rsidRDefault="00FB0305" w:rsidP="00F006E9">
          <w:pPr>
            <w:pBdr>
              <w:top w:val="single" w:sz="12" w:space="1" w:color="auto"/>
              <w:bottom w:val="single" w:sz="12" w:space="1" w:color="auto"/>
            </w:pBdr>
            <w:jc w:val="center"/>
            <w:rPr>
              <w:b/>
              <w:sz w:val="48"/>
            </w:rPr>
          </w:pPr>
          <w:r>
            <w:rPr>
              <w:b/>
              <w:sz w:val="48"/>
            </w:rPr>
            <w:t>D3.1</w:t>
          </w:r>
        </w:p>
        <w:sdt>
          <w:sdtPr>
            <w:rPr>
              <w:b/>
              <w:sz w:val="48"/>
            </w:rPr>
            <w:alias w:val="Title"/>
            <w:tag w:val=""/>
            <w:id w:val="663134385"/>
            <w:dataBinding w:prefixMappings="xmlns:ns0='http://purl.org/dc/elements/1.1/' xmlns:ns1='http://schemas.openxmlformats.org/package/2006/metadata/core-properties' " w:xpath="/ns1:coreProperties[1]/ns0:title[1]" w:storeItemID="{6C3C8BC8-F283-45AE-878A-BAB7291924A1}"/>
            <w:text/>
          </w:sdtPr>
          <w:sdtEndPr/>
          <w:sdtContent>
            <w:p w:rsidR="00883E2F" w:rsidRPr="00B61F90" w:rsidRDefault="005C2145" w:rsidP="00F006E9">
              <w:pPr>
                <w:pBdr>
                  <w:top w:val="single" w:sz="12" w:space="1" w:color="auto"/>
                  <w:bottom w:val="single" w:sz="12" w:space="1" w:color="auto"/>
                </w:pBdr>
                <w:jc w:val="center"/>
                <w:rPr>
                  <w:b/>
                  <w:sz w:val="48"/>
                </w:rPr>
              </w:pPr>
              <w:r w:rsidRPr="005C2145">
                <w:rPr>
                  <w:b/>
                  <w:sz w:val="48"/>
                </w:rPr>
                <w:t>eProcurement platform analysis, guideline &amp; design document</w:t>
              </w:r>
            </w:p>
          </w:sdtContent>
        </w:sdt>
        <w:p w:rsidR="004311D2" w:rsidRPr="00B61F90" w:rsidRDefault="004311D2" w:rsidP="00F006E9"/>
        <w:tbl>
          <w:tblPr>
            <w:tblStyle w:val="TableGrid"/>
            <w:tblW w:w="4000" w:type="pct"/>
            <w:jc w:val="center"/>
            <w:tblLook w:val="04A0" w:firstRow="1" w:lastRow="0" w:firstColumn="1" w:lastColumn="0" w:noHBand="0" w:noVBand="1"/>
          </w:tblPr>
          <w:tblGrid>
            <w:gridCol w:w="2547"/>
            <w:gridCol w:w="5155"/>
          </w:tblGrid>
          <w:tr w:rsidR="004311D2" w:rsidRPr="005C2145"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number</w:t>
                </w:r>
              </w:p>
            </w:tc>
            <w:tc>
              <w:tcPr>
                <w:tcW w:w="5155" w:type="dxa"/>
                <w:vAlign w:val="center"/>
              </w:tcPr>
              <w:p w:rsidR="004311D2" w:rsidRPr="005C2145" w:rsidRDefault="00B94704" w:rsidP="003136C0">
                <w:pPr>
                  <w:rPr>
                    <w:lang w:val="en-US"/>
                  </w:rPr>
                </w:pPr>
                <w:r w:rsidRPr="00B94704">
                  <w:rPr>
                    <w:lang w:val="en-US"/>
                  </w:rPr>
                  <w:t>INEA/CEF/ICT/A2016/1170516</w:t>
                </w:r>
              </w:p>
              <w:p w:rsidR="00AC7B37" w:rsidRPr="005C2145" w:rsidRDefault="00B94704" w:rsidP="003136C0">
                <w:pPr>
                  <w:rPr>
                    <w:lang w:val="en-US"/>
                  </w:rPr>
                </w:pPr>
                <w:r w:rsidRPr="00B94704">
                  <w:rPr>
                    <w:lang w:val="en-US"/>
                  </w:rPr>
                  <w:t>2016-IT-IA-0038</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acronym</w:t>
                </w:r>
              </w:p>
            </w:tc>
            <w:tc>
              <w:tcPr>
                <w:tcW w:w="5155" w:type="dxa"/>
                <w:vAlign w:val="center"/>
              </w:tcPr>
              <w:p w:rsidR="004311D2" w:rsidRPr="00B61F90" w:rsidRDefault="00B94704" w:rsidP="003136C0">
                <w:r>
                  <w:t>ESPD</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title</w:t>
                </w:r>
              </w:p>
            </w:tc>
            <w:tc>
              <w:tcPr>
                <w:tcW w:w="5155" w:type="dxa"/>
                <w:vAlign w:val="center"/>
              </w:tcPr>
              <w:p w:rsidR="004311D2" w:rsidRPr="00B61F90" w:rsidRDefault="00B94704" w:rsidP="003136C0">
                <w:r w:rsidRPr="00B94704">
                  <w:t>ESPD Interoperability and Diffusion</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Project duration</w:t>
                </w:r>
              </w:p>
            </w:tc>
            <w:tc>
              <w:tcPr>
                <w:tcW w:w="5155" w:type="dxa"/>
                <w:vAlign w:val="center"/>
              </w:tcPr>
              <w:p w:rsidR="004311D2" w:rsidRPr="00B61F90" w:rsidRDefault="00B94704" w:rsidP="00B94704">
                <w:r>
                  <w:t>13</w:t>
                </w:r>
                <w:r w:rsidR="005547CF" w:rsidRPr="00B61F90">
                  <w:t xml:space="preserve"> </w:t>
                </w:r>
                <w:r>
                  <w:t>months (01/03</w:t>
                </w:r>
                <w:r w:rsidR="001D33E5" w:rsidRPr="00B61F90">
                  <w:t>/</w:t>
                </w:r>
                <w:r w:rsidR="005547CF" w:rsidRPr="00B61F90">
                  <w:t xml:space="preserve">2017 </w:t>
                </w:r>
                <w:r w:rsidR="004311D2" w:rsidRPr="00B61F90">
                  <w:t>– 31/</w:t>
                </w:r>
                <w:r>
                  <w:t>03</w:t>
                </w:r>
                <w:r w:rsidR="004311D2" w:rsidRPr="00B61F90">
                  <w:t>/</w:t>
                </w:r>
                <w:r>
                  <w:t>2018</w:t>
                </w:r>
                <w:r w:rsidR="004311D2" w:rsidRPr="00B61F90">
                  <w:t>)</w:t>
                </w:r>
              </w:p>
            </w:tc>
          </w:tr>
          <w:tr w:rsidR="004311D2" w:rsidRPr="00B61F90" w:rsidTr="00404342">
            <w:trPr>
              <w:trHeight w:val="454"/>
              <w:jc w:val="center"/>
            </w:trPr>
            <w:tc>
              <w:tcPr>
                <w:tcW w:w="2547" w:type="dxa"/>
                <w:tcBorders>
                  <w:bottom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Programme</w:t>
                </w:r>
              </w:p>
            </w:tc>
            <w:tc>
              <w:tcPr>
                <w:tcW w:w="5155" w:type="dxa"/>
                <w:tcBorders>
                  <w:bottom w:val="single" w:sz="2" w:space="0" w:color="auto"/>
                </w:tcBorders>
                <w:vAlign w:val="center"/>
              </w:tcPr>
              <w:p w:rsidR="004311D2" w:rsidRPr="00B61F90" w:rsidRDefault="00325F19" w:rsidP="003136C0">
                <w:r w:rsidRPr="00B61F90">
                  <w:t>Connecting Europe Facility (CEF)</w:t>
                </w:r>
              </w:p>
            </w:tc>
          </w:tr>
          <w:tr w:rsidR="004311D2" w:rsidRPr="00B61F90" w:rsidTr="00404342">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3136C0"/>
            </w:tc>
          </w:tr>
          <w:tr w:rsidR="004311D2" w:rsidRPr="00B61F90" w:rsidTr="00404342">
            <w:trPr>
              <w:trHeight w:val="454"/>
              <w:jc w:val="center"/>
            </w:trPr>
            <w:tc>
              <w:tcPr>
                <w:tcW w:w="2547" w:type="dxa"/>
                <w:tcBorders>
                  <w:top w:val="single" w:sz="2" w:space="0" w:color="auto"/>
                </w:tcBorders>
                <w:shd w:val="clear" w:color="auto" w:fill="D9D9D9" w:themeFill="background1" w:themeFillShade="D9"/>
                <w:vAlign w:val="center"/>
              </w:tcPr>
              <w:p w:rsidR="004311D2" w:rsidRPr="00B61F90" w:rsidRDefault="00883E2F" w:rsidP="00F006E9">
                <w:pPr>
                  <w:jc w:val="right"/>
                  <w:rPr>
                    <w:b/>
                  </w:rPr>
                </w:pPr>
                <w:r w:rsidRPr="00B61F90">
                  <w:rPr>
                    <w:b/>
                  </w:rPr>
                  <w:t>Activity title</w:t>
                </w:r>
              </w:p>
            </w:tc>
            <w:tc>
              <w:tcPr>
                <w:tcW w:w="5155" w:type="dxa"/>
                <w:tcBorders>
                  <w:top w:val="single" w:sz="2" w:space="0" w:color="auto"/>
                </w:tcBorders>
                <w:vAlign w:val="center"/>
              </w:tcPr>
              <w:p w:rsidR="004311D2" w:rsidRPr="00B61F90" w:rsidRDefault="00EF7882" w:rsidP="003136C0">
                <w:r w:rsidRPr="00EF7882">
                  <w:t>eProcurement Platform upgrade</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Deliverable number</w:t>
                </w:r>
              </w:p>
            </w:tc>
            <w:tc>
              <w:tcPr>
                <w:tcW w:w="5155" w:type="dxa"/>
                <w:vAlign w:val="center"/>
              </w:tcPr>
              <w:p w:rsidR="004311D2" w:rsidRPr="00B61F90" w:rsidRDefault="00EF7882" w:rsidP="003136C0">
                <w:r>
                  <w:t>D3</w:t>
                </w:r>
                <w:r w:rsidR="00246994" w:rsidRPr="00B61F90">
                  <w:t>.1</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Version (date)</w:t>
                </w:r>
              </w:p>
            </w:tc>
            <w:tc>
              <w:tcPr>
                <w:tcW w:w="5155" w:type="dxa"/>
                <w:vAlign w:val="center"/>
              </w:tcPr>
              <w:p w:rsidR="004311D2" w:rsidRPr="00B61F90" w:rsidRDefault="000D756F" w:rsidP="00F87927">
                <w:r>
                  <w:fldChar w:fldCharType="begin"/>
                </w:r>
                <w:r>
                  <w:instrText xml:space="preserve"> DOCPROPERTY  "FICEP DocVersion"  \* MERGEFORMAT </w:instrText>
                </w:r>
                <w:r>
                  <w:fldChar w:fldCharType="separate"/>
                </w:r>
                <w:r>
                  <w:fldChar w:fldCharType="end"/>
                </w:r>
                <w:r w:rsidR="00F87927">
                  <w:t xml:space="preserve">0.0.1 </w:t>
                </w:r>
                <w:r w:rsidR="00883E2F" w:rsidRPr="00B61F90">
                  <w:t>(</w:t>
                </w:r>
                <w:r w:rsidR="00DF60C5" w:rsidRPr="00B61F90">
                  <w:fldChar w:fldCharType="begin"/>
                </w:r>
                <w:r w:rsidR="00883E2F" w:rsidRPr="00B61F90">
                  <w:instrText xml:space="preserve"> DATE  \@ "dd/MM/yyyy"  \* MERGEFORMAT </w:instrText>
                </w:r>
                <w:r w:rsidR="00DF60C5" w:rsidRPr="00B61F90">
                  <w:fldChar w:fldCharType="separate"/>
                </w:r>
                <w:r w:rsidR="00911289">
                  <w:rPr>
                    <w:noProof/>
                  </w:rPr>
                  <w:t>31/07/2017</w:t>
                </w:r>
                <w:r w:rsidR="00DF60C5" w:rsidRPr="00B61F90">
                  <w:fldChar w:fldCharType="end"/>
                </w:r>
                <w:r w:rsidR="00883E2F" w:rsidRPr="00B61F90">
                  <w:t>)</w:t>
                </w:r>
              </w:p>
            </w:tc>
          </w:tr>
          <w:tr w:rsidR="004311D2" w:rsidRPr="00B61F90" w:rsidTr="00404342">
            <w:trPr>
              <w:trHeight w:val="454"/>
              <w:jc w:val="center"/>
            </w:trPr>
            <w:tc>
              <w:tcPr>
                <w:tcW w:w="2547" w:type="dxa"/>
                <w:tcBorders>
                  <w:bottom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Due date</w:t>
                </w:r>
              </w:p>
            </w:tc>
            <w:tc>
              <w:tcPr>
                <w:tcW w:w="5155" w:type="dxa"/>
                <w:tcBorders>
                  <w:bottom w:val="single" w:sz="2" w:space="0" w:color="auto"/>
                </w:tcBorders>
                <w:vAlign w:val="center"/>
              </w:tcPr>
              <w:p w:rsidR="004311D2" w:rsidRPr="00B61F90" w:rsidRDefault="00730277" w:rsidP="003136C0">
                <w:r>
                  <w:t>30/06</w:t>
                </w:r>
                <w:r w:rsidR="00246994" w:rsidRPr="00B61F90">
                  <w:t>/2017</w:t>
                </w:r>
              </w:p>
            </w:tc>
          </w:tr>
          <w:tr w:rsidR="004311D2" w:rsidRPr="00B61F90" w:rsidTr="00404342">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rsidR="004311D2" w:rsidRPr="00B61F90" w:rsidRDefault="004311D2" w:rsidP="003136C0"/>
            </w:tc>
          </w:tr>
          <w:tr w:rsidR="004311D2" w:rsidRPr="00B61F90" w:rsidTr="00404342">
            <w:trPr>
              <w:trHeight w:val="454"/>
              <w:jc w:val="center"/>
            </w:trPr>
            <w:tc>
              <w:tcPr>
                <w:tcW w:w="2547" w:type="dxa"/>
                <w:tcBorders>
                  <w:top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Responsible organisation</w:t>
                </w:r>
              </w:p>
            </w:tc>
            <w:tc>
              <w:tcPr>
                <w:tcW w:w="5155" w:type="dxa"/>
                <w:tcBorders>
                  <w:top w:val="single" w:sz="2" w:space="0" w:color="auto"/>
                </w:tcBorders>
                <w:vAlign w:val="center"/>
              </w:tcPr>
              <w:p w:rsidR="004311D2" w:rsidRPr="00B61F90" w:rsidRDefault="00C5323D" w:rsidP="003136C0">
                <w:r>
                  <w:t>Intercent-ER</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Editor</w:t>
                </w:r>
              </w:p>
            </w:tc>
            <w:tc>
              <w:tcPr>
                <w:tcW w:w="5155" w:type="dxa"/>
                <w:vAlign w:val="center"/>
              </w:tcPr>
              <w:p w:rsidR="004311D2" w:rsidRPr="00B61F90" w:rsidRDefault="00C5323D" w:rsidP="003136C0">
                <w:r>
                  <w:t>Intercent-ER</w:t>
                </w:r>
              </w:p>
            </w:tc>
          </w:tr>
          <w:tr w:rsidR="004311D2" w:rsidRPr="00B61F90" w:rsidTr="00404342">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rsidR="004311D2" w:rsidRPr="00B61F90" w:rsidRDefault="004311D2" w:rsidP="003136C0"/>
            </w:tc>
          </w:tr>
          <w:tr w:rsidR="004311D2" w:rsidRPr="00B61F90" w:rsidTr="00404342">
            <w:trPr>
              <w:trHeight w:val="454"/>
              <w:jc w:val="center"/>
            </w:trPr>
            <w:tc>
              <w:tcPr>
                <w:tcW w:w="2547" w:type="dxa"/>
                <w:tcBorders>
                  <w:top w:val="single" w:sz="2" w:space="0" w:color="auto"/>
                </w:tcBorders>
                <w:shd w:val="clear" w:color="auto" w:fill="D9D9D9" w:themeFill="background1" w:themeFillShade="D9"/>
                <w:vAlign w:val="center"/>
              </w:tcPr>
              <w:p w:rsidR="004311D2" w:rsidRPr="00B61F90" w:rsidRDefault="004311D2" w:rsidP="00F006E9">
                <w:pPr>
                  <w:jc w:val="right"/>
                  <w:rPr>
                    <w:b/>
                  </w:rPr>
                </w:pPr>
                <w:r w:rsidRPr="00B61F90">
                  <w:rPr>
                    <w:b/>
                  </w:rPr>
                  <w:t>Abstract</w:t>
                </w:r>
              </w:p>
            </w:tc>
            <w:tc>
              <w:tcPr>
                <w:tcW w:w="5155" w:type="dxa"/>
                <w:tcBorders>
                  <w:top w:val="single" w:sz="2" w:space="0" w:color="auto"/>
                </w:tcBorders>
                <w:vAlign w:val="center"/>
              </w:tcPr>
              <w:p w:rsidR="004311D2" w:rsidRPr="00B61F90" w:rsidRDefault="00AC7B37" w:rsidP="00552740">
                <w:r w:rsidRPr="00B61F90">
                  <w:t xml:space="preserve">This deliverable </w:t>
                </w:r>
                <w:r w:rsidR="00E005D3">
                  <w:t xml:space="preserve">provides functional and technical details </w:t>
                </w:r>
                <w:r w:rsidR="004A5C0B">
                  <w:t>related to</w:t>
                </w:r>
                <w:r w:rsidR="00E005D3">
                  <w:t xml:space="preserve"> the </w:t>
                </w:r>
                <w:r w:rsidR="004A5C0B">
                  <w:t>implementation of the ESPD in</w:t>
                </w:r>
                <w:r w:rsidR="00730277">
                  <w:t xml:space="preserve"> the eProcurement platform run by Intercent-ER (SATER - </w:t>
                </w:r>
                <w:r w:rsidR="00730277" w:rsidRPr="00730277">
                  <w:rPr>
                    <w:i/>
                  </w:rPr>
                  <w:t>Sistema Acquisti Telematici Emilia-Romagna</w:t>
                </w:r>
                <w:r w:rsidR="004A5C0B">
                  <w:t xml:space="preserve">). The target model </w:t>
                </w:r>
                <w:r w:rsidR="00552740">
                  <w:t>is designed to allow</w:t>
                </w:r>
                <w:r w:rsidR="004A5C0B">
                  <w:t xml:space="preserve"> the end user to create an ESPD request compliant with </w:t>
                </w:r>
                <w:r w:rsidR="00552740">
                  <w:t xml:space="preserve">the ESPD standard form regulated by the European Commission, </w:t>
                </w:r>
                <w:r w:rsidR="004A5C0B">
                  <w:t>pre-fill the ESPD response w</w:t>
                </w:r>
                <w:r w:rsidR="00552740">
                  <w:t>ith data stored in the platform and</w:t>
                </w:r>
                <w:r w:rsidR="004A5C0B">
                  <w:t xml:space="preserve"> download or upload an ESPD request / </w:t>
                </w:r>
                <w:r w:rsidR="00552740">
                  <w:t>response</w:t>
                </w:r>
              </w:p>
            </w:tc>
          </w:tr>
          <w:tr w:rsidR="004311D2" w:rsidRPr="00B61F90" w:rsidTr="00404342">
            <w:trPr>
              <w:trHeight w:val="454"/>
              <w:jc w:val="center"/>
            </w:trPr>
            <w:tc>
              <w:tcPr>
                <w:tcW w:w="2547" w:type="dxa"/>
                <w:shd w:val="clear" w:color="auto" w:fill="D9D9D9" w:themeFill="background1" w:themeFillShade="D9"/>
                <w:vAlign w:val="center"/>
              </w:tcPr>
              <w:p w:rsidR="004311D2" w:rsidRPr="00B61F90" w:rsidRDefault="004311D2" w:rsidP="00F006E9">
                <w:pPr>
                  <w:jc w:val="right"/>
                  <w:rPr>
                    <w:b/>
                  </w:rPr>
                </w:pPr>
                <w:r w:rsidRPr="00B61F90">
                  <w:rPr>
                    <w:b/>
                  </w:rPr>
                  <w:t>Keywords</w:t>
                </w:r>
              </w:p>
            </w:tc>
            <w:tc>
              <w:tcPr>
                <w:tcW w:w="5155" w:type="dxa"/>
                <w:vAlign w:val="center"/>
              </w:tcPr>
              <w:p w:rsidR="004311D2" w:rsidRPr="00B61F90" w:rsidRDefault="00AC7B37" w:rsidP="00C5323D">
                <w:r w:rsidRPr="00B61F90">
                  <w:t xml:space="preserve">Gap Analysis, </w:t>
                </w:r>
                <w:r w:rsidR="00C5323D">
                  <w:t>selection criteria</w:t>
                </w:r>
                <w:r w:rsidRPr="00B61F90">
                  <w:t xml:space="preserve">, </w:t>
                </w:r>
                <w:r w:rsidR="00C5323D">
                  <w:t>exclusion grounds, ESPD</w:t>
                </w:r>
                <w:r w:rsidR="00552740">
                  <w:t xml:space="preserve"> r</w:t>
                </w:r>
                <w:r w:rsidR="004A5C0B">
                  <w:t>equest, ES</w:t>
                </w:r>
                <w:r w:rsidR="00552740">
                  <w:t>PD r</w:t>
                </w:r>
                <w:r w:rsidR="004A5C0B">
                  <w:t>esponse</w:t>
                </w:r>
                <w:r w:rsidR="00C5323D">
                  <w:t>, strict / national criteria</w:t>
                </w:r>
              </w:p>
            </w:tc>
          </w:tr>
        </w:tbl>
        <w:p w:rsidR="004311D2" w:rsidRPr="00B61F90" w:rsidRDefault="000D756F">
          <w:pPr>
            <w:jc w:val="left"/>
            <w:rPr>
              <w:rStyle w:val="Strong"/>
              <w:bCs w:val="0"/>
              <w:sz w:val="32"/>
            </w:rPr>
          </w:pPr>
        </w:p>
      </w:sdtContent>
    </w:sdt>
    <w:p w:rsidR="00B23D9A" w:rsidRPr="00B61F90" w:rsidRDefault="00B23D9A" w:rsidP="00B23D9A">
      <w:pPr>
        <w:rPr>
          <w:rStyle w:val="Strong"/>
        </w:rPr>
      </w:pPr>
      <w:r w:rsidRPr="00B61F90">
        <w:rPr>
          <w:rStyle w:val="Strong"/>
        </w:rPr>
        <w:t>Editor</w:t>
      </w:r>
    </w:p>
    <w:p w:rsidR="00504B71" w:rsidRPr="00B61F90" w:rsidRDefault="00F83423" w:rsidP="00504B71">
      <w:r>
        <w:t>Intercent-ER</w:t>
      </w:r>
    </w:p>
    <w:p w:rsidR="00B23D9A" w:rsidRPr="00B61F90" w:rsidRDefault="00B23D9A" w:rsidP="00B23D9A">
      <w:pPr>
        <w:rPr>
          <w:rStyle w:val="Strong"/>
        </w:rPr>
      </w:pPr>
      <w:r w:rsidRPr="00B61F90">
        <w:rPr>
          <w:rStyle w:val="Strong"/>
        </w:rPr>
        <w:t>Reviewers</w:t>
      </w:r>
    </w:p>
    <w:p w:rsidR="00B23D9A" w:rsidRPr="00B61F90" w:rsidRDefault="00F83423" w:rsidP="00B23D9A">
      <w:r>
        <w:t>Intercent-ER</w:t>
      </w:r>
    </w:p>
    <w:p w:rsidR="00B23D9A" w:rsidRPr="00B61F90" w:rsidRDefault="00B23D9A" w:rsidP="00B23D9A">
      <w:pPr>
        <w:rPr>
          <w:rStyle w:val="Strong"/>
        </w:rPr>
      </w:pPr>
    </w:p>
    <w:p w:rsidR="00B23D9A" w:rsidRPr="00B61F90" w:rsidRDefault="00B23D9A" w:rsidP="00B23D9A">
      <w:pPr>
        <w:rPr>
          <w:rStyle w:val="Strong"/>
        </w:rPr>
      </w:pPr>
      <w:r w:rsidRPr="00B61F90">
        <w:rPr>
          <w:rStyle w:val="Strong"/>
        </w:rPr>
        <w:t>Contributors</w:t>
      </w:r>
    </w:p>
    <w:p w:rsidR="003437E9" w:rsidRPr="00B61F90" w:rsidRDefault="003437E9" w:rsidP="00B23D9A">
      <w:r w:rsidRPr="00B61F90">
        <w:t>AgiD</w:t>
      </w:r>
    </w:p>
    <w:p w:rsidR="003437E9" w:rsidRPr="00B61F90" w:rsidRDefault="003437E9" w:rsidP="00B23D9A"/>
    <w:p w:rsidR="001D674C" w:rsidRPr="00B61F90" w:rsidRDefault="001D674C" w:rsidP="00B23D9A"/>
    <w:p w:rsidR="003437E9" w:rsidRPr="00B61F90" w:rsidRDefault="003437E9" w:rsidP="00B23D9A"/>
    <w:p w:rsidR="003437E9" w:rsidRPr="00B61F90" w:rsidRDefault="003437E9" w:rsidP="00B23D9A"/>
    <w:p w:rsidR="003437E9" w:rsidRDefault="003437E9" w:rsidP="00B23D9A"/>
    <w:p w:rsidR="00F83423" w:rsidRPr="00B61F90" w:rsidRDefault="00F83423" w:rsidP="00B23D9A"/>
    <w:p w:rsidR="001D674C" w:rsidRPr="00B61F90" w:rsidRDefault="001D674C" w:rsidP="00B23D9A"/>
    <w:p w:rsidR="001D674C" w:rsidRPr="00B61F90" w:rsidRDefault="001D674C" w:rsidP="00B23D9A"/>
    <w:p w:rsidR="001D674C" w:rsidRPr="00B61F90" w:rsidRDefault="001D674C" w:rsidP="00B23D9A"/>
    <w:p w:rsidR="001D674C" w:rsidRPr="00B61F90" w:rsidRDefault="001D674C" w:rsidP="00B23D9A"/>
    <w:p w:rsidR="001D674C" w:rsidRPr="00B61F90" w:rsidRDefault="001D674C" w:rsidP="00B23D9A"/>
    <w:p w:rsidR="00883E2F" w:rsidRPr="00B61F90" w:rsidRDefault="00883E2F" w:rsidP="00883E2F">
      <w:pPr>
        <w:rPr>
          <w:rStyle w:val="Strong"/>
        </w:rPr>
      </w:pPr>
    </w:p>
    <w:p w:rsidR="00883E2F" w:rsidRPr="00B61F90" w:rsidRDefault="00883E2F" w:rsidP="00883E2F">
      <w:pPr>
        <w:rPr>
          <w:rStyle w:val="Strong"/>
        </w:rPr>
      </w:pPr>
    </w:p>
    <w:p w:rsidR="00883E2F" w:rsidRPr="00B61F90" w:rsidRDefault="00883E2F" w:rsidP="00883E2F">
      <w:pPr>
        <w:rPr>
          <w:rStyle w:val="Strong"/>
        </w:rPr>
      </w:pPr>
      <w:r w:rsidRPr="00B61F90">
        <w:rPr>
          <w:rStyle w:val="Strong"/>
        </w:rPr>
        <w:t>Acknowledgement</w:t>
      </w:r>
    </w:p>
    <w:p w:rsidR="00883E2F" w:rsidRPr="00B61F90" w:rsidRDefault="00552740" w:rsidP="00883E2F">
      <w:r w:rsidRPr="00B61F90">
        <w:t xml:space="preserve">This work was partially supported by the European Commission (EC) through the Connecting Europe Facility (CEF) programme under project </w:t>
      </w:r>
      <w:r>
        <w:t>ESPD (grant agreement no.</w:t>
      </w:r>
      <w:r w:rsidRPr="00C423CB">
        <w:t xml:space="preserve"> INEA/CEF/ICT/A2016/1170516</w:t>
      </w:r>
      <w:r w:rsidRPr="00B61F90">
        <w:t>).</w:t>
      </w:r>
    </w:p>
    <w:p w:rsidR="00883E2F" w:rsidRPr="00B61F90" w:rsidRDefault="00883E2F" w:rsidP="00883E2F">
      <w:pPr>
        <w:rPr>
          <w:rStyle w:val="Strong"/>
        </w:rPr>
      </w:pPr>
      <w:r w:rsidRPr="00B61F90">
        <w:rPr>
          <w:rStyle w:val="Strong"/>
        </w:rPr>
        <w:t>Disclaimer</w:t>
      </w:r>
    </w:p>
    <w:p w:rsidR="00883E2F" w:rsidRPr="00B61F90" w:rsidRDefault="00883E2F" w:rsidP="00883E2F">
      <w:r w:rsidRPr="00B61F90">
        <w:t>The sole responsibility of this publication lies with the author. The European Union is not responsible for any use that may be made of the information contained therein.</w:t>
      </w:r>
    </w:p>
    <w:p w:rsidR="00883E2F" w:rsidRPr="00B61F90" w:rsidRDefault="00883E2F" w:rsidP="00883E2F">
      <w:pPr>
        <w:rPr>
          <w:rStyle w:val="Strong"/>
        </w:rPr>
      </w:pPr>
      <w:r w:rsidRPr="00B61F90">
        <w:rPr>
          <w:rStyle w:val="Strong"/>
        </w:rPr>
        <w:t>Confidentiality</w:t>
      </w:r>
    </w:p>
    <w:p w:rsidR="00B23D9A" w:rsidRPr="00B61F90" w:rsidRDefault="00883E2F" w:rsidP="00883E2F">
      <w:pPr>
        <w:rPr>
          <w:rStyle w:val="Strong"/>
          <w:b w:val="0"/>
          <w:bCs w:val="0"/>
        </w:rPr>
      </w:pPr>
      <w:r w:rsidRPr="00B61F90">
        <w:t xml:space="preserve">The information in this document is confidential and restricted only to the members of the </w:t>
      </w:r>
      <w:r w:rsidR="00F83423">
        <w:t>IIeP</w:t>
      </w:r>
      <w:r w:rsidRPr="00B61F90">
        <w:t xml:space="preserve"> consortium (including the Commission Services).</w:t>
      </w:r>
      <w:r w:rsidR="00B23D9A" w:rsidRPr="00B61F90">
        <w:rPr>
          <w:rStyle w:val="Strong"/>
        </w:rPr>
        <w:br w:type="page"/>
      </w:r>
    </w:p>
    <w:p w:rsidR="00A96A72" w:rsidRPr="00B61F90" w:rsidRDefault="001D674C" w:rsidP="00ED3E8C">
      <w:pPr>
        <w:rPr>
          <w:b/>
          <w:sz w:val="32"/>
        </w:rPr>
      </w:pPr>
      <w:r w:rsidRPr="00B61F90">
        <w:rPr>
          <w:b/>
          <w:sz w:val="32"/>
        </w:rPr>
        <w:lastRenderedPageBreak/>
        <w:t>Change Log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33"/>
        <w:gridCol w:w="1910"/>
        <w:gridCol w:w="1939"/>
        <w:gridCol w:w="1932"/>
      </w:tblGrid>
      <w:tr w:rsidR="0013683D" w:rsidRPr="00B61F90" w:rsidTr="00504B71">
        <w:trPr>
          <w:trHeight w:val="567"/>
          <w:jc w:val="center"/>
        </w:trPr>
        <w:tc>
          <w:tcPr>
            <w:tcW w:w="1971" w:type="dxa"/>
            <w:shd w:val="clear" w:color="auto" w:fill="D9D9D9" w:themeFill="background1" w:themeFillShade="D9"/>
            <w:vAlign w:val="center"/>
          </w:tcPr>
          <w:p w:rsidR="0013683D" w:rsidRPr="00B61F90" w:rsidRDefault="0013683D" w:rsidP="00ED3E8C">
            <w:pPr>
              <w:pStyle w:val="NoSpacing"/>
              <w:jc w:val="center"/>
              <w:rPr>
                <w:b/>
                <w:lang w:val="en-GB"/>
              </w:rPr>
            </w:pPr>
            <w:r w:rsidRPr="00B61F90">
              <w:rPr>
                <w:b/>
                <w:lang w:val="en-GB"/>
              </w:rPr>
              <w:t>Version</w:t>
            </w:r>
          </w:p>
        </w:tc>
        <w:tc>
          <w:tcPr>
            <w:tcW w:w="1970" w:type="dxa"/>
            <w:shd w:val="clear" w:color="auto" w:fill="D9D9D9" w:themeFill="background1" w:themeFillShade="D9"/>
            <w:vAlign w:val="center"/>
          </w:tcPr>
          <w:p w:rsidR="0013683D" w:rsidRPr="00B61F90" w:rsidRDefault="0013683D" w:rsidP="00ED3E8C">
            <w:pPr>
              <w:pStyle w:val="NoSpacing"/>
              <w:jc w:val="center"/>
              <w:rPr>
                <w:b/>
                <w:lang w:val="en-GB"/>
              </w:rPr>
            </w:pPr>
            <w:r w:rsidRPr="00B61F90">
              <w:rPr>
                <w:b/>
                <w:lang w:val="en-GB"/>
              </w:rPr>
              <w:t>Date</w:t>
            </w:r>
          </w:p>
        </w:tc>
        <w:tc>
          <w:tcPr>
            <w:tcW w:w="1971" w:type="dxa"/>
            <w:shd w:val="clear" w:color="auto" w:fill="D9D9D9" w:themeFill="background1" w:themeFillShade="D9"/>
            <w:vAlign w:val="center"/>
          </w:tcPr>
          <w:p w:rsidR="0013683D" w:rsidRPr="00B61F90" w:rsidRDefault="0013683D" w:rsidP="00ED3E8C">
            <w:pPr>
              <w:pStyle w:val="NoSpacing"/>
              <w:jc w:val="center"/>
              <w:rPr>
                <w:b/>
                <w:lang w:val="en-GB"/>
              </w:rPr>
            </w:pPr>
            <w:r w:rsidRPr="00B61F90">
              <w:rPr>
                <w:b/>
                <w:lang w:val="en-GB"/>
              </w:rPr>
              <w:t>Author</w:t>
            </w:r>
          </w:p>
        </w:tc>
        <w:tc>
          <w:tcPr>
            <w:tcW w:w="1971" w:type="dxa"/>
            <w:shd w:val="clear" w:color="auto" w:fill="D9D9D9" w:themeFill="background1" w:themeFillShade="D9"/>
            <w:vAlign w:val="center"/>
          </w:tcPr>
          <w:p w:rsidR="0013683D" w:rsidRPr="00B61F90" w:rsidRDefault="0013683D" w:rsidP="00ED3E8C">
            <w:pPr>
              <w:pStyle w:val="NoSpacing"/>
              <w:jc w:val="center"/>
              <w:rPr>
                <w:b/>
                <w:lang w:val="en-GB"/>
              </w:rPr>
            </w:pPr>
            <w:r w:rsidRPr="00B61F90">
              <w:rPr>
                <w:b/>
                <w:lang w:val="en-GB"/>
              </w:rPr>
              <w:t>Organisation</w:t>
            </w:r>
          </w:p>
        </w:tc>
        <w:tc>
          <w:tcPr>
            <w:tcW w:w="1971" w:type="dxa"/>
            <w:shd w:val="clear" w:color="auto" w:fill="D9D9D9" w:themeFill="background1" w:themeFillShade="D9"/>
            <w:vAlign w:val="center"/>
          </w:tcPr>
          <w:p w:rsidR="0013683D" w:rsidRPr="00B61F90" w:rsidRDefault="0013683D" w:rsidP="00ED3E8C">
            <w:pPr>
              <w:pStyle w:val="NoSpacing"/>
              <w:rPr>
                <w:b/>
                <w:lang w:val="en-GB"/>
              </w:rPr>
            </w:pPr>
            <w:r w:rsidRPr="00B61F90">
              <w:rPr>
                <w:b/>
                <w:lang w:val="en-GB"/>
              </w:rPr>
              <w:t>Description</w:t>
            </w:r>
          </w:p>
        </w:tc>
      </w:tr>
      <w:tr w:rsidR="0013683D" w:rsidRPr="00B61F90" w:rsidTr="00504B71">
        <w:trPr>
          <w:trHeight w:val="567"/>
          <w:jc w:val="center"/>
        </w:trPr>
        <w:tc>
          <w:tcPr>
            <w:tcW w:w="1971" w:type="dxa"/>
            <w:vAlign w:val="center"/>
          </w:tcPr>
          <w:p w:rsidR="0013683D" w:rsidRPr="00B61F90" w:rsidRDefault="00ED3E8C" w:rsidP="00246994">
            <w:pPr>
              <w:pStyle w:val="NoSpacing"/>
              <w:jc w:val="center"/>
              <w:rPr>
                <w:lang w:val="en-GB"/>
              </w:rPr>
            </w:pPr>
            <w:r w:rsidRPr="00B61F90">
              <w:rPr>
                <w:lang w:val="en-GB"/>
              </w:rPr>
              <w:t>0.</w:t>
            </w:r>
            <w:r w:rsidR="00246994" w:rsidRPr="00B61F90">
              <w:rPr>
                <w:lang w:val="en-GB"/>
              </w:rPr>
              <w:t>0.1</w:t>
            </w:r>
          </w:p>
        </w:tc>
        <w:tc>
          <w:tcPr>
            <w:tcW w:w="1970" w:type="dxa"/>
            <w:vAlign w:val="center"/>
          </w:tcPr>
          <w:p w:rsidR="0013683D" w:rsidRPr="00B61F90" w:rsidRDefault="00F83423" w:rsidP="00552740">
            <w:pPr>
              <w:pStyle w:val="NoSpacing"/>
              <w:jc w:val="center"/>
              <w:rPr>
                <w:lang w:val="en-GB"/>
              </w:rPr>
            </w:pPr>
            <w:r>
              <w:rPr>
                <w:lang w:val="en-GB"/>
              </w:rPr>
              <w:t>2</w:t>
            </w:r>
            <w:r w:rsidR="00552740">
              <w:rPr>
                <w:lang w:val="en-GB"/>
              </w:rPr>
              <w:t>7</w:t>
            </w:r>
            <w:r>
              <w:rPr>
                <w:lang w:val="en-GB"/>
              </w:rPr>
              <w:t>/07</w:t>
            </w:r>
            <w:r w:rsidR="00246994" w:rsidRPr="00B61F90">
              <w:rPr>
                <w:lang w:val="en-GB"/>
              </w:rPr>
              <w:t>/2017</w:t>
            </w:r>
          </w:p>
        </w:tc>
        <w:tc>
          <w:tcPr>
            <w:tcW w:w="1971" w:type="dxa"/>
            <w:vAlign w:val="center"/>
          </w:tcPr>
          <w:p w:rsidR="0013683D" w:rsidRPr="00B61F90" w:rsidRDefault="00550A35" w:rsidP="00ED3E8C">
            <w:pPr>
              <w:pStyle w:val="NoSpacing"/>
              <w:jc w:val="center"/>
              <w:rPr>
                <w:lang w:val="en-GB"/>
              </w:rPr>
            </w:pPr>
            <w:r w:rsidRPr="00B61F90">
              <w:rPr>
                <w:lang w:val="en-GB"/>
              </w:rPr>
              <w:t>-</w:t>
            </w:r>
          </w:p>
        </w:tc>
        <w:tc>
          <w:tcPr>
            <w:tcW w:w="1971" w:type="dxa"/>
            <w:vAlign w:val="center"/>
          </w:tcPr>
          <w:p w:rsidR="0013683D" w:rsidRPr="00B61F90" w:rsidRDefault="003437E9" w:rsidP="00F83423">
            <w:pPr>
              <w:pStyle w:val="NoSpacing"/>
              <w:jc w:val="center"/>
              <w:rPr>
                <w:lang w:val="en-GB"/>
              </w:rPr>
            </w:pPr>
            <w:r w:rsidRPr="00B61F90">
              <w:rPr>
                <w:lang w:val="en-GB"/>
              </w:rPr>
              <w:t>In</w:t>
            </w:r>
            <w:r w:rsidR="00F83423">
              <w:rPr>
                <w:lang w:val="en-GB"/>
              </w:rPr>
              <w:t>tercent-ER</w:t>
            </w:r>
          </w:p>
        </w:tc>
        <w:tc>
          <w:tcPr>
            <w:tcW w:w="1971" w:type="dxa"/>
            <w:vAlign w:val="center"/>
          </w:tcPr>
          <w:p w:rsidR="0013683D" w:rsidRPr="00B61F90" w:rsidRDefault="00550A35" w:rsidP="00246994">
            <w:pPr>
              <w:pStyle w:val="NoSpacing"/>
              <w:rPr>
                <w:lang w:val="en-GB"/>
              </w:rPr>
            </w:pPr>
            <w:r w:rsidRPr="00B61F90">
              <w:rPr>
                <w:lang w:val="en-GB"/>
              </w:rPr>
              <w:t xml:space="preserve">First </w:t>
            </w:r>
            <w:r w:rsidR="00246994" w:rsidRPr="00B61F90">
              <w:rPr>
                <w:lang w:val="en-GB"/>
              </w:rPr>
              <w:t>release</w:t>
            </w:r>
          </w:p>
        </w:tc>
      </w:tr>
      <w:tr w:rsidR="00504B71" w:rsidRPr="00B61F90" w:rsidTr="00504B71">
        <w:trPr>
          <w:trHeight w:val="567"/>
          <w:jc w:val="center"/>
        </w:trPr>
        <w:tc>
          <w:tcPr>
            <w:tcW w:w="1971" w:type="dxa"/>
            <w:vAlign w:val="center"/>
          </w:tcPr>
          <w:p w:rsidR="00504B71" w:rsidRPr="00B61F90" w:rsidRDefault="00504B71" w:rsidP="00373FC7">
            <w:pPr>
              <w:pStyle w:val="NoSpacing"/>
              <w:jc w:val="center"/>
              <w:rPr>
                <w:lang w:val="en-GB"/>
              </w:rPr>
            </w:pPr>
          </w:p>
        </w:tc>
        <w:tc>
          <w:tcPr>
            <w:tcW w:w="1970" w:type="dxa"/>
            <w:vAlign w:val="center"/>
          </w:tcPr>
          <w:p w:rsidR="00504B71" w:rsidRPr="00B61F90" w:rsidRDefault="00504B71" w:rsidP="00373FC7">
            <w:pPr>
              <w:pStyle w:val="NoSpacing"/>
              <w:jc w:val="center"/>
              <w:rPr>
                <w:lang w:val="en-GB"/>
              </w:rPr>
            </w:pPr>
          </w:p>
        </w:tc>
        <w:tc>
          <w:tcPr>
            <w:tcW w:w="1971" w:type="dxa"/>
            <w:vAlign w:val="center"/>
          </w:tcPr>
          <w:p w:rsidR="00504B71" w:rsidRPr="00B61F90" w:rsidRDefault="00504B71" w:rsidP="00373FC7">
            <w:pPr>
              <w:pStyle w:val="NoSpacing"/>
              <w:jc w:val="center"/>
              <w:rPr>
                <w:lang w:val="en-GB"/>
              </w:rPr>
            </w:pPr>
          </w:p>
        </w:tc>
        <w:tc>
          <w:tcPr>
            <w:tcW w:w="1971" w:type="dxa"/>
            <w:vAlign w:val="center"/>
          </w:tcPr>
          <w:p w:rsidR="00504B71" w:rsidRPr="00B61F90" w:rsidRDefault="00504B71" w:rsidP="00373FC7">
            <w:pPr>
              <w:pStyle w:val="NoSpacing"/>
              <w:jc w:val="center"/>
              <w:rPr>
                <w:lang w:val="en-GB"/>
              </w:rPr>
            </w:pPr>
          </w:p>
        </w:tc>
        <w:tc>
          <w:tcPr>
            <w:tcW w:w="1971" w:type="dxa"/>
            <w:vAlign w:val="center"/>
          </w:tcPr>
          <w:p w:rsidR="00504B71" w:rsidRPr="00B61F90" w:rsidRDefault="00504B71" w:rsidP="00373FC7">
            <w:pPr>
              <w:pStyle w:val="NoSpacing"/>
              <w:rPr>
                <w:lang w:val="en-GB"/>
              </w:rPr>
            </w:pPr>
          </w:p>
        </w:tc>
      </w:tr>
      <w:tr w:rsidR="00504B71" w:rsidRPr="00B61F90" w:rsidTr="00504B71">
        <w:trPr>
          <w:trHeight w:val="567"/>
          <w:jc w:val="center"/>
        </w:trPr>
        <w:tc>
          <w:tcPr>
            <w:tcW w:w="1971" w:type="dxa"/>
            <w:vAlign w:val="center"/>
          </w:tcPr>
          <w:p w:rsidR="00504B71" w:rsidRPr="00B61F90" w:rsidRDefault="00504B71" w:rsidP="00ED3E8C">
            <w:pPr>
              <w:pStyle w:val="NoSpacing"/>
              <w:jc w:val="center"/>
              <w:rPr>
                <w:lang w:val="en-GB"/>
              </w:rPr>
            </w:pPr>
          </w:p>
        </w:tc>
        <w:tc>
          <w:tcPr>
            <w:tcW w:w="1970" w:type="dxa"/>
            <w:vAlign w:val="center"/>
          </w:tcPr>
          <w:p w:rsidR="00504B71" w:rsidRPr="00B61F90" w:rsidRDefault="00504B71" w:rsidP="00ED3E8C">
            <w:pPr>
              <w:pStyle w:val="NoSpacing"/>
              <w:jc w:val="center"/>
              <w:rPr>
                <w:lang w:val="en-GB"/>
              </w:rPr>
            </w:pPr>
          </w:p>
        </w:tc>
        <w:tc>
          <w:tcPr>
            <w:tcW w:w="1971" w:type="dxa"/>
            <w:vAlign w:val="center"/>
          </w:tcPr>
          <w:p w:rsidR="00504B71" w:rsidRPr="00B61F90" w:rsidRDefault="00504B71" w:rsidP="00373FC7">
            <w:pPr>
              <w:pStyle w:val="NoSpacing"/>
              <w:jc w:val="center"/>
              <w:rPr>
                <w:lang w:val="en-GB"/>
              </w:rPr>
            </w:pPr>
          </w:p>
        </w:tc>
        <w:tc>
          <w:tcPr>
            <w:tcW w:w="1971" w:type="dxa"/>
            <w:vAlign w:val="center"/>
          </w:tcPr>
          <w:p w:rsidR="00504B71" w:rsidRPr="00B61F90" w:rsidRDefault="00504B71" w:rsidP="00373FC7">
            <w:pPr>
              <w:pStyle w:val="NoSpacing"/>
              <w:jc w:val="center"/>
              <w:rPr>
                <w:lang w:val="en-GB"/>
              </w:rPr>
            </w:pPr>
          </w:p>
        </w:tc>
        <w:tc>
          <w:tcPr>
            <w:tcW w:w="1971" w:type="dxa"/>
            <w:vAlign w:val="center"/>
          </w:tcPr>
          <w:p w:rsidR="00504B71" w:rsidRPr="00B61F90" w:rsidRDefault="00504B71" w:rsidP="00373FC7">
            <w:pPr>
              <w:pStyle w:val="NoSpacing"/>
              <w:rPr>
                <w:lang w:val="en-GB"/>
              </w:rPr>
            </w:pPr>
          </w:p>
        </w:tc>
      </w:tr>
      <w:tr w:rsidR="00504B71" w:rsidRPr="00B61F90" w:rsidTr="00504B71">
        <w:trPr>
          <w:trHeight w:val="567"/>
          <w:jc w:val="center"/>
        </w:trPr>
        <w:tc>
          <w:tcPr>
            <w:tcW w:w="1971" w:type="dxa"/>
            <w:vAlign w:val="center"/>
          </w:tcPr>
          <w:p w:rsidR="00504B71" w:rsidRPr="00B61F90" w:rsidRDefault="00504B71" w:rsidP="00ED3E8C">
            <w:pPr>
              <w:pStyle w:val="NoSpacing"/>
              <w:jc w:val="center"/>
              <w:rPr>
                <w:lang w:val="en-GB"/>
              </w:rPr>
            </w:pPr>
          </w:p>
        </w:tc>
        <w:tc>
          <w:tcPr>
            <w:tcW w:w="1970" w:type="dxa"/>
            <w:vAlign w:val="center"/>
          </w:tcPr>
          <w:p w:rsidR="00504B71" w:rsidRPr="00B61F90" w:rsidRDefault="00504B71" w:rsidP="00ED3E8C">
            <w:pPr>
              <w:pStyle w:val="NoSpacing"/>
              <w:jc w:val="center"/>
              <w:rPr>
                <w:lang w:val="en-GB"/>
              </w:rPr>
            </w:pPr>
          </w:p>
        </w:tc>
        <w:tc>
          <w:tcPr>
            <w:tcW w:w="1971" w:type="dxa"/>
            <w:vAlign w:val="center"/>
          </w:tcPr>
          <w:p w:rsidR="00504B71" w:rsidRPr="00B61F90" w:rsidRDefault="00504B71" w:rsidP="00ED3E8C">
            <w:pPr>
              <w:pStyle w:val="NoSpacing"/>
              <w:jc w:val="center"/>
              <w:rPr>
                <w:lang w:val="en-GB"/>
              </w:rPr>
            </w:pPr>
          </w:p>
        </w:tc>
        <w:tc>
          <w:tcPr>
            <w:tcW w:w="1971" w:type="dxa"/>
            <w:vAlign w:val="center"/>
          </w:tcPr>
          <w:p w:rsidR="00504B71" w:rsidRPr="00B61F90" w:rsidRDefault="00504B71" w:rsidP="00ED3E8C">
            <w:pPr>
              <w:pStyle w:val="NoSpacing"/>
              <w:jc w:val="center"/>
              <w:rPr>
                <w:lang w:val="en-GB"/>
              </w:rPr>
            </w:pPr>
          </w:p>
        </w:tc>
        <w:tc>
          <w:tcPr>
            <w:tcW w:w="1971" w:type="dxa"/>
            <w:vAlign w:val="center"/>
          </w:tcPr>
          <w:p w:rsidR="00504B71" w:rsidRPr="00B61F90" w:rsidRDefault="00504B71" w:rsidP="00ED3E8C">
            <w:pPr>
              <w:pStyle w:val="NoSpacing"/>
              <w:rPr>
                <w:lang w:val="en-GB"/>
              </w:rPr>
            </w:pPr>
          </w:p>
        </w:tc>
      </w:tr>
      <w:tr w:rsidR="00850E0F" w:rsidRPr="00B61F90" w:rsidTr="00504B71">
        <w:trPr>
          <w:trHeight w:val="567"/>
          <w:jc w:val="center"/>
        </w:trPr>
        <w:tc>
          <w:tcPr>
            <w:tcW w:w="1971" w:type="dxa"/>
            <w:vAlign w:val="center"/>
          </w:tcPr>
          <w:p w:rsidR="00850E0F" w:rsidRDefault="00850E0F" w:rsidP="00ED3E8C">
            <w:pPr>
              <w:pStyle w:val="NoSpacing"/>
              <w:jc w:val="center"/>
              <w:rPr>
                <w:lang w:val="en-GB"/>
              </w:rPr>
            </w:pPr>
          </w:p>
        </w:tc>
        <w:tc>
          <w:tcPr>
            <w:tcW w:w="1970" w:type="dxa"/>
            <w:vAlign w:val="center"/>
          </w:tcPr>
          <w:p w:rsidR="00850E0F" w:rsidRDefault="00850E0F" w:rsidP="00ED3E8C">
            <w:pPr>
              <w:pStyle w:val="NoSpacing"/>
              <w:jc w:val="center"/>
              <w:rPr>
                <w:lang w:val="en-GB"/>
              </w:rPr>
            </w:pPr>
          </w:p>
        </w:tc>
        <w:tc>
          <w:tcPr>
            <w:tcW w:w="1971" w:type="dxa"/>
            <w:vAlign w:val="center"/>
          </w:tcPr>
          <w:p w:rsidR="00850E0F" w:rsidRPr="00B61F90" w:rsidRDefault="00850E0F" w:rsidP="00730277">
            <w:pPr>
              <w:pStyle w:val="NoSpacing"/>
              <w:jc w:val="center"/>
              <w:rPr>
                <w:lang w:val="en-GB"/>
              </w:rPr>
            </w:pPr>
          </w:p>
        </w:tc>
        <w:tc>
          <w:tcPr>
            <w:tcW w:w="1971" w:type="dxa"/>
            <w:vAlign w:val="center"/>
          </w:tcPr>
          <w:p w:rsidR="00850E0F" w:rsidRPr="00B61F90" w:rsidRDefault="00850E0F" w:rsidP="00730277">
            <w:pPr>
              <w:pStyle w:val="NoSpacing"/>
              <w:jc w:val="center"/>
              <w:rPr>
                <w:lang w:val="en-GB"/>
              </w:rPr>
            </w:pPr>
          </w:p>
        </w:tc>
        <w:tc>
          <w:tcPr>
            <w:tcW w:w="1971" w:type="dxa"/>
            <w:vAlign w:val="center"/>
          </w:tcPr>
          <w:p w:rsidR="00850E0F" w:rsidRPr="00B61F90" w:rsidRDefault="00850E0F" w:rsidP="00730277">
            <w:pPr>
              <w:pStyle w:val="NoSpacing"/>
              <w:rPr>
                <w:lang w:val="en-GB"/>
              </w:rPr>
            </w:pPr>
          </w:p>
        </w:tc>
      </w:tr>
    </w:tbl>
    <w:p w:rsidR="0013683D" w:rsidRPr="00B61F90" w:rsidRDefault="0013683D" w:rsidP="00A96A72"/>
    <w:p w:rsidR="00000584" w:rsidRPr="00B61F90" w:rsidRDefault="00000584">
      <w:pPr>
        <w:jc w:val="left"/>
        <w:rPr>
          <w:rFonts w:asciiTheme="majorHAnsi" w:eastAsiaTheme="majorEastAsia" w:hAnsiTheme="majorHAnsi" w:cstheme="majorBidi"/>
          <w:b/>
          <w:sz w:val="32"/>
          <w:szCs w:val="32"/>
        </w:rPr>
      </w:pPr>
      <w:r w:rsidRPr="00B61F90">
        <w:br w:type="page"/>
      </w:r>
    </w:p>
    <w:p w:rsidR="00000584" w:rsidRPr="00B61F90" w:rsidRDefault="00000584" w:rsidP="00CA1BEB">
      <w:pPr>
        <w:pStyle w:val="Heading1"/>
        <w:numPr>
          <w:ilvl w:val="0"/>
          <w:numId w:val="0"/>
        </w:numPr>
        <w:ind w:left="431" w:hanging="431"/>
      </w:pPr>
      <w:bookmarkStart w:id="0" w:name="_Toc489278358"/>
      <w:r w:rsidRPr="00B61F90">
        <w:lastRenderedPageBreak/>
        <w:t>Table of contents</w:t>
      </w:r>
      <w:bookmarkEnd w:id="0"/>
    </w:p>
    <w:p w:rsidR="00911289" w:rsidRDefault="00DF60C5">
      <w:pPr>
        <w:pStyle w:val="TOC1"/>
        <w:rPr>
          <w:rFonts w:eastAsiaTheme="minorEastAsia"/>
          <w:b w:val="0"/>
          <w:noProof/>
          <w:lang w:val="it-IT" w:eastAsia="it-IT"/>
        </w:rPr>
      </w:pPr>
      <w:r w:rsidRPr="00B61F90">
        <w:fldChar w:fldCharType="begin"/>
      </w:r>
      <w:r w:rsidR="00000584" w:rsidRPr="00B61F90">
        <w:instrText xml:space="preserve"> TOC \o "1-3" \h \z \u </w:instrText>
      </w:r>
      <w:r w:rsidRPr="00B61F90">
        <w:fldChar w:fldCharType="separate"/>
      </w:r>
      <w:hyperlink w:anchor="_Toc489278358" w:history="1">
        <w:r w:rsidR="00911289" w:rsidRPr="001B360B">
          <w:rPr>
            <w:rStyle w:val="Hyperlink"/>
            <w:noProof/>
          </w:rPr>
          <w:t>Table of contents</w:t>
        </w:r>
        <w:r w:rsidR="00911289">
          <w:rPr>
            <w:noProof/>
            <w:webHidden/>
          </w:rPr>
          <w:tab/>
        </w:r>
        <w:r w:rsidR="00911289">
          <w:rPr>
            <w:noProof/>
            <w:webHidden/>
          </w:rPr>
          <w:fldChar w:fldCharType="begin"/>
        </w:r>
        <w:r w:rsidR="00911289">
          <w:rPr>
            <w:noProof/>
            <w:webHidden/>
          </w:rPr>
          <w:instrText xml:space="preserve"> PAGEREF _Toc489278358 \h </w:instrText>
        </w:r>
        <w:r w:rsidR="00911289">
          <w:rPr>
            <w:noProof/>
            <w:webHidden/>
          </w:rPr>
        </w:r>
        <w:r w:rsidR="00911289">
          <w:rPr>
            <w:noProof/>
            <w:webHidden/>
          </w:rPr>
          <w:fldChar w:fldCharType="separate"/>
        </w:r>
        <w:r w:rsidR="00911289">
          <w:rPr>
            <w:noProof/>
            <w:webHidden/>
          </w:rPr>
          <w:t>4</w:t>
        </w:r>
        <w:r w:rsidR="00911289">
          <w:rPr>
            <w:noProof/>
            <w:webHidden/>
          </w:rPr>
          <w:fldChar w:fldCharType="end"/>
        </w:r>
      </w:hyperlink>
    </w:p>
    <w:p w:rsidR="00911289" w:rsidRDefault="00911289">
      <w:pPr>
        <w:pStyle w:val="TOC1"/>
        <w:rPr>
          <w:rFonts w:eastAsiaTheme="minorEastAsia"/>
          <w:b w:val="0"/>
          <w:noProof/>
          <w:lang w:val="it-IT" w:eastAsia="it-IT"/>
        </w:rPr>
      </w:pPr>
      <w:hyperlink w:anchor="_Toc489278359" w:history="1">
        <w:r w:rsidRPr="001B360B">
          <w:rPr>
            <w:rStyle w:val="Hyperlink"/>
            <w:noProof/>
          </w:rPr>
          <w:t>List of tables</w:t>
        </w:r>
        <w:r>
          <w:rPr>
            <w:noProof/>
            <w:webHidden/>
          </w:rPr>
          <w:tab/>
        </w:r>
        <w:r>
          <w:rPr>
            <w:noProof/>
            <w:webHidden/>
          </w:rPr>
          <w:fldChar w:fldCharType="begin"/>
        </w:r>
        <w:r>
          <w:rPr>
            <w:noProof/>
            <w:webHidden/>
          </w:rPr>
          <w:instrText xml:space="preserve"> PAGEREF _Toc489278359 \h </w:instrText>
        </w:r>
        <w:r>
          <w:rPr>
            <w:noProof/>
            <w:webHidden/>
          </w:rPr>
        </w:r>
        <w:r>
          <w:rPr>
            <w:noProof/>
            <w:webHidden/>
          </w:rPr>
          <w:fldChar w:fldCharType="separate"/>
        </w:r>
        <w:r>
          <w:rPr>
            <w:noProof/>
            <w:webHidden/>
          </w:rPr>
          <w:t>4</w:t>
        </w:r>
        <w:r>
          <w:rPr>
            <w:noProof/>
            <w:webHidden/>
          </w:rPr>
          <w:fldChar w:fldCharType="end"/>
        </w:r>
      </w:hyperlink>
    </w:p>
    <w:p w:rsidR="00911289" w:rsidRDefault="00911289">
      <w:pPr>
        <w:pStyle w:val="TOC1"/>
        <w:rPr>
          <w:rFonts w:eastAsiaTheme="minorEastAsia"/>
          <w:b w:val="0"/>
          <w:noProof/>
          <w:lang w:val="it-IT" w:eastAsia="it-IT"/>
        </w:rPr>
      </w:pPr>
      <w:hyperlink w:anchor="_Toc489278360" w:history="1">
        <w:r w:rsidRPr="001B360B">
          <w:rPr>
            <w:rStyle w:val="Hyperlink"/>
            <w:noProof/>
          </w:rPr>
          <w:t>List of figures</w:t>
        </w:r>
        <w:r>
          <w:rPr>
            <w:noProof/>
            <w:webHidden/>
          </w:rPr>
          <w:tab/>
        </w:r>
        <w:r>
          <w:rPr>
            <w:noProof/>
            <w:webHidden/>
          </w:rPr>
          <w:fldChar w:fldCharType="begin"/>
        </w:r>
        <w:r>
          <w:rPr>
            <w:noProof/>
            <w:webHidden/>
          </w:rPr>
          <w:instrText xml:space="preserve"> PAGEREF _Toc489278360 \h </w:instrText>
        </w:r>
        <w:r>
          <w:rPr>
            <w:noProof/>
            <w:webHidden/>
          </w:rPr>
        </w:r>
        <w:r>
          <w:rPr>
            <w:noProof/>
            <w:webHidden/>
          </w:rPr>
          <w:fldChar w:fldCharType="separate"/>
        </w:r>
        <w:r>
          <w:rPr>
            <w:noProof/>
            <w:webHidden/>
          </w:rPr>
          <w:t>4</w:t>
        </w:r>
        <w:r>
          <w:rPr>
            <w:noProof/>
            <w:webHidden/>
          </w:rPr>
          <w:fldChar w:fldCharType="end"/>
        </w:r>
      </w:hyperlink>
    </w:p>
    <w:p w:rsidR="00911289" w:rsidRDefault="00911289">
      <w:pPr>
        <w:pStyle w:val="TOC1"/>
        <w:rPr>
          <w:rFonts w:eastAsiaTheme="minorEastAsia"/>
          <w:b w:val="0"/>
          <w:noProof/>
          <w:lang w:val="it-IT" w:eastAsia="it-IT"/>
        </w:rPr>
      </w:pPr>
      <w:hyperlink w:anchor="_Toc489278361" w:history="1">
        <w:r w:rsidRPr="001B360B">
          <w:rPr>
            <w:rStyle w:val="Hyperlink"/>
            <w:noProof/>
          </w:rPr>
          <w:t>Glossary</w:t>
        </w:r>
        <w:r>
          <w:rPr>
            <w:noProof/>
            <w:webHidden/>
          </w:rPr>
          <w:tab/>
        </w:r>
        <w:r>
          <w:rPr>
            <w:noProof/>
            <w:webHidden/>
          </w:rPr>
          <w:fldChar w:fldCharType="begin"/>
        </w:r>
        <w:r>
          <w:rPr>
            <w:noProof/>
            <w:webHidden/>
          </w:rPr>
          <w:instrText xml:space="preserve"> PAGEREF _Toc489278361 \h </w:instrText>
        </w:r>
        <w:r>
          <w:rPr>
            <w:noProof/>
            <w:webHidden/>
          </w:rPr>
        </w:r>
        <w:r>
          <w:rPr>
            <w:noProof/>
            <w:webHidden/>
          </w:rPr>
          <w:fldChar w:fldCharType="separate"/>
        </w:r>
        <w:r>
          <w:rPr>
            <w:noProof/>
            <w:webHidden/>
          </w:rPr>
          <w:t>5</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62" w:history="1">
        <w:r w:rsidRPr="001B360B">
          <w:rPr>
            <w:rStyle w:val="Hyperlink"/>
            <w:noProof/>
          </w:rPr>
          <w:t>1</w:t>
        </w:r>
        <w:r>
          <w:rPr>
            <w:rFonts w:eastAsiaTheme="minorEastAsia"/>
            <w:b w:val="0"/>
            <w:noProof/>
            <w:lang w:val="it-IT" w:eastAsia="it-IT"/>
          </w:rPr>
          <w:tab/>
        </w:r>
        <w:r w:rsidRPr="001B360B">
          <w:rPr>
            <w:rStyle w:val="Hyperlink"/>
            <w:noProof/>
          </w:rPr>
          <w:t>Executive summary</w:t>
        </w:r>
        <w:r>
          <w:rPr>
            <w:noProof/>
            <w:webHidden/>
          </w:rPr>
          <w:tab/>
        </w:r>
        <w:r>
          <w:rPr>
            <w:noProof/>
            <w:webHidden/>
          </w:rPr>
          <w:fldChar w:fldCharType="begin"/>
        </w:r>
        <w:r>
          <w:rPr>
            <w:noProof/>
            <w:webHidden/>
          </w:rPr>
          <w:instrText xml:space="preserve"> PAGEREF _Toc489278362 \h </w:instrText>
        </w:r>
        <w:r>
          <w:rPr>
            <w:noProof/>
            <w:webHidden/>
          </w:rPr>
        </w:r>
        <w:r>
          <w:rPr>
            <w:noProof/>
            <w:webHidden/>
          </w:rPr>
          <w:fldChar w:fldCharType="separate"/>
        </w:r>
        <w:r>
          <w:rPr>
            <w:noProof/>
            <w:webHidden/>
          </w:rPr>
          <w:t>6</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63" w:history="1">
        <w:r w:rsidRPr="001B360B">
          <w:rPr>
            <w:rStyle w:val="Hyperlink"/>
            <w:noProof/>
          </w:rPr>
          <w:t>2</w:t>
        </w:r>
        <w:r>
          <w:rPr>
            <w:rFonts w:eastAsiaTheme="minorEastAsia"/>
            <w:b w:val="0"/>
            <w:noProof/>
            <w:lang w:val="it-IT" w:eastAsia="it-IT"/>
          </w:rPr>
          <w:tab/>
        </w:r>
        <w:r w:rsidRPr="001B360B">
          <w:rPr>
            <w:rStyle w:val="Hyperlink"/>
            <w:noProof/>
          </w:rPr>
          <w:t>Normative references and EU online services</w:t>
        </w:r>
        <w:r>
          <w:rPr>
            <w:noProof/>
            <w:webHidden/>
          </w:rPr>
          <w:tab/>
        </w:r>
        <w:r>
          <w:rPr>
            <w:noProof/>
            <w:webHidden/>
          </w:rPr>
          <w:fldChar w:fldCharType="begin"/>
        </w:r>
        <w:r>
          <w:rPr>
            <w:noProof/>
            <w:webHidden/>
          </w:rPr>
          <w:instrText xml:space="preserve"> PAGEREF _Toc489278363 \h </w:instrText>
        </w:r>
        <w:r>
          <w:rPr>
            <w:noProof/>
            <w:webHidden/>
          </w:rPr>
        </w:r>
        <w:r>
          <w:rPr>
            <w:noProof/>
            <w:webHidden/>
          </w:rPr>
          <w:fldChar w:fldCharType="separate"/>
        </w:r>
        <w:r>
          <w:rPr>
            <w:noProof/>
            <w:webHidden/>
          </w:rPr>
          <w:t>7</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64" w:history="1">
        <w:r w:rsidRPr="001B360B">
          <w:rPr>
            <w:rStyle w:val="Hyperlink"/>
            <w:noProof/>
          </w:rPr>
          <w:t>3</w:t>
        </w:r>
        <w:r>
          <w:rPr>
            <w:rFonts w:eastAsiaTheme="minorEastAsia"/>
            <w:b w:val="0"/>
            <w:noProof/>
            <w:lang w:val="it-IT" w:eastAsia="it-IT"/>
          </w:rPr>
          <w:tab/>
        </w:r>
        <w:r w:rsidRPr="001B360B">
          <w:rPr>
            <w:rStyle w:val="Hyperlink"/>
            <w:noProof/>
          </w:rPr>
          <w:t>Introduction</w:t>
        </w:r>
        <w:r>
          <w:rPr>
            <w:noProof/>
            <w:webHidden/>
          </w:rPr>
          <w:tab/>
        </w:r>
        <w:r>
          <w:rPr>
            <w:noProof/>
            <w:webHidden/>
          </w:rPr>
          <w:fldChar w:fldCharType="begin"/>
        </w:r>
        <w:r>
          <w:rPr>
            <w:noProof/>
            <w:webHidden/>
          </w:rPr>
          <w:instrText xml:space="preserve"> PAGEREF _Toc489278364 \h </w:instrText>
        </w:r>
        <w:r>
          <w:rPr>
            <w:noProof/>
            <w:webHidden/>
          </w:rPr>
        </w:r>
        <w:r>
          <w:rPr>
            <w:noProof/>
            <w:webHidden/>
          </w:rPr>
          <w:fldChar w:fldCharType="separate"/>
        </w:r>
        <w:r>
          <w:rPr>
            <w:noProof/>
            <w:webHidden/>
          </w:rPr>
          <w:t>8</w:t>
        </w:r>
        <w:r>
          <w:rPr>
            <w:noProof/>
            <w:webHidden/>
          </w:rPr>
          <w:fldChar w:fldCharType="end"/>
        </w:r>
      </w:hyperlink>
    </w:p>
    <w:p w:rsidR="00911289" w:rsidRDefault="00911289">
      <w:pPr>
        <w:pStyle w:val="TOC2"/>
        <w:tabs>
          <w:tab w:val="left" w:pos="1140"/>
          <w:tab w:val="right" w:leader="dot" w:pos="9628"/>
        </w:tabs>
        <w:rPr>
          <w:rFonts w:eastAsiaTheme="minorEastAsia"/>
          <w:noProof/>
          <w:lang w:val="it-IT" w:eastAsia="it-IT"/>
        </w:rPr>
      </w:pPr>
      <w:hyperlink w:anchor="_Toc489278365" w:history="1">
        <w:r w:rsidRPr="001B360B">
          <w:rPr>
            <w:rStyle w:val="Hyperlink"/>
            <w:noProof/>
          </w:rPr>
          <w:t>3.1</w:t>
        </w:r>
        <w:r>
          <w:rPr>
            <w:rFonts w:eastAsiaTheme="minorEastAsia"/>
            <w:noProof/>
            <w:lang w:val="it-IT" w:eastAsia="it-IT"/>
          </w:rPr>
          <w:tab/>
        </w:r>
        <w:r w:rsidRPr="001B360B">
          <w:rPr>
            <w:rStyle w:val="Hyperlink"/>
            <w:noProof/>
          </w:rPr>
          <w:t>The general context</w:t>
        </w:r>
        <w:r>
          <w:rPr>
            <w:noProof/>
            <w:webHidden/>
          </w:rPr>
          <w:tab/>
        </w:r>
        <w:r>
          <w:rPr>
            <w:noProof/>
            <w:webHidden/>
          </w:rPr>
          <w:fldChar w:fldCharType="begin"/>
        </w:r>
        <w:r>
          <w:rPr>
            <w:noProof/>
            <w:webHidden/>
          </w:rPr>
          <w:instrText xml:space="preserve"> PAGEREF _Toc489278365 \h </w:instrText>
        </w:r>
        <w:r>
          <w:rPr>
            <w:noProof/>
            <w:webHidden/>
          </w:rPr>
        </w:r>
        <w:r>
          <w:rPr>
            <w:noProof/>
            <w:webHidden/>
          </w:rPr>
          <w:fldChar w:fldCharType="separate"/>
        </w:r>
        <w:r>
          <w:rPr>
            <w:noProof/>
            <w:webHidden/>
          </w:rPr>
          <w:t>8</w:t>
        </w:r>
        <w:r>
          <w:rPr>
            <w:noProof/>
            <w:webHidden/>
          </w:rPr>
          <w:fldChar w:fldCharType="end"/>
        </w:r>
      </w:hyperlink>
    </w:p>
    <w:p w:rsidR="00911289" w:rsidRDefault="00911289">
      <w:pPr>
        <w:pStyle w:val="TOC2"/>
        <w:tabs>
          <w:tab w:val="left" w:pos="1140"/>
          <w:tab w:val="right" w:leader="dot" w:pos="9628"/>
        </w:tabs>
        <w:rPr>
          <w:rFonts w:eastAsiaTheme="minorEastAsia"/>
          <w:noProof/>
          <w:lang w:val="it-IT" w:eastAsia="it-IT"/>
        </w:rPr>
      </w:pPr>
      <w:hyperlink w:anchor="_Toc489278366" w:history="1">
        <w:r w:rsidRPr="001B360B">
          <w:rPr>
            <w:rStyle w:val="Hyperlink"/>
            <w:noProof/>
            <w:lang w:eastAsia="it-IT"/>
          </w:rPr>
          <w:t>3.2</w:t>
        </w:r>
        <w:r>
          <w:rPr>
            <w:rFonts w:eastAsiaTheme="minorEastAsia"/>
            <w:noProof/>
            <w:lang w:val="it-IT" w:eastAsia="it-IT"/>
          </w:rPr>
          <w:tab/>
        </w:r>
        <w:r w:rsidRPr="001B360B">
          <w:rPr>
            <w:rStyle w:val="Hyperlink"/>
            <w:noProof/>
            <w:lang w:eastAsia="it-IT"/>
          </w:rPr>
          <w:t>ESPD artifact and EDM version chosen for this project</w:t>
        </w:r>
        <w:r>
          <w:rPr>
            <w:noProof/>
            <w:webHidden/>
          </w:rPr>
          <w:tab/>
        </w:r>
        <w:r>
          <w:rPr>
            <w:noProof/>
            <w:webHidden/>
          </w:rPr>
          <w:fldChar w:fldCharType="begin"/>
        </w:r>
        <w:r>
          <w:rPr>
            <w:noProof/>
            <w:webHidden/>
          </w:rPr>
          <w:instrText xml:space="preserve"> PAGEREF _Toc489278366 \h </w:instrText>
        </w:r>
        <w:r>
          <w:rPr>
            <w:noProof/>
            <w:webHidden/>
          </w:rPr>
        </w:r>
        <w:r>
          <w:rPr>
            <w:noProof/>
            <w:webHidden/>
          </w:rPr>
          <w:fldChar w:fldCharType="separate"/>
        </w:r>
        <w:r>
          <w:rPr>
            <w:noProof/>
            <w:webHidden/>
          </w:rPr>
          <w:t>9</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67" w:history="1">
        <w:r w:rsidRPr="001B360B">
          <w:rPr>
            <w:rStyle w:val="Hyperlink"/>
            <w:noProof/>
          </w:rPr>
          <w:t>4</w:t>
        </w:r>
        <w:r>
          <w:rPr>
            <w:rFonts w:eastAsiaTheme="minorEastAsia"/>
            <w:b w:val="0"/>
            <w:noProof/>
            <w:lang w:val="it-IT" w:eastAsia="it-IT"/>
          </w:rPr>
          <w:tab/>
        </w:r>
        <w:r w:rsidRPr="001B360B">
          <w:rPr>
            <w:rStyle w:val="Hyperlink"/>
            <w:noProof/>
          </w:rPr>
          <w:t>Global integration scenario and technical components</w:t>
        </w:r>
        <w:r>
          <w:rPr>
            <w:noProof/>
            <w:webHidden/>
          </w:rPr>
          <w:tab/>
        </w:r>
        <w:r>
          <w:rPr>
            <w:noProof/>
            <w:webHidden/>
          </w:rPr>
          <w:fldChar w:fldCharType="begin"/>
        </w:r>
        <w:r>
          <w:rPr>
            <w:noProof/>
            <w:webHidden/>
          </w:rPr>
          <w:instrText xml:space="preserve"> PAGEREF _Toc489278367 \h </w:instrText>
        </w:r>
        <w:r>
          <w:rPr>
            <w:noProof/>
            <w:webHidden/>
          </w:rPr>
        </w:r>
        <w:r>
          <w:rPr>
            <w:noProof/>
            <w:webHidden/>
          </w:rPr>
          <w:fldChar w:fldCharType="separate"/>
        </w:r>
        <w:r>
          <w:rPr>
            <w:noProof/>
            <w:webHidden/>
          </w:rPr>
          <w:t>11</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68" w:history="1">
        <w:r w:rsidRPr="001B360B">
          <w:rPr>
            <w:rStyle w:val="Hyperlink"/>
            <w:noProof/>
          </w:rPr>
          <w:t>5</w:t>
        </w:r>
        <w:r>
          <w:rPr>
            <w:rFonts w:eastAsiaTheme="minorEastAsia"/>
            <w:b w:val="0"/>
            <w:noProof/>
            <w:lang w:val="it-IT" w:eastAsia="it-IT"/>
          </w:rPr>
          <w:tab/>
        </w:r>
        <w:r w:rsidRPr="001B360B">
          <w:rPr>
            <w:rStyle w:val="Hyperlink"/>
            <w:noProof/>
          </w:rPr>
          <w:t>Gap analysis</w:t>
        </w:r>
        <w:r>
          <w:rPr>
            <w:noProof/>
            <w:webHidden/>
          </w:rPr>
          <w:tab/>
        </w:r>
        <w:r>
          <w:rPr>
            <w:noProof/>
            <w:webHidden/>
          </w:rPr>
          <w:fldChar w:fldCharType="begin"/>
        </w:r>
        <w:r>
          <w:rPr>
            <w:noProof/>
            <w:webHidden/>
          </w:rPr>
          <w:instrText xml:space="preserve"> PAGEREF _Toc489278368 \h </w:instrText>
        </w:r>
        <w:r>
          <w:rPr>
            <w:noProof/>
            <w:webHidden/>
          </w:rPr>
        </w:r>
        <w:r>
          <w:rPr>
            <w:noProof/>
            <w:webHidden/>
          </w:rPr>
          <w:fldChar w:fldCharType="separate"/>
        </w:r>
        <w:r>
          <w:rPr>
            <w:noProof/>
            <w:webHidden/>
          </w:rPr>
          <w:t>14</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69" w:history="1">
        <w:r w:rsidRPr="001B360B">
          <w:rPr>
            <w:rStyle w:val="Hyperlink"/>
            <w:noProof/>
          </w:rPr>
          <w:t>6</w:t>
        </w:r>
        <w:r>
          <w:rPr>
            <w:rFonts w:eastAsiaTheme="minorEastAsia"/>
            <w:b w:val="0"/>
            <w:noProof/>
            <w:lang w:val="it-IT" w:eastAsia="it-IT"/>
          </w:rPr>
          <w:tab/>
        </w:r>
        <w:r w:rsidRPr="001B360B">
          <w:rPr>
            <w:rStyle w:val="Hyperlink"/>
            <w:noProof/>
          </w:rPr>
          <w:t>Data Model Design</w:t>
        </w:r>
        <w:r>
          <w:rPr>
            <w:noProof/>
            <w:webHidden/>
          </w:rPr>
          <w:tab/>
        </w:r>
        <w:r>
          <w:rPr>
            <w:noProof/>
            <w:webHidden/>
          </w:rPr>
          <w:fldChar w:fldCharType="begin"/>
        </w:r>
        <w:r>
          <w:rPr>
            <w:noProof/>
            <w:webHidden/>
          </w:rPr>
          <w:instrText xml:space="preserve"> PAGEREF _Toc489278369 \h </w:instrText>
        </w:r>
        <w:r>
          <w:rPr>
            <w:noProof/>
            <w:webHidden/>
          </w:rPr>
        </w:r>
        <w:r>
          <w:rPr>
            <w:noProof/>
            <w:webHidden/>
          </w:rPr>
          <w:fldChar w:fldCharType="separate"/>
        </w:r>
        <w:r>
          <w:rPr>
            <w:noProof/>
            <w:webHidden/>
          </w:rPr>
          <w:t>17</w:t>
        </w:r>
        <w:r>
          <w:rPr>
            <w:noProof/>
            <w:webHidden/>
          </w:rPr>
          <w:fldChar w:fldCharType="end"/>
        </w:r>
      </w:hyperlink>
    </w:p>
    <w:p w:rsidR="00911289" w:rsidRDefault="00911289">
      <w:pPr>
        <w:pStyle w:val="TOC1"/>
        <w:tabs>
          <w:tab w:val="left" w:pos="440"/>
        </w:tabs>
        <w:rPr>
          <w:rFonts w:eastAsiaTheme="minorEastAsia"/>
          <w:b w:val="0"/>
          <w:noProof/>
          <w:lang w:val="it-IT" w:eastAsia="it-IT"/>
        </w:rPr>
      </w:pPr>
      <w:hyperlink w:anchor="_Toc489278370" w:history="1">
        <w:r w:rsidRPr="001B360B">
          <w:rPr>
            <w:rStyle w:val="Hyperlink"/>
            <w:noProof/>
          </w:rPr>
          <w:t>7</w:t>
        </w:r>
        <w:r>
          <w:rPr>
            <w:rFonts w:eastAsiaTheme="minorEastAsia"/>
            <w:b w:val="0"/>
            <w:noProof/>
            <w:lang w:val="it-IT" w:eastAsia="it-IT"/>
          </w:rPr>
          <w:tab/>
        </w:r>
        <w:r w:rsidRPr="001B360B">
          <w:rPr>
            <w:rStyle w:val="Hyperlink"/>
            <w:noProof/>
          </w:rPr>
          <w:t>Integration Services Design</w:t>
        </w:r>
        <w:r>
          <w:rPr>
            <w:noProof/>
            <w:webHidden/>
          </w:rPr>
          <w:tab/>
        </w:r>
        <w:r>
          <w:rPr>
            <w:noProof/>
            <w:webHidden/>
          </w:rPr>
          <w:fldChar w:fldCharType="begin"/>
        </w:r>
        <w:r>
          <w:rPr>
            <w:noProof/>
            <w:webHidden/>
          </w:rPr>
          <w:instrText xml:space="preserve"> PAGEREF _Toc489278370 \h </w:instrText>
        </w:r>
        <w:r>
          <w:rPr>
            <w:noProof/>
            <w:webHidden/>
          </w:rPr>
        </w:r>
        <w:r>
          <w:rPr>
            <w:noProof/>
            <w:webHidden/>
          </w:rPr>
          <w:fldChar w:fldCharType="separate"/>
        </w:r>
        <w:r>
          <w:rPr>
            <w:noProof/>
            <w:webHidden/>
          </w:rPr>
          <w:t>18</w:t>
        </w:r>
        <w:r>
          <w:rPr>
            <w:noProof/>
            <w:webHidden/>
          </w:rPr>
          <w:fldChar w:fldCharType="end"/>
        </w:r>
      </w:hyperlink>
    </w:p>
    <w:p w:rsidR="00A96A72" w:rsidRPr="00B61F90" w:rsidRDefault="00DF60C5" w:rsidP="00A96A72">
      <w:r w:rsidRPr="00B61F90">
        <w:fldChar w:fldCharType="end"/>
      </w:r>
    </w:p>
    <w:p w:rsidR="00A3481A" w:rsidRPr="00B61F90" w:rsidRDefault="00A3481A" w:rsidP="00CA1BEB">
      <w:pPr>
        <w:pStyle w:val="Heading1"/>
        <w:numPr>
          <w:ilvl w:val="0"/>
          <w:numId w:val="0"/>
        </w:numPr>
        <w:ind w:left="431" w:hanging="431"/>
      </w:pPr>
      <w:bookmarkStart w:id="1" w:name="_Toc489278359"/>
      <w:r w:rsidRPr="00B61F90">
        <w:t>List of tables</w:t>
      </w:r>
      <w:bookmarkEnd w:id="1"/>
    </w:p>
    <w:p w:rsidR="00911289" w:rsidRDefault="00DF60C5">
      <w:pPr>
        <w:pStyle w:val="TableofFigures"/>
        <w:tabs>
          <w:tab w:val="right" w:leader="dot" w:pos="9628"/>
        </w:tabs>
        <w:rPr>
          <w:rFonts w:eastAsiaTheme="minorEastAsia"/>
          <w:noProof/>
          <w:lang w:val="it-IT" w:eastAsia="it-IT"/>
        </w:rPr>
      </w:pPr>
      <w:r w:rsidRPr="00B61F90">
        <w:fldChar w:fldCharType="begin"/>
      </w:r>
      <w:r w:rsidR="00A3481A" w:rsidRPr="00B61F90">
        <w:instrText xml:space="preserve"> TOC \h \z \c "Table" </w:instrText>
      </w:r>
      <w:r w:rsidRPr="00B61F90">
        <w:fldChar w:fldCharType="separate"/>
      </w:r>
      <w:hyperlink w:anchor="_Toc489278371" w:history="1">
        <w:r w:rsidR="00911289" w:rsidRPr="00AE0A4D">
          <w:rPr>
            <w:rStyle w:val="Hyperlink"/>
            <w:noProof/>
          </w:rPr>
          <w:t>Table 1 Tender process steps - Gap analysis</w:t>
        </w:r>
        <w:r w:rsidR="00911289">
          <w:rPr>
            <w:noProof/>
            <w:webHidden/>
          </w:rPr>
          <w:tab/>
        </w:r>
        <w:r w:rsidR="00911289">
          <w:rPr>
            <w:noProof/>
            <w:webHidden/>
          </w:rPr>
          <w:fldChar w:fldCharType="begin"/>
        </w:r>
        <w:r w:rsidR="00911289">
          <w:rPr>
            <w:noProof/>
            <w:webHidden/>
          </w:rPr>
          <w:instrText xml:space="preserve"> PAGEREF _Toc489278371 \h </w:instrText>
        </w:r>
        <w:r w:rsidR="00911289">
          <w:rPr>
            <w:noProof/>
            <w:webHidden/>
          </w:rPr>
        </w:r>
        <w:r w:rsidR="00911289">
          <w:rPr>
            <w:noProof/>
            <w:webHidden/>
          </w:rPr>
          <w:fldChar w:fldCharType="separate"/>
        </w:r>
        <w:r w:rsidR="00911289">
          <w:rPr>
            <w:noProof/>
            <w:webHidden/>
          </w:rPr>
          <w:t>16</w:t>
        </w:r>
        <w:r w:rsidR="00911289">
          <w:rPr>
            <w:noProof/>
            <w:webHidden/>
          </w:rPr>
          <w:fldChar w:fldCharType="end"/>
        </w:r>
      </w:hyperlink>
    </w:p>
    <w:p w:rsidR="00A3481A" w:rsidRPr="00B61F90" w:rsidRDefault="00DF60C5" w:rsidP="00A3481A">
      <w:r w:rsidRPr="00B61F90">
        <w:fldChar w:fldCharType="end"/>
      </w:r>
      <w:bookmarkStart w:id="2" w:name="_GoBack"/>
      <w:bookmarkEnd w:id="2"/>
    </w:p>
    <w:p w:rsidR="00A3481A" w:rsidRPr="00B61F90" w:rsidRDefault="00A3481A" w:rsidP="00CA1BEB">
      <w:pPr>
        <w:pStyle w:val="Heading1"/>
        <w:numPr>
          <w:ilvl w:val="0"/>
          <w:numId w:val="0"/>
        </w:numPr>
        <w:ind w:left="431" w:hanging="431"/>
      </w:pPr>
      <w:bookmarkStart w:id="3" w:name="_Toc489278360"/>
      <w:r w:rsidRPr="00B61F90">
        <w:t>List of figures</w:t>
      </w:r>
      <w:bookmarkEnd w:id="3"/>
    </w:p>
    <w:p w:rsidR="00911289" w:rsidRDefault="00DF60C5">
      <w:pPr>
        <w:pStyle w:val="TableofFigures"/>
        <w:tabs>
          <w:tab w:val="right" w:leader="dot" w:pos="9628"/>
        </w:tabs>
        <w:rPr>
          <w:rFonts w:eastAsiaTheme="minorEastAsia"/>
          <w:noProof/>
          <w:lang w:val="it-IT" w:eastAsia="it-IT"/>
        </w:rPr>
      </w:pPr>
      <w:r w:rsidRPr="00B61F90">
        <w:fldChar w:fldCharType="begin"/>
      </w:r>
      <w:r w:rsidR="00A3481A" w:rsidRPr="00B61F90">
        <w:instrText xml:space="preserve"> TOC \h \z \c "Figure" </w:instrText>
      </w:r>
      <w:r w:rsidRPr="00B61F90">
        <w:fldChar w:fldCharType="separate"/>
      </w:r>
      <w:hyperlink w:anchor="_Toc489278372" w:history="1">
        <w:r w:rsidR="00911289" w:rsidRPr="00481061">
          <w:rPr>
            <w:rStyle w:val="Hyperlink"/>
            <w:noProof/>
          </w:rPr>
          <w:t>Figure 1 Public procurement complete process</w:t>
        </w:r>
        <w:r w:rsidR="00911289">
          <w:rPr>
            <w:noProof/>
            <w:webHidden/>
          </w:rPr>
          <w:tab/>
        </w:r>
        <w:r w:rsidR="00911289">
          <w:rPr>
            <w:noProof/>
            <w:webHidden/>
          </w:rPr>
          <w:fldChar w:fldCharType="begin"/>
        </w:r>
        <w:r w:rsidR="00911289">
          <w:rPr>
            <w:noProof/>
            <w:webHidden/>
          </w:rPr>
          <w:instrText xml:space="preserve"> PAGEREF _Toc489278372 \h </w:instrText>
        </w:r>
        <w:r w:rsidR="00911289">
          <w:rPr>
            <w:noProof/>
            <w:webHidden/>
          </w:rPr>
        </w:r>
        <w:r w:rsidR="00911289">
          <w:rPr>
            <w:noProof/>
            <w:webHidden/>
          </w:rPr>
          <w:fldChar w:fldCharType="separate"/>
        </w:r>
        <w:r w:rsidR="00911289">
          <w:rPr>
            <w:noProof/>
            <w:webHidden/>
          </w:rPr>
          <w:t>8</w:t>
        </w:r>
        <w:r w:rsidR="00911289">
          <w:rPr>
            <w:noProof/>
            <w:webHidden/>
          </w:rPr>
          <w:fldChar w:fldCharType="end"/>
        </w:r>
      </w:hyperlink>
    </w:p>
    <w:p w:rsidR="00911289" w:rsidRDefault="00911289">
      <w:pPr>
        <w:pStyle w:val="TableofFigures"/>
        <w:tabs>
          <w:tab w:val="right" w:leader="dot" w:pos="9628"/>
        </w:tabs>
        <w:rPr>
          <w:rFonts w:eastAsiaTheme="minorEastAsia"/>
          <w:noProof/>
          <w:lang w:val="it-IT" w:eastAsia="it-IT"/>
        </w:rPr>
      </w:pPr>
      <w:hyperlink w:anchor="_Toc489278373" w:history="1">
        <w:r w:rsidRPr="00481061">
          <w:rPr>
            <w:rStyle w:val="Hyperlink"/>
            <w:noProof/>
          </w:rPr>
          <w:t>Figure 2 Classification of ESPD requirements</w:t>
        </w:r>
        <w:r>
          <w:rPr>
            <w:noProof/>
            <w:webHidden/>
          </w:rPr>
          <w:tab/>
        </w:r>
        <w:r>
          <w:rPr>
            <w:noProof/>
            <w:webHidden/>
          </w:rPr>
          <w:fldChar w:fldCharType="begin"/>
        </w:r>
        <w:r>
          <w:rPr>
            <w:noProof/>
            <w:webHidden/>
          </w:rPr>
          <w:instrText xml:space="preserve"> PAGEREF _Toc489278373 \h </w:instrText>
        </w:r>
        <w:r>
          <w:rPr>
            <w:noProof/>
            <w:webHidden/>
          </w:rPr>
        </w:r>
        <w:r>
          <w:rPr>
            <w:noProof/>
            <w:webHidden/>
          </w:rPr>
          <w:fldChar w:fldCharType="separate"/>
        </w:r>
        <w:r>
          <w:rPr>
            <w:noProof/>
            <w:webHidden/>
          </w:rPr>
          <w:t>9</w:t>
        </w:r>
        <w:r>
          <w:rPr>
            <w:noProof/>
            <w:webHidden/>
          </w:rPr>
          <w:fldChar w:fldCharType="end"/>
        </w:r>
      </w:hyperlink>
    </w:p>
    <w:p w:rsidR="00911289" w:rsidRDefault="00911289">
      <w:pPr>
        <w:pStyle w:val="TableofFigures"/>
        <w:tabs>
          <w:tab w:val="right" w:leader="dot" w:pos="9628"/>
        </w:tabs>
        <w:rPr>
          <w:rFonts w:eastAsiaTheme="minorEastAsia"/>
          <w:noProof/>
          <w:lang w:val="it-IT" w:eastAsia="it-IT"/>
        </w:rPr>
      </w:pPr>
      <w:hyperlink w:anchor="_Toc489278374" w:history="1">
        <w:r w:rsidRPr="00481061">
          <w:rPr>
            <w:rStyle w:val="Hyperlink"/>
            <w:noProof/>
          </w:rPr>
          <w:t>Figure 3 Focus on the components to be developed in SATER</w:t>
        </w:r>
        <w:r>
          <w:rPr>
            <w:noProof/>
            <w:webHidden/>
          </w:rPr>
          <w:tab/>
        </w:r>
        <w:r>
          <w:rPr>
            <w:noProof/>
            <w:webHidden/>
          </w:rPr>
          <w:fldChar w:fldCharType="begin"/>
        </w:r>
        <w:r>
          <w:rPr>
            <w:noProof/>
            <w:webHidden/>
          </w:rPr>
          <w:instrText xml:space="preserve"> PAGEREF _Toc489278374 \h </w:instrText>
        </w:r>
        <w:r>
          <w:rPr>
            <w:noProof/>
            <w:webHidden/>
          </w:rPr>
        </w:r>
        <w:r>
          <w:rPr>
            <w:noProof/>
            <w:webHidden/>
          </w:rPr>
          <w:fldChar w:fldCharType="separate"/>
        </w:r>
        <w:r>
          <w:rPr>
            <w:noProof/>
            <w:webHidden/>
          </w:rPr>
          <w:t>12</w:t>
        </w:r>
        <w:r>
          <w:rPr>
            <w:noProof/>
            <w:webHidden/>
          </w:rPr>
          <w:fldChar w:fldCharType="end"/>
        </w:r>
      </w:hyperlink>
    </w:p>
    <w:p w:rsidR="00911289" w:rsidRDefault="00911289">
      <w:pPr>
        <w:pStyle w:val="TableofFigures"/>
        <w:tabs>
          <w:tab w:val="right" w:leader="dot" w:pos="9628"/>
        </w:tabs>
        <w:rPr>
          <w:rFonts w:eastAsiaTheme="minorEastAsia"/>
          <w:noProof/>
          <w:lang w:val="it-IT" w:eastAsia="it-IT"/>
        </w:rPr>
      </w:pPr>
      <w:hyperlink w:anchor="_Toc489278375" w:history="1">
        <w:r w:rsidRPr="00481061">
          <w:rPr>
            <w:rStyle w:val="Hyperlink"/>
            <w:noProof/>
          </w:rPr>
          <w:t>Figure 4 Sequence diagram of the new tender process, with focus on ESPD</w:t>
        </w:r>
        <w:r>
          <w:rPr>
            <w:noProof/>
            <w:webHidden/>
          </w:rPr>
          <w:tab/>
        </w:r>
        <w:r>
          <w:rPr>
            <w:noProof/>
            <w:webHidden/>
          </w:rPr>
          <w:fldChar w:fldCharType="begin"/>
        </w:r>
        <w:r>
          <w:rPr>
            <w:noProof/>
            <w:webHidden/>
          </w:rPr>
          <w:instrText xml:space="preserve"> PAGEREF _Toc489278375 \h </w:instrText>
        </w:r>
        <w:r>
          <w:rPr>
            <w:noProof/>
            <w:webHidden/>
          </w:rPr>
        </w:r>
        <w:r>
          <w:rPr>
            <w:noProof/>
            <w:webHidden/>
          </w:rPr>
          <w:fldChar w:fldCharType="separate"/>
        </w:r>
        <w:r>
          <w:rPr>
            <w:noProof/>
            <w:webHidden/>
          </w:rPr>
          <w:t>13</w:t>
        </w:r>
        <w:r>
          <w:rPr>
            <w:noProof/>
            <w:webHidden/>
          </w:rPr>
          <w:fldChar w:fldCharType="end"/>
        </w:r>
      </w:hyperlink>
    </w:p>
    <w:p w:rsidR="00A3481A" w:rsidRPr="00B61F90" w:rsidRDefault="00DF60C5" w:rsidP="00770C27">
      <w:pPr>
        <w:rPr>
          <w:rFonts w:asciiTheme="majorHAnsi" w:eastAsiaTheme="majorEastAsia" w:hAnsiTheme="majorHAnsi" w:cstheme="majorBidi"/>
          <w:b/>
          <w:sz w:val="32"/>
          <w:szCs w:val="32"/>
        </w:rPr>
      </w:pPr>
      <w:r w:rsidRPr="00B61F90">
        <w:fldChar w:fldCharType="end"/>
      </w:r>
      <w:r w:rsidR="00A3481A" w:rsidRPr="00B61F90">
        <w:br w:type="page"/>
      </w:r>
    </w:p>
    <w:p w:rsidR="007D5659" w:rsidRPr="00B61F90" w:rsidRDefault="007D5659" w:rsidP="00CA1BEB">
      <w:pPr>
        <w:pStyle w:val="Heading1"/>
        <w:numPr>
          <w:ilvl w:val="0"/>
          <w:numId w:val="0"/>
        </w:numPr>
        <w:ind w:left="431" w:hanging="431"/>
      </w:pPr>
      <w:bookmarkStart w:id="4" w:name="_Toc442189563"/>
      <w:bookmarkStart w:id="5" w:name="_Toc489278361"/>
      <w:r w:rsidRPr="00B61F90">
        <w:lastRenderedPageBreak/>
        <w:t>Glossary</w:t>
      </w:r>
      <w:bookmarkEnd w:id="4"/>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F87927" w:rsidRPr="00B61F90" w:rsidTr="00CA1BEB">
        <w:trPr>
          <w:trHeight w:val="340"/>
          <w:jc w:val="center"/>
        </w:trPr>
        <w:tc>
          <w:tcPr>
            <w:tcW w:w="1701" w:type="dxa"/>
          </w:tcPr>
          <w:p w:rsidR="00F87927" w:rsidRPr="00F87927" w:rsidRDefault="00C60358" w:rsidP="00F87927">
            <w:pPr>
              <w:jc w:val="right"/>
              <w:rPr>
                <w:b/>
              </w:rPr>
            </w:pPr>
            <w:r>
              <w:rPr>
                <w:b/>
              </w:rPr>
              <w:t>ACK</w:t>
            </w:r>
          </w:p>
        </w:tc>
        <w:tc>
          <w:tcPr>
            <w:tcW w:w="7371" w:type="dxa"/>
          </w:tcPr>
          <w:p w:rsidR="00F87927" w:rsidRPr="007C7B4D" w:rsidRDefault="00C60358" w:rsidP="00C60358">
            <w:r>
              <w:t>Acknowledged. Positive reply obtained after invoking web-services provided by SIMOG to check submitted ESPD criteria for compliancy</w:t>
            </w:r>
          </w:p>
        </w:tc>
      </w:tr>
      <w:tr w:rsidR="003A03B1" w:rsidRPr="00460366" w:rsidTr="00CA1BEB">
        <w:trPr>
          <w:trHeight w:val="340"/>
          <w:jc w:val="center"/>
        </w:trPr>
        <w:tc>
          <w:tcPr>
            <w:tcW w:w="1701" w:type="dxa"/>
          </w:tcPr>
          <w:p w:rsidR="003A03B1" w:rsidRDefault="003A03B1" w:rsidP="00F87927">
            <w:pPr>
              <w:jc w:val="right"/>
              <w:rPr>
                <w:b/>
              </w:rPr>
            </w:pPr>
            <w:r>
              <w:rPr>
                <w:b/>
              </w:rPr>
              <w:t>A.N.AC.</w:t>
            </w:r>
          </w:p>
        </w:tc>
        <w:tc>
          <w:tcPr>
            <w:tcW w:w="7371" w:type="dxa"/>
          </w:tcPr>
          <w:p w:rsidR="003A03B1" w:rsidRPr="003A03B1" w:rsidRDefault="003A03B1" w:rsidP="00C60358">
            <w:pPr>
              <w:rPr>
                <w:lang w:val="it-IT"/>
              </w:rPr>
            </w:pPr>
            <w:r w:rsidRPr="003A03B1">
              <w:rPr>
                <w:i/>
                <w:lang w:val="it-IT"/>
              </w:rPr>
              <w:t>Autorità Nazionale Anti-Corruzione</w:t>
            </w:r>
            <w:r w:rsidRPr="003A03B1">
              <w:rPr>
                <w:lang w:val="it-IT"/>
              </w:rPr>
              <w:t xml:space="preserve"> (National Anti-Corruption Authority)</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CA</w:t>
            </w:r>
          </w:p>
        </w:tc>
        <w:tc>
          <w:tcPr>
            <w:tcW w:w="7371" w:type="dxa"/>
          </w:tcPr>
          <w:p w:rsidR="00C60358" w:rsidRPr="007C7B4D" w:rsidRDefault="00C60358" w:rsidP="00C60358">
            <w:r w:rsidRPr="007C7B4D">
              <w:t>Contracting Authority</w:t>
            </w:r>
          </w:p>
        </w:tc>
      </w:tr>
      <w:tr w:rsidR="00C60358" w:rsidRPr="00B61F90" w:rsidTr="00CA1BEB">
        <w:trPr>
          <w:trHeight w:val="340"/>
          <w:jc w:val="center"/>
        </w:trPr>
        <w:tc>
          <w:tcPr>
            <w:tcW w:w="1701" w:type="dxa"/>
          </w:tcPr>
          <w:p w:rsidR="00C60358" w:rsidRPr="00F87927" w:rsidRDefault="00C60358" w:rsidP="00C60358">
            <w:pPr>
              <w:jc w:val="right"/>
              <w:rPr>
                <w:b/>
                <w:lang w:eastAsia="fr-FR"/>
              </w:rPr>
            </w:pPr>
            <w:r w:rsidRPr="00F87927">
              <w:rPr>
                <w:b/>
              </w:rPr>
              <w:t>CEF</w:t>
            </w:r>
          </w:p>
        </w:tc>
        <w:tc>
          <w:tcPr>
            <w:tcW w:w="7371" w:type="dxa"/>
          </w:tcPr>
          <w:p w:rsidR="00C60358" w:rsidRPr="007C7B4D" w:rsidRDefault="00C60358" w:rsidP="00C60358">
            <w:pPr>
              <w:rPr>
                <w:lang w:eastAsia="fr-FR"/>
              </w:rPr>
            </w:pPr>
            <w:r w:rsidRPr="007C7B4D">
              <w:t>Connecting Europe Facility</w:t>
            </w:r>
          </w:p>
        </w:tc>
      </w:tr>
      <w:tr w:rsidR="00C60358" w:rsidRPr="00B61F90" w:rsidTr="00CA1BEB">
        <w:trPr>
          <w:trHeight w:val="340"/>
          <w:jc w:val="center"/>
        </w:trPr>
        <w:tc>
          <w:tcPr>
            <w:tcW w:w="1701" w:type="dxa"/>
          </w:tcPr>
          <w:p w:rsidR="00C60358" w:rsidRPr="00F87927" w:rsidRDefault="00C60358" w:rsidP="00C60358">
            <w:pPr>
              <w:jc w:val="right"/>
              <w:rPr>
                <w:b/>
                <w:lang w:eastAsia="fr-FR"/>
              </w:rPr>
            </w:pPr>
            <w:r w:rsidRPr="00F87927">
              <w:rPr>
                <w:b/>
              </w:rPr>
              <w:t>CEN</w:t>
            </w:r>
          </w:p>
        </w:tc>
        <w:tc>
          <w:tcPr>
            <w:tcW w:w="7371" w:type="dxa"/>
          </w:tcPr>
          <w:p w:rsidR="00C60358" w:rsidRPr="007C7B4D" w:rsidRDefault="00C60358" w:rsidP="00C60358">
            <w:pPr>
              <w:rPr>
                <w:lang w:eastAsia="fr-FR"/>
              </w:rPr>
            </w:pPr>
            <w:r w:rsidRPr="007C7B4D">
              <w:t xml:space="preserve">European Committee for Standardization </w:t>
            </w:r>
          </w:p>
        </w:tc>
      </w:tr>
      <w:tr w:rsidR="00C60358" w:rsidRPr="00B61D8D" w:rsidTr="00CA1BEB">
        <w:trPr>
          <w:trHeight w:val="340"/>
          <w:jc w:val="center"/>
        </w:trPr>
        <w:tc>
          <w:tcPr>
            <w:tcW w:w="1701" w:type="dxa"/>
          </w:tcPr>
          <w:p w:rsidR="00C60358" w:rsidRPr="00F87927" w:rsidRDefault="00C60358" w:rsidP="00C60358">
            <w:pPr>
              <w:jc w:val="right"/>
              <w:rPr>
                <w:b/>
              </w:rPr>
            </w:pPr>
            <w:r>
              <w:rPr>
                <w:b/>
              </w:rPr>
              <w:t>CIG</w:t>
            </w:r>
          </w:p>
        </w:tc>
        <w:tc>
          <w:tcPr>
            <w:tcW w:w="7371" w:type="dxa"/>
          </w:tcPr>
          <w:p w:rsidR="00C60358" w:rsidRPr="00B61D8D" w:rsidRDefault="00C60358" w:rsidP="00C60358">
            <w:pPr>
              <w:rPr>
                <w:lang w:val="en-US"/>
              </w:rPr>
            </w:pPr>
            <w:r w:rsidRPr="00B61D8D">
              <w:rPr>
                <w:i/>
                <w:lang w:val="en-US"/>
              </w:rPr>
              <w:t>Codice Identificativo Gara</w:t>
            </w:r>
            <w:r w:rsidRPr="00B61D8D">
              <w:rPr>
                <w:lang w:val="en-US"/>
              </w:rPr>
              <w:t xml:space="preserve"> (Contract Reference Number): </w:t>
            </w:r>
            <w:r>
              <w:rPr>
                <w:lang w:val="en-US"/>
              </w:rPr>
              <w:t>c</w:t>
            </w:r>
            <w:r w:rsidRPr="00B61D8D">
              <w:rPr>
                <w:lang w:val="en-US"/>
              </w:rPr>
              <w:t>ode adopted in Italy to identify a public contract entered into after a tender or entrusted with one of the other methods permitted by the Public Contracts Code</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CPB</w:t>
            </w:r>
          </w:p>
        </w:tc>
        <w:tc>
          <w:tcPr>
            <w:tcW w:w="7371" w:type="dxa"/>
          </w:tcPr>
          <w:p w:rsidR="00C60358" w:rsidRPr="007C7B4D" w:rsidRDefault="00C60358" w:rsidP="00C60358">
            <w:r w:rsidRPr="007C7B4D">
              <w:t>Central Purchasing Body</w:t>
            </w:r>
          </w:p>
        </w:tc>
      </w:tr>
      <w:tr w:rsidR="00E86CF1" w:rsidRPr="00B61F90" w:rsidTr="00CA1BEB">
        <w:trPr>
          <w:trHeight w:val="340"/>
          <w:jc w:val="center"/>
        </w:trPr>
        <w:tc>
          <w:tcPr>
            <w:tcW w:w="1701" w:type="dxa"/>
          </w:tcPr>
          <w:p w:rsidR="00E86CF1" w:rsidRPr="00F87927" w:rsidRDefault="00E86CF1" w:rsidP="00C60358">
            <w:pPr>
              <w:jc w:val="right"/>
              <w:rPr>
                <w:b/>
              </w:rPr>
            </w:pPr>
            <w:r>
              <w:rPr>
                <w:b/>
              </w:rPr>
              <w:t>EDM</w:t>
            </w:r>
          </w:p>
        </w:tc>
        <w:tc>
          <w:tcPr>
            <w:tcW w:w="7371" w:type="dxa"/>
          </w:tcPr>
          <w:p w:rsidR="00E86CF1" w:rsidRPr="007C7B4D" w:rsidRDefault="00E86CF1" w:rsidP="00C60358">
            <w:r>
              <w:t>Exchange Data Model</w:t>
            </w:r>
          </w:p>
        </w:tc>
      </w:tr>
      <w:tr w:rsidR="00C275D6" w:rsidRPr="00B61F90" w:rsidTr="00CA1BEB">
        <w:trPr>
          <w:trHeight w:val="340"/>
          <w:jc w:val="center"/>
        </w:trPr>
        <w:tc>
          <w:tcPr>
            <w:tcW w:w="1701" w:type="dxa"/>
          </w:tcPr>
          <w:p w:rsidR="00C275D6" w:rsidRPr="00F87927" w:rsidRDefault="00C275D6" w:rsidP="00C60358">
            <w:pPr>
              <w:jc w:val="right"/>
              <w:rPr>
                <w:b/>
              </w:rPr>
            </w:pPr>
            <w:r>
              <w:rPr>
                <w:b/>
              </w:rPr>
              <w:t>EC</w:t>
            </w:r>
          </w:p>
        </w:tc>
        <w:tc>
          <w:tcPr>
            <w:tcW w:w="7371" w:type="dxa"/>
          </w:tcPr>
          <w:p w:rsidR="00C275D6" w:rsidRPr="007C7B4D" w:rsidRDefault="00C275D6" w:rsidP="00C60358">
            <w:r>
              <w:t>European Commission</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EO</w:t>
            </w:r>
          </w:p>
        </w:tc>
        <w:tc>
          <w:tcPr>
            <w:tcW w:w="7371" w:type="dxa"/>
          </w:tcPr>
          <w:p w:rsidR="00C60358" w:rsidRPr="007C7B4D" w:rsidRDefault="00C60358" w:rsidP="00C60358">
            <w:r w:rsidRPr="007C7B4D">
              <w:t>Economic Operator</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ESPD</w:t>
            </w:r>
          </w:p>
        </w:tc>
        <w:tc>
          <w:tcPr>
            <w:tcW w:w="7371" w:type="dxa"/>
          </w:tcPr>
          <w:p w:rsidR="00C60358" w:rsidRPr="007C7B4D" w:rsidRDefault="00C60358" w:rsidP="00C60358">
            <w:r w:rsidRPr="007C7B4D">
              <w:t>Electronic Single Procurement Document</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EU</w:t>
            </w:r>
          </w:p>
        </w:tc>
        <w:tc>
          <w:tcPr>
            <w:tcW w:w="7371" w:type="dxa"/>
          </w:tcPr>
          <w:p w:rsidR="00C60358" w:rsidRPr="007C7B4D" w:rsidRDefault="00C60358" w:rsidP="00C60358">
            <w:r w:rsidRPr="007C7B4D">
              <w:t xml:space="preserve">European Union </w:t>
            </w:r>
          </w:p>
        </w:tc>
      </w:tr>
      <w:tr w:rsidR="00C60358" w:rsidRPr="00B61F90" w:rsidTr="00CA1BEB">
        <w:trPr>
          <w:trHeight w:val="340"/>
          <w:jc w:val="center"/>
        </w:trPr>
        <w:tc>
          <w:tcPr>
            <w:tcW w:w="1701" w:type="dxa"/>
          </w:tcPr>
          <w:p w:rsidR="00C60358" w:rsidRPr="00F87927" w:rsidRDefault="00C60358" w:rsidP="00C60358">
            <w:pPr>
              <w:jc w:val="right"/>
              <w:rPr>
                <w:b/>
                <w:lang w:eastAsia="fr-FR"/>
              </w:rPr>
            </w:pPr>
            <w:r w:rsidRPr="00F87927">
              <w:rPr>
                <w:b/>
              </w:rPr>
              <w:t>e-</w:t>
            </w:r>
            <w:r>
              <w:rPr>
                <w:b/>
              </w:rPr>
              <w:t>Certis</w:t>
            </w:r>
          </w:p>
        </w:tc>
        <w:tc>
          <w:tcPr>
            <w:tcW w:w="7371" w:type="dxa"/>
          </w:tcPr>
          <w:p w:rsidR="00C60358" w:rsidRPr="007C7B4D" w:rsidRDefault="00C60358" w:rsidP="00C60358">
            <w:pPr>
              <w:rPr>
                <w:lang w:eastAsia="fr-FR"/>
              </w:rPr>
            </w:pPr>
            <w:r>
              <w:t xml:space="preserve">Online </w:t>
            </w:r>
            <w:r w:rsidRPr="00F87927">
              <w:t>mapping tool used to identify and compare certificates requested in public procurement procedures across the EU</w:t>
            </w:r>
            <w:r>
              <w:t xml:space="preserve">. Available at the following link: </w:t>
            </w:r>
            <w:r w:rsidRPr="00F87927">
              <w:rPr>
                <w:i/>
              </w:rPr>
              <w:t>https://ec.europa.eu/growth/tools-databases/ecertis/</w:t>
            </w:r>
          </w:p>
        </w:tc>
      </w:tr>
      <w:tr w:rsidR="009351FD" w:rsidRPr="00B61F90" w:rsidTr="00CA1BEB">
        <w:trPr>
          <w:trHeight w:val="340"/>
          <w:jc w:val="center"/>
        </w:trPr>
        <w:tc>
          <w:tcPr>
            <w:tcW w:w="1701" w:type="dxa"/>
          </w:tcPr>
          <w:p w:rsidR="009351FD" w:rsidRPr="00F87927" w:rsidRDefault="009351FD" w:rsidP="00C60358">
            <w:pPr>
              <w:jc w:val="right"/>
              <w:rPr>
                <w:b/>
              </w:rPr>
            </w:pPr>
            <w:r>
              <w:rPr>
                <w:b/>
              </w:rPr>
              <w:t>GURI</w:t>
            </w:r>
          </w:p>
        </w:tc>
        <w:tc>
          <w:tcPr>
            <w:tcW w:w="7371" w:type="dxa"/>
          </w:tcPr>
          <w:p w:rsidR="009351FD" w:rsidRDefault="009351FD" w:rsidP="00C60358">
            <w:r>
              <w:t>Official Journal of the Italian Republic (</w:t>
            </w:r>
            <w:r w:rsidRPr="009351FD">
              <w:rPr>
                <w:i/>
              </w:rPr>
              <w:t>Gazzetta Ufficiale della Repubblica Italiana</w:t>
            </w:r>
            <w:r>
              <w:t>)</w:t>
            </w:r>
          </w:p>
        </w:tc>
      </w:tr>
      <w:tr w:rsidR="002E5D71" w:rsidRPr="00B61F90" w:rsidTr="00CA1BEB">
        <w:trPr>
          <w:trHeight w:val="340"/>
          <w:jc w:val="center"/>
        </w:trPr>
        <w:tc>
          <w:tcPr>
            <w:tcW w:w="1701" w:type="dxa"/>
          </w:tcPr>
          <w:p w:rsidR="002E5D71" w:rsidRPr="00F87927" w:rsidRDefault="002E5D71" w:rsidP="00C60358">
            <w:pPr>
              <w:jc w:val="right"/>
              <w:rPr>
                <w:b/>
              </w:rPr>
            </w:pPr>
            <w:r>
              <w:rPr>
                <w:b/>
              </w:rPr>
              <w:t>MIT</w:t>
            </w:r>
          </w:p>
        </w:tc>
        <w:tc>
          <w:tcPr>
            <w:tcW w:w="7371" w:type="dxa"/>
          </w:tcPr>
          <w:p w:rsidR="002E5D71" w:rsidRDefault="002E5D71" w:rsidP="00C60358">
            <w:r>
              <w:t>Ministry for Infrastructures and Transports</w:t>
            </w:r>
            <w:r w:rsidR="009351FD">
              <w:t xml:space="preserve"> (</w:t>
            </w:r>
            <w:r w:rsidR="009351FD" w:rsidRPr="009351FD">
              <w:rPr>
                <w:i/>
              </w:rPr>
              <w:t>Ministero delle Infrastrutture e dei Trasporti</w:t>
            </w:r>
            <w:r w:rsidR="009351FD">
              <w:t>)</w:t>
            </w:r>
          </w:p>
        </w:tc>
      </w:tr>
      <w:tr w:rsidR="00C60358" w:rsidRPr="00B61F90" w:rsidTr="00CA1BEB">
        <w:trPr>
          <w:trHeight w:val="340"/>
          <w:jc w:val="center"/>
        </w:trPr>
        <w:tc>
          <w:tcPr>
            <w:tcW w:w="1701" w:type="dxa"/>
          </w:tcPr>
          <w:p w:rsidR="00C60358" w:rsidRPr="00F87927" w:rsidRDefault="00C60358" w:rsidP="00C60358">
            <w:pPr>
              <w:jc w:val="right"/>
              <w:rPr>
                <w:b/>
                <w:lang w:eastAsia="fr-FR"/>
              </w:rPr>
            </w:pPr>
            <w:r w:rsidRPr="00F87927">
              <w:rPr>
                <w:b/>
              </w:rPr>
              <w:t>MS</w:t>
            </w:r>
          </w:p>
        </w:tc>
        <w:tc>
          <w:tcPr>
            <w:tcW w:w="7371" w:type="dxa"/>
          </w:tcPr>
          <w:p w:rsidR="00C60358" w:rsidRPr="007C7B4D" w:rsidRDefault="00C60358" w:rsidP="00C60358">
            <w:pPr>
              <w:rPr>
                <w:lang w:eastAsia="fr-FR"/>
              </w:rPr>
            </w:pPr>
            <w:r w:rsidRPr="007C7B4D">
              <w:t>Member State</w:t>
            </w:r>
          </w:p>
        </w:tc>
      </w:tr>
      <w:tr w:rsidR="00C60358" w:rsidRPr="00B61F90" w:rsidTr="00CA1BEB">
        <w:trPr>
          <w:trHeight w:val="340"/>
          <w:jc w:val="center"/>
        </w:trPr>
        <w:tc>
          <w:tcPr>
            <w:tcW w:w="1701" w:type="dxa"/>
          </w:tcPr>
          <w:p w:rsidR="00C60358" w:rsidRPr="00F87927" w:rsidRDefault="00C60358" w:rsidP="00C60358">
            <w:pPr>
              <w:jc w:val="right"/>
              <w:rPr>
                <w:b/>
              </w:rPr>
            </w:pPr>
            <w:r>
              <w:rPr>
                <w:b/>
              </w:rPr>
              <w:t>NACK</w:t>
            </w:r>
          </w:p>
        </w:tc>
        <w:tc>
          <w:tcPr>
            <w:tcW w:w="7371" w:type="dxa"/>
          </w:tcPr>
          <w:p w:rsidR="00C60358" w:rsidRPr="007C7B4D" w:rsidRDefault="00C60358" w:rsidP="00C60358">
            <w:r>
              <w:t>Not Acknowledged. Negative reply obtained after invoking web-services provided by SIMOG to check submitted ESPD criteria for compliancy</w:t>
            </w:r>
          </w:p>
        </w:tc>
      </w:tr>
      <w:tr w:rsidR="00C60358" w:rsidRPr="00F87927" w:rsidTr="00CA1BEB">
        <w:trPr>
          <w:trHeight w:val="340"/>
          <w:jc w:val="center"/>
        </w:trPr>
        <w:tc>
          <w:tcPr>
            <w:tcW w:w="1701" w:type="dxa"/>
          </w:tcPr>
          <w:p w:rsidR="00C60358" w:rsidRPr="00F87927" w:rsidRDefault="00C60358" w:rsidP="00C60358">
            <w:pPr>
              <w:jc w:val="right"/>
              <w:rPr>
                <w:b/>
                <w:lang w:eastAsia="fr-FR"/>
              </w:rPr>
            </w:pPr>
            <w:r w:rsidRPr="00F87927">
              <w:rPr>
                <w:b/>
              </w:rPr>
              <w:t>PA</w:t>
            </w:r>
          </w:p>
        </w:tc>
        <w:tc>
          <w:tcPr>
            <w:tcW w:w="7371" w:type="dxa"/>
          </w:tcPr>
          <w:p w:rsidR="00C60358" w:rsidRPr="00F87927" w:rsidRDefault="00C60358" w:rsidP="00C60358">
            <w:pPr>
              <w:rPr>
                <w:lang w:val="it-IT" w:eastAsia="fr-FR"/>
              </w:rPr>
            </w:pPr>
            <w:r w:rsidRPr="007C7B4D">
              <w:t>Public Administration</w:t>
            </w:r>
          </w:p>
        </w:tc>
      </w:tr>
      <w:tr w:rsidR="00C60358" w:rsidRPr="00F87927" w:rsidTr="00CA1BEB">
        <w:trPr>
          <w:trHeight w:val="340"/>
          <w:jc w:val="center"/>
        </w:trPr>
        <w:tc>
          <w:tcPr>
            <w:tcW w:w="1701" w:type="dxa"/>
          </w:tcPr>
          <w:p w:rsidR="00C60358" w:rsidRPr="00F87927" w:rsidRDefault="00C60358" w:rsidP="00C60358">
            <w:pPr>
              <w:jc w:val="right"/>
              <w:rPr>
                <w:b/>
                <w:lang w:eastAsia="fr-FR"/>
              </w:rPr>
            </w:pPr>
            <w:r w:rsidRPr="00F87927">
              <w:rPr>
                <w:b/>
              </w:rPr>
              <w:t>PEPPOL</w:t>
            </w:r>
          </w:p>
        </w:tc>
        <w:tc>
          <w:tcPr>
            <w:tcW w:w="7371" w:type="dxa"/>
          </w:tcPr>
          <w:p w:rsidR="00C60358" w:rsidRPr="00F87927" w:rsidRDefault="00C60358" w:rsidP="00C60358">
            <w:pPr>
              <w:rPr>
                <w:lang w:val="en-US" w:eastAsia="fr-FR"/>
              </w:rPr>
            </w:pPr>
            <w:r w:rsidRPr="007C7B4D">
              <w:t>Pan-European Public Procurement Online</w:t>
            </w:r>
          </w:p>
        </w:tc>
      </w:tr>
      <w:tr w:rsidR="00C60358" w:rsidRPr="00B61D8D" w:rsidTr="00CA1BEB">
        <w:trPr>
          <w:trHeight w:val="340"/>
          <w:jc w:val="center"/>
        </w:trPr>
        <w:tc>
          <w:tcPr>
            <w:tcW w:w="1701" w:type="dxa"/>
          </w:tcPr>
          <w:p w:rsidR="00C60358" w:rsidRPr="00F87927" w:rsidRDefault="00C60358" w:rsidP="00C60358">
            <w:pPr>
              <w:jc w:val="right"/>
              <w:rPr>
                <w:b/>
              </w:rPr>
            </w:pPr>
            <w:r>
              <w:rPr>
                <w:b/>
              </w:rPr>
              <w:t>SIMOG</w:t>
            </w:r>
          </w:p>
        </w:tc>
        <w:tc>
          <w:tcPr>
            <w:tcW w:w="7371" w:type="dxa"/>
          </w:tcPr>
          <w:p w:rsidR="00C60358" w:rsidRPr="00B61D8D" w:rsidRDefault="00C60358" w:rsidP="00C60358">
            <w:pPr>
              <w:rPr>
                <w:lang w:val="en-US"/>
              </w:rPr>
            </w:pPr>
            <w:r w:rsidRPr="00B61D8D">
              <w:rPr>
                <w:i/>
                <w:lang w:val="en-US"/>
              </w:rPr>
              <w:t>Sistema Informativo Monitoraggio Gare</w:t>
            </w:r>
            <w:r w:rsidRPr="00B61D8D">
              <w:rPr>
                <w:lang w:val="en-US"/>
              </w:rPr>
              <w:t xml:space="preserve"> (Tender Monitoring Information System): </w:t>
            </w:r>
            <w:r>
              <w:rPr>
                <w:lang w:val="en-US"/>
              </w:rPr>
              <w:t>online national s</w:t>
            </w:r>
            <w:r w:rsidRPr="00B61D8D">
              <w:rPr>
                <w:lang w:val="en-US"/>
              </w:rPr>
              <w:t xml:space="preserve">ystem that allows Contracting </w:t>
            </w:r>
            <w:r>
              <w:rPr>
                <w:lang w:val="en-US"/>
              </w:rPr>
              <w:t>Authorities (CAs)</w:t>
            </w:r>
            <w:r w:rsidRPr="00B61D8D">
              <w:rPr>
                <w:lang w:val="en-US"/>
              </w:rPr>
              <w:t xml:space="preserve"> to request the Contract Reference Number </w:t>
            </w:r>
            <w:r>
              <w:rPr>
                <w:lang w:val="en-US"/>
              </w:rPr>
              <w:t xml:space="preserve">(CIG) </w:t>
            </w:r>
            <w:r w:rsidRPr="00B61D8D">
              <w:rPr>
                <w:lang w:val="en-US"/>
              </w:rPr>
              <w:t>required for economic operators to pay the contribution to the Authority due for participation in public tenders</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SME</w:t>
            </w:r>
          </w:p>
        </w:tc>
        <w:tc>
          <w:tcPr>
            <w:tcW w:w="7371" w:type="dxa"/>
          </w:tcPr>
          <w:p w:rsidR="00C60358" w:rsidRPr="007C7B4D" w:rsidRDefault="00C60358" w:rsidP="00C60358">
            <w:pPr>
              <w:rPr>
                <w:lang w:val="en-US"/>
              </w:rPr>
            </w:pPr>
            <w:r w:rsidRPr="007C7B4D">
              <w:t>Small-Medium Enterprise</w:t>
            </w:r>
          </w:p>
        </w:tc>
      </w:tr>
      <w:tr w:rsidR="009351FD" w:rsidRPr="00B61F90" w:rsidTr="00CA1BEB">
        <w:trPr>
          <w:trHeight w:val="340"/>
          <w:jc w:val="center"/>
        </w:trPr>
        <w:tc>
          <w:tcPr>
            <w:tcW w:w="1701" w:type="dxa"/>
          </w:tcPr>
          <w:p w:rsidR="009351FD" w:rsidRPr="00F87927" w:rsidRDefault="009351FD" w:rsidP="00C60358">
            <w:pPr>
              <w:jc w:val="right"/>
              <w:rPr>
                <w:b/>
              </w:rPr>
            </w:pPr>
            <w:r>
              <w:rPr>
                <w:b/>
              </w:rPr>
              <w:t>TED</w:t>
            </w:r>
          </w:p>
        </w:tc>
        <w:tc>
          <w:tcPr>
            <w:tcW w:w="7371" w:type="dxa"/>
          </w:tcPr>
          <w:p w:rsidR="009351FD" w:rsidRPr="007C7B4D" w:rsidRDefault="009351FD" w:rsidP="00C60358">
            <w:r>
              <w:t>Tenders Electronic Daily</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UC</w:t>
            </w:r>
          </w:p>
        </w:tc>
        <w:tc>
          <w:tcPr>
            <w:tcW w:w="7371" w:type="dxa"/>
          </w:tcPr>
          <w:p w:rsidR="00C60358" w:rsidRPr="007C7B4D" w:rsidRDefault="00C60358" w:rsidP="00C60358">
            <w:r w:rsidRPr="007C7B4D">
              <w:t>Use Case</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WS</w:t>
            </w:r>
          </w:p>
        </w:tc>
        <w:tc>
          <w:tcPr>
            <w:tcW w:w="7371" w:type="dxa"/>
          </w:tcPr>
          <w:p w:rsidR="00C60358" w:rsidRPr="007C7B4D" w:rsidRDefault="00C60358" w:rsidP="00C60358">
            <w:r w:rsidRPr="007C7B4D">
              <w:t>Web Service</w:t>
            </w:r>
          </w:p>
        </w:tc>
      </w:tr>
      <w:tr w:rsidR="00C60358" w:rsidRPr="00B61F90" w:rsidTr="00CA1BEB">
        <w:trPr>
          <w:trHeight w:val="340"/>
          <w:jc w:val="center"/>
        </w:trPr>
        <w:tc>
          <w:tcPr>
            <w:tcW w:w="1701" w:type="dxa"/>
          </w:tcPr>
          <w:p w:rsidR="00C60358" w:rsidRPr="00F87927" w:rsidRDefault="00C60358" w:rsidP="00C60358">
            <w:pPr>
              <w:jc w:val="right"/>
              <w:rPr>
                <w:b/>
              </w:rPr>
            </w:pPr>
            <w:r w:rsidRPr="00F87927">
              <w:rPr>
                <w:b/>
              </w:rPr>
              <w:t>XML</w:t>
            </w:r>
          </w:p>
        </w:tc>
        <w:tc>
          <w:tcPr>
            <w:tcW w:w="7371" w:type="dxa"/>
          </w:tcPr>
          <w:p w:rsidR="00C60358" w:rsidRPr="007C7B4D" w:rsidRDefault="00C60358" w:rsidP="00C60358">
            <w:r w:rsidRPr="007C7B4D">
              <w:t>eXtensible Markup Language</w:t>
            </w:r>
          </w:p>
        </w:tc>
      </w:tr>
      <w:tr w:rsidR="00C60358" w:rsidRPr="00B61F90" w:rsidTr="00CA1BEB">
        <w:trPr>
          <w:trHeight w:val="340"/>
          <w:jc w:val="center"/>
        </w:trPr>
        <w:tc>
          <w:tcPr>
            <w:tcW w:w="1701" w:type="dxa"/>
          </w:tcPr>
          <w:p w:rsidR="00C60358" w:rsidRPr="00F87927" w:rsidRDefault="00C60358" w:rsidP="00C60358">
            <w:pPr>
              <w:jc w:val="right"/>
              <w:rPr>
                <w:b/>
              </w:rPr>
            </w:pPr>
          </w:p>
        </w:tc>
        <w:tc>
          <w:tcPr>
            <w:tcW w:w="7371" w:type="dxa"/>
          </w:tcPr>
          <w:p w:rsidR="00C60358" w:rsidRPr="007C7B4D" w:rsidRDefault="00C60358" w:rsidP="00C60358"/>
        </w:tc>
      </w:tr>
      <w:tr w:rsidR="00C60358" w:rsidRPr="00B61F90" w:rsidTr="00CA1BEB">
        <w:trPr>
          <w:trHeight w:val="340"/>
          <w:jc w:val="center"/>
        </w:trPr>
        <w:tc>
          <w:tcPr>
            <w:tcW w:w="1701" w:type="dxa"/>
          </w:tcPr>
          <w:p w:rsidR="00C60358" w:rsidRPr="00F87927" w:rsidRDefault="00C60358" w:rsidP="00C60358">
            <w:pPr>
              <w:jc w:val="right"/>
              <w:rPr>
                <w:b/>
              </w:rPr>
            </w:pPr>
          </w:p>
        </w:tc>
        <w:tc>
          <w:tcPr>
            <w:tcW w:w="7371" w:type="dxa"/>
          </w:tcPr>
          <w:p w:rsidR="00C60358" w:rsidRPr="007C7B4D" w:rsidRDefault="00C60358" w:rsidP="00C60358"/>
        </w:tc>
      </w:tr>
      <w:tr w:rsidR="00C60358" w:rsidRPr="00B61F90" w:rsidTr="00CA1BEB">
        <w:trPr>
          <w:trHeight w:val="340"/>
          <w:jc w:val="center"/>
        </w:trPr>
        <w:tc>
          <w:tcPr>
            <w:tcW w:w="1701" w:type="dxa"/>
          </w:tcPr>
          <w:p w:rsidR="00C60358" w:rsidRPr="00F87927" w:rsidRDefault="00C60358" w:rsidP="00C60358">
            <w:pPr>
              <w:jc w:val="right"/>
              <w:rPr>
                <w:b/>
              </w:rPr>
            </w:pPr>
          </w:p>
        </w:tc>
        <w:tc>
          <w:tcPr>
            <w:tcW w:w="7371" w:type="dxa"/>
          </w:tcPr>
          <w:p w:rsidR="00C60358" w:rsidRPr="007C7B4D" w:rsidRDefault="00C60358" w:rsidP="00C60358"/>
        </w:tc>
      </w:tr>
    </w:tbl>
    <w:p w:rsidR="007D5659" w:rsidRPr="00B61F90" w:rsidRDefault="007D5659" w:rsidP="007D5659"/>
    <w:p w:rsidR="007D5659" w:rsidRPr="00B61F90" w:rsidRDefault="007D5659">
      <w:pPr>
        <w:jc w:val="left"/>
        <w:rPr>
          <w:rFonts w:asciiTheme="majorHAnsi" w:eastAsiaTheme="majorEastAsia" w:hAnsiTheme="majorHAnsi" w:cstheme="majorBidi"/>
          <w:b/>
          <w:sz w:val="32"/>
          <w:szCs w:val="32"/>
        </w:rPr>
      </w:pPr>
      <w:r w:rsidRPr="00B61F90">
        <w:br w:type="page"/>
      </w:r>
    </w:p>
    <w:p w:rsidR="00A96A72" w:rsidRPr="00B61F90" w:rsidRDefault="00CA1BEB" w:rsidP="00CA1BEB">
      <w:pPr>
        <w:pStyle w:val="Heading1"/>
        <w:ind w:left="431" w:hanging="431"/>
      </w:pPr>
      <w:bookmarkStart w:id="6" w:name="_Toc489278362"/>
      <w:r w:rsidRPr="00B61F90">
        <w:lastRenderedPageBreak/>
        <w:t>Executive summary</w:t>
      </w:r>
      <w:bookmarkEnd w:id="6"/>
    </w:p>
    <w:p w:rsidR="004D23DB" w:rsidRDefault="00052D32" w:rsidP="004D23DB">
      <w:r>
        <w:t>P</w:t>
      </w:r>
      <w:r w:rsidR="004D23DB">
        <w:t xml:space="preserve">urpose of this document is to describe the enhancements and new implementations </w:t>
      </w:r>
      <w:r w:rsidR="008C0491">
        <w:t>designed</w:t>
      </w:r>
      <w:r>
        <w:t xml:space="preserve"> </w:t>
      </w:r>
      <w:r w:rsidR="004D23DB">
        <w:t xml:space="preserve">to </w:t>
      </w:r>
      <w:r w:rsidR="008C0491">
        <w:t xml:space="preserve">cover </w:t>
      </w:r>
      <w:r w:rsidR="004D23DB">
        <w:t>the business processes involved in the creation, management and upload / download of the ESPD document (request or response).</w:t>
      </w:r>
    </w:p>
    <w:p w:rsidR="002745D2" w:rsidRDefault="002745D2" w:rsidP="004D23DB">
      <w:r>
        <w:t>The To Be scenario has been built based on the following three foundational layers:</w:t>
      </w:r>
    </w:p>
    <w:p w:rsidR="002745D2" w:rsidRDefault="002745D2" w:rsidP="006103F9">
      <w:pPr>
        <w:pStyle w:val="ListParagraph"/>
        <w:numPr>
          <w:ilvl w:val="0"/>
          <w:numId w:val="26"/>
        </w:numPr>
      </w:pPr>
      <w:r w:rsidRPr="00194580">
        <w:rPr>
          <w:i/>
        </w:rPr>
        <w:t>Business layer</w:t>
      </w:r>
      <w:r w:rsidR="00194580">
        <w:t xml:space="preserve">, dealing with </w:t>
      </w:r>
      <w:r>
        <w:t xml:space="preserve">processes, </w:t>
      </w:r>
      <w:r w:rsidR="00194580">
        <w:t xml:space="preserve">functions and events </w:t>
      </w:r>
      <w:r>
        <w:t>performe</w:t>
      </w:r>
      <w:r w:rsidR="00194580">
        <w:t>d or used by business actors and roles;</w:t>
      </w:r>
    </w:p>
    <w:p w:rsidR="002745D2" w:rsidRDefault="00194580" w:rsidP="006103F9">
      <w:pPr>
        <w:pStyle w:val="ListParagraph"/>
        <w:numPr>
          <w:ilvl w:val="0"/>
          <w:numId w:val="26"/>
        </w:numPr>
      </w:pPr>
      <w:r w:rsidRPr="00194580">
        <w:rPr>
          <w:i/>
        </w:rPr>
        <w:t>A</w:t>
      </w:r>
      <w:r w:rsidR="002745D2" w:rsidRPr="00194580">
        <w:rPr>
          <w:i/>
        </w:rPr>
        <w:t>pplication layer</w:t>
      </w:r>
      <w:r>
        <w:t xml:space="preserve">, that is </w:t>
      </w:r>
      <w:r w:rsidR="002745D2">
        <w:t xml:space="preserve">software applications </w:t>
      </w:r>
      <w:r>
        <w:t>which provide services capable to enable the business layer;</w:t>
      </w:r>
    </w:p>
    <w:p w:rsidR="002745D2" w:rsidRDefault="00194580" w:rsidP="006103F9">
      <w:pPr>
        <w:pStyle w:val="ListParagraph"/>
        <w:numPr>
          <w:ilvl w:val="0"/>
          <w:numId w:val="26"/>
        </w:numPr>
      </w:pPr>
      <w:r>
        <w:rPr>
          <w:i/>
        </w:rPr>
        <w:t>The Technology layer</w:t>
      </w:r>
      <w:r>
        <w:t xml:space="preserve">, represented by </w:t>
      </w:r>
      <w:r w:rsidR="002745D2">
        <w:t xml:space="preserve">the hardware and communication infrastructure </w:t>
      </w:r>
      <w:r>
        <w:t>supporting</w:t>
      </w:r>
      <w:r w:rsidR="002745D2">
        <w:t xml:space="preserve"> the Application Layer.</w:t>
      </w:r>
    </w:p>
    <w:p w:rsidR="008C0491" w:rsidRDefault="00194580" w:rsidP="004D23DB">
      <w:r>
        <w:t>In particular, s</w:t>
      </w:r>
      <w:r w:rsidR="004D23DB">
        <w:t xml:space="preserve">tarting from the analysis of the </w:t>
      </w:r>
      <w:r w:rsidR="00ED11ED">
        <w:t xml:space="preserve">features </w:t>
      </w:r>
      <w:r w:rsidR="00E12997">
        <w:t>required</w:t>
      </w:r>
      <w:r w:rsidR="004D23DB">
        <w:t xml:space="preserve"> to support the </w:t>
      </w:r>
      <w:r w:rsidR="00ED11ED">
        <w:t xml:space="preserve">operational tasks of the end users belonging to the </w:t>
      </w:r>
      <w:r w:rsidR="00E12997">
        <w:t>CA</w:t>
      </w:r>
      <w:r w:rsidR="00ED11ED">
        <w:t xml:space="preserve"> or </w:t>
      </w:r>
      <w:r w:rsidR="00E12997">
        <w:t>EO</w:t>
      </w:r>
      <w:r w:rsidR="00ED11ED">
        <w:t xml:space="preserve">, we have </w:t>
      </w:r>
      <w:r w:rsidR="00A23C5C">
        <w:t>defined</w:t>
      </w:r>
      <w:r w:rsidR="00052D32">
        <w:t xml:space="preserve"> </w:t>
      </w:r>
      <w:r w:rsidR="00A23C5C">
        <w:t>the logical components and dataset of the target model</w:t>
      </w:r>
      <w:r w:rsidR="008C0491">
        <w:t xml:space="preserve">, together with the integration services needed to support the exchange of relevant data with A.N.AC. </w:t>
      </w:r>
      <w:r w:rsidR="004D23DB">
        <w:t xml:space="preserve">information system (SIMOG) throughout the </w:t>
      </w:r>
      <w:r w:rsidR="008C0491">
        <w:t xml:space="preserve">overall </w:t>
      </w:r>
      <w:r w:rsidR="004D23DB">
        <w:t xml:space="preserve">lifecycle of </w:t>
      </w:r>
      <w:r w:rsidR="008C0491">
        <w:t>a public tender</w:t>
      </w:r>
      <w:r w:rsidR="004D23DB">
        <w:t>.</w:t>
      </w:r>
    </w:p>
    <w:p w:rsidR="000126CA" w:rsidRDefault="000126CA" w:rsidP="004D23DB">
      <w:r>
        <w:t xml:space="preserve">This project is closely linked to the </w:t>
      </w:r>
      <w:r w:rsidRPr="000126CA">
        <w:rPr>
          <w:i/>
        </w:rPr>
        <w:t>IIeP – Italian Interoperable eProcurement</w:t>
      </w:r>
      <w:r>
        <w:t xml:space="preserve"> action (</w:t>
      </w:r>
      <w:r w:rsidRPr="000126CA">
        <w:t>2015-IT-IA-0108</w:t>
      </w:r>
      <w:r>
        <w:t xml:space="preserve">) co-financed by the European Commission and aiming to leverage the online service of e-Certis to </w:t>
      </w:r>
      <w:r w:rsidR="00E17F9F">
        <w:t>get</w:t>
      </w:r>
      <w:r>
        <w:t xml:space="preserve"> the selection criteria and exclusion grounds needed to build an ESPD request compliant with the EC ESPD standard form.</w:t>
      </w:r>
    </w:p>
    <w:p w:rsidR="00CB5D69" w:rsidRDefault="00E17F9F" w:rsidP="004D23DB">
      <w:r>
        <w:t>Within the operational framework depicted in that action, the eProcurement platform</w:t>
      </w:r>
      <w:r w:rsidRPr="00E17F9F">
        <w:t xml:space="preserve"> </w:t>
      </w:r>
      <w:r>
        <w:t>uses specific services made available by SIMOG to r</w:t>
      </w:r>
      <w:r w:rsidRPr="00E17F9F">
        <w:t>etrieve and store</w:t>
      </w:r>
      <w:r>
        <w:t xml:space="preserve"> </w:t>
      </w:r>
      <w:r w:rsidRPr="00E17F9F">
        <w:t>strict / national criteria published in e-Certis and transcoded for all EU countries</w:t>
      </w:r>
      <w:r>
        <w:t xml:space="preserve">. This way, </w:t>
      </w:r>
      <w:r w:rsidRPr="00E17F9F">
        <w:t>the completeness, correctness and validity of the selection criteria / exclusion grounds included in a ESPD Request created in SATER</w:t>
      </w:r>
      <w:r>
        <w:t xml:space="preserve"> can be properly checked.</w:t>
      </w:r>
    </w:p>
    <w:p w:rsidR="007C7541" w:rsidRDefault="007C7541" w:rsidP="004D23DB">
      <w:r>
        <w:t xml:space="preserve">The expected benefits of the implementation described in this deliverable are many. Firstly, it introduces a guided and standardized way of creating the ESPD request needed for capturing data of </w:t>
      </w:r>
      <w:r w:rsidR="00923166">
        <w:t xml:space="preserve">the </w:t>
      </w:r>
      <w:r>
        <w:t xml:space="preserve">EOs interested in participating </w:t>
      </w:r>
      <w:r w:rsidR="00923166">
        <w:t>in</w:t>
      </w:r>
      <w:r>
        <w:t xml:space="preserve"> a public tender. Moreover, it simplifies</w:t>
      </w:r>
      <w:r w:rsidRPr="007C7541">
        <w:t xml:space="preserve"> life of businesses – especially SMEs – engaging them in larger number of “at home” and cross borders tenders, by </w:t>
      </w:r>
      <w:r w:rsidR="00923166">
        <w:t>fostering the reuse of ESPD responses previously filled on other eProcurement platforms or through the online eESPD service of the EC.</w:t>
      </w:r>
    </w:p>
    <w:p w:rsidR="00EE5075" w:rsidRDefault="00F32D2B" w:rsidP="00CA1BEB">
      <w:r>
        <w:t xml:space="preserve">The </w:t>
      </w:r>
      <w:r w:rsidR="007A5FFE">
        <w:t xml:space="preserve">present document opens with a </w:t>
      </w:r>
      <w:r w:rsidR="00FD4791">
        <w:t xml:space="preserve">general </w:t>
      </w:r>
      <w:r w:rsidR="00EE5075">
        <w:t>introduction on</w:t>
      </w:r>
      <w:r w:rsidR="00FD4791">
        <w:t xml:space="preserve"> the most relevant </w:t>
      </w:r>
      <w:r w:rsidR="00EE5075">
        <w:t xml:space="preserve">normative and operational references </w:t>
      </w:r>
      <w:r w:rsidR="007A5FFE">
        <w:t xml:space="preserve">related to project scope </w:t>
      </w:r>
      <w:r w:rsidR="00EE5075">
        <w:t>(chapter 2).</w:t>
      </w:r>
    </w:p>
    <w:p w:rsidR="007A5FFE" w:rsidRDefault="007A5FFE" w:rsidP="007A5FFE">
      <w:r>
        <w:t>After an introductory chapter framing the general context of the project (chapter 3), we move the focus to the core sections of the document. In particular:</w:t>
      </w:r>
    </w:p>
    <w:p w:rsidR="007A5FFE" w:rsidRDefault="007C1DAC" w:rsidP="006103F9">
      <w:pPr>
        <w:pStyle w:val="ListParagraph"/>
        <w:numPr>
          <w:ilvl w:val="0"/>
          <w:numId w:val="20"/>
        </w:numPr>
        <w:spacing w:after="240" w:line="240" w:lineRule="auto"/>
        <w:ind w:left="284" w:hanging="284"/>
        <w:contextualSpacing w:val="0"/>
      </w:pPr>
      <w:r>
        <w:t>C</w:t>
      </w:r>
      <w:r w:rsidR="007A5FFE">
        <w:t xml:space="preserve">hapter 4 </w:t>
      </w:r>
      <w:r w:rsidR="007A5FFE" w:rsidRPr="007A5FFE">
        <w:t>presents the high-level architecture of the integration model, with evidence of the technical components to be added or enhanced and the set of services to be released in ord</w:t>
      </w:r>
      <w:r w:rsidR="007A5FFE">
        <w:t xml:space="preserve">er to enable the target scenario. It also includes a sequence diagram of a typical eTendering scenario, where the steps related to </w:t>
      </w:r>
      <w:r w:rsidR="00D11B1F">
        <w:t>the ESPD request creation and</w:t>
      </w:r>
      <w:r w:rsidR="007A5FFE">
        <w:t xml:space="preserve"> validation are represented in a graphical mode</w:t>
      </w:r>
      <w:r w:rsidR="00D11B1F">
        <w:t>,</w:t>
      </w:r>
      <w:r w:rsidR="007A5FFE">
        <w:t xml:space="preserve"> together with the main process phases;</w:t>
      </w:r>
    </w:p>
    <w:p w:rsidR="00527277" w:rsidRDefault="007C1DAC" w:rsidP="006103F9">
      <w:pPr>
        <w:pStyle w:val="ListParagraph"/>
        <w:numPr>
          <w:ilvl w:val="0"/>
          <w:numId w:val="20"/>
        </w:numPr>
        <w:spacing w:after="240" w:line="240" w:lineRule="auto"/>
        <w:ind w:left="284" w:hanging="284"/>
        <w:contextualSpacing w:val="0"/>
      </w:pPr>
      <w:r>
        <w:t>Chapter 5 describes in detail the m</w:t>
      </w:r>
      <w:r w:rsidRPr="007C1DAC">
        <w:t>ain gaps found during the As Is analysis of the existing systems and applications</w:t>
      </w:r>
      <w:r>
        <w:t xml:space="preserve">. </w:t>
      </w:r>
      <w:r w:rsidRPr="007C1DAC">
        <w:t>For each gap, a functional solution is identified, anticipating the technical design of data model and integration services described respectively</w:t>
      </w:r>
      <w:r>
        <w:t xml:space="preserve"> in chapters 6 and 7.</w:t>
      </w:r>
    </w:p>
    <w:p w:rsidR="00A01937" w:rsidRPr="00B61F90" w:rsidRDefault="00527277" w:rsidP="00527277">
      <w:pPr>
        <w:jc w:val="left"/>
      </w:pPr>
      <w:r>
        <w:br w:type="page"/>
      </w:r>
    </w:p>
    <w:p w:rsidR="00CA1BEB" w:rsidRPr="00B61F90" w:rsidRDefault="00CA1BEB" w:rsidP="00CA1BEB">
      <w:pPr>
        <w:pStyle w:val="Heading1"/>
      </w:pPr>
      <w:bookmarkStart w:id="7" w:name="_Toc489278363"/>
      <w:r w:rsidRPr="00B61F90">
        <w:lastRenderedPageBreak/>
        <w:t>Normative references</w:t>
      </w:r>
      <w:r w:rsidR="00031A7C">
        <w:t xml:space="preserve"> and EU online services</w:t>
      </w:r>
      <w:bookmarkEnd w:id="7"/>
    </w:p>
    <w:p w:rsidR="00031A7C" w:rsidRPr="00031A7C" w:rsidRDefault="00031A7C" w:rsidP="00CA1BEB">
      <w:pPr>
        <w:rPr>
          <w:b/>
        </w:rPr>
      </w:pPr>
      <w:r w:rsidRPr="00031A7C">
        <w:rPr>
          <w:b/>
        </w:rPr>
        <w:t>Normative references</w:t>
      </w:r>
    </w:p>
    <w:p w:rsidR="00CA1BEB" w:rsidRPr="00B61F90" w:rsidRDefault="00CA1BEB" w:rsidP="00CA1BEB">
      <w:r w:rsidRPr="00B61F90">
        <w:t>The following documents, in whole or in part, are normatively referenced in this d</w:t>
      </w:r>
      <w:r w:rsidR="00EC55D1">
        <w:t>eliverable and their knowledge is useful to understand the scope and goal of the initiative</w:t>
      </w:r>
      <w:r w:rsidRPr="00B61F90">
        <w:t>.</w:t>
      </w:r>
    </w:p>
    <w:p w:rsidR="00D4382A" w:rsidRDefault="00D4382A" w:rsidP="00D4382A">
      <w:r w:rsidRPr="00B61F90">
        <w:t xml:space="preserve">It is important to notice that </w:t>
      </w:r>
      <w:r w:rsidR="00EC55D1">
        <w:t>below mentioned</w:t>
      </w:r>
      <w:r w:rsidRPr="00B61F90">
        <w:t xml:space="preserve"> documents are analysed and referenced in their status at the time this deliverable has been prepared (</w:t>
      </w:r>
      <w:r w:rsidR="00EC55D1">
        <w:t>July - August 2017).</w:t>
      </w:r>
    </w:p>
    <w:p w:rsidR="00EC55D1" w:rsidRDefault="00EC55D1" w:rsidP="006103F9">
      <w:pPr>
        <w:pStyle w:val="ListParagraph"/>
        <w:numPr>
          <w:ilvl w:val="0"/>
          <w:numId w:val="17"/>
        </w:numPr>
        <w:spacing w:after="120" w:line="240" w:lineRule="auto"/>
        <w:ind w:left="284" w:hanging="284"/>
        <w:contextualSpacing w:val="0"/>
      </w:pPr>
      <w:r w:rsidRPr="00EC55D1">
        <w:t>Directive</w:t>
      </w:r>
      <w:r>
        <w:t>s</w:t>
      </w:r>
      <w:r w:rsidRPr="00EC55D1">
        <w:t xml:space="preserve"> 2014/24/EU </w:t>
      </w:r>
      <w:r>
        <w:t xml:space="preserve">and </w:t>
      </w:r>
      <w:r w:rsidRPr="00EC55D1">
        <w:t xml:space="preserve">2014/25/EU of the European Parliament </w:t>
      </w:r>
      <w:r>
        <w:t xml:space="preserve">respectively </w:t>
      </w:r>
      <w:r w:rsidRPr="00EC55D1">
        <w:t>on public procurement</w:t>
      </w:r>
      <w:r>
        <w:t xml:space="preserve"> and procurement </w:t>
      </w:r>
      <w:r w:rsidRPr="00EC55D1">
        <w:t>by entities operating in the water, energy, transport and postal services sectors</w:t>
      </w:r>
      <w:r w:rsidR="00816759">
        <w:t xml:space="preserve">. Both documents introduce the adoption of the ESPD (European Single Procurement Document) as </w:t>
      </w:r>
      <w:r w:rsidR="002E5D71">
        <w:t>a</w:t>
      </w:r>
      <w:r w:rsidR="00816759">
        <w:t xml:space="preserve"> </w:t>
      </w:r>
      <w:r w:rsidR="00031A7C" w:rsidRPr="00031A7C">
        <w:t>self-declaration document intended for preliminary evidence in a public procurement procedure</w:t>
      </w:r>
      <w:r w:rsidR="002E5D71">
        <w:t xml:space="preserve">, </w:t>
      </w:r>
      <w:r w:rsidR="00816759">
        <w:t xml:space="preserve">obviating </w:t>
      </w:r>
      <w:r w:rsidR="00816759" w:rsidRPr="00816759">
        <w:t>the need to produce a substantial number of certificates or other documents related to exclusion and selection criteria</w:t>
      </w:r>
      <w:r w:rsidR="00816759">
        <w:t xml:space="preserve"> in a public tender.</w:t>
      </w:r>
    </w:p>
    <w:p w:rsidR="00816759" w:rsidRDefault="00816759" w:rsidP="00816759">
      <w:pPr>
        <w:pStyle w:val="ListParagraph"/>
        <w:spacing w:after="60" w:line="240" w:lineRule="auto"/>
        <w:ind w:left="284"/>
        <w:contextualSpacing w:val="0"/>
      </w:pPr>
      <w:r>
        <w:t>In particular:</w:t>
      </w:r>
    </w:p>
    <w:p w:rsidR="00816759" w:rsidRDefault="00816759" w:rsidP="006103F9">
      <w:pPr>
        <w:pStyle w:val="ListParagraph"/>
        <w:numPr>
          <w:ilvl w:val="1"/>
          <w:numId w:val="17"/>
        </w:numPr>
        <w:spacing w:after="60" w:line="240" w:lineRule="auto"/>
        <w:ind w:left="851"/>
        <w:contextualSpacing w:val="0"/>
      </w:pPr>
      <w:r w:rsidRPr="00816759">
        <w:t>Art. 59.6</w:t>
      </w:r>
      <w:r>
        <w:t xml:space="preserve"> (</w:t>
      </w:r>
      <w:r w:rsidRPr="00EC55D1">
        <w:t>2014/24/EU</w:t>
      </w:r>
      <w:r>
        <w:t>)</w:t>
      </w:r>
      <w:r w:rsidRPr="00816759">
        <w:t xml:space="preserve"> - European Single Procurement Document</w:t>
      </w:r>
    </w:p>
    <w:p w:rsidR="00816759" w:rsidRDefault="00816759" w:rsidP="00816759">
      <w:pPr>
        <w:pStyle w:val="ListParagraph"/>
        <w:spacing w:after="60" w:line="240" w:lineRule="auto"/>
        <w:ind w:left="851"/>
        <w:contextualSpacing w:val="0"/>
      </w:pPr>
      <w:r w:rsidRPr="00816759">
        <w:rPr>
          <w:i/>
        </w:rPr>
        <w:t>Member States shall make available and up-to-date in e-Certis a complete list of databases containing relevant information on economic operators which can be consulted by contracting authorities from other Member States. Upon request, Member States shall communicate to other Member States any information related to the databases referred to in this Article</w:t>
      </w:r>
      <w:r>
        <w:t>;</w:t>
      </w:r>
    </w:p>
    <w:p w:rsidR="00816759" w:rsidRDefault="00816759" w:rsidP="00816759">
      <w:pPr>
        <w:pStyle w:val="ListParagraph"/>
        <w:spacing w:after="60" w:line="240" w:lineRule="auto"/>
        <w:ind w:left="851"/>
        <w:contextualSpacing w:val="0"/>
      </w:pPr>
      <w:r w:rsidRPr="00816759">
        <w:t xml:space="preserve">Art. 61 </w:t>
      </w:r>
      <w:r>
        <w:t>(</w:t>
      </w:r>
      <w:r w:rsidRPr="00EC55D1">
        <w:t>2014/24/EU</w:t>
      </w:r>
      <w:r>
        <w:t>)</w:t>
      </w:r>
      <w:r w:rsidRPr="00816759">
        <w:t xml:space="preserve"> - Online repository of certificates (e-Certis)</w:t>
      </w:r>
    </w:p>
    <w:p w:rsidR="00816759" w:rsidRDefault="00816759" w:rsidP="006103F9">
      <w:pPr>
        <w:pStyle w:val="ListParagraph"/>
        <w:numPr>
          <w:ilvl w:val="0"/>
          <w:numId w:val="18"/>
        </w:numPr>
        <w:spacing w:after="60" w:line="240" w:lineRule="auto"/>
        <w:ind w:left="851"/>
        <w:contextualSpacing w:val="0"/>
        <w:rPr>
          <w:i/>
        </w:rPr>
      </w:pPr>
      <w:r w:rsidRPr="00816759">
        <w:rPr>
          <w:i/>
        </w:rPr>
        <w:t>With a view to facilitating cross-border tendering, Member States shall ensure that the information concerning certificates and other forms of documentary evidence introduced in e-Certis established by the Commission is constantly kept up-to-date</w:t>
      </w:r>
      <w:r>
        <w:rPr>
          <w:i/>
        </w:rPr>
        <w:t>;</w:t>
      </w:r>
    </w:p>
    <w:p w:rsidR="00816759" w:rsidRPr="00816759" w:rsidRDefault="00816759" w:rsidP="006103F9">
      <w:pPr>
        <w:pStyle w:val="ListParagraph"/>
        <w:numPr>
          <w:ilvl w:val="0"/>
          <w:numId w:val="18"/>
        </w:numPr>
        <w:spacing w:after="60" w:line="240" w:lineRule="auto"/>
        <w:ind w:left="851"/>
        <w:contextualSpacing w:val="0"/>
      </w:pPr>
      <w:r w:rsidRPr="00816759">
        <w:rPr>
          <w:i/>
        </w:rPr>
        <w:t>Contracting authorities shall have recourse to e-Certis and shall require primarily such types of certificates or forms of documentary evidence that are covered by e-Certis</w:t>
      </w:r>
      <w:r>
        <w:rPr>
          <w:i/>
        </w:rPr>
        <w:t>;</w:t>
      </w:r>
    </w:p>
    <w:p w:rsidR="00816759" w:rsidRDefault="00816759" w:rsidP="006103F9">
      <w:pPr>
        <w:pStyle w:val="ListParagraph"/>
        <w:numPr>
          <w:ilvl w:val="0"/>
          <w:numId w:val="18"/>
        </w:numPr>
        <w:spacing w:after="60" w:line="240" w:lineRule="auto"/>
        <w:ind w:left="851"/>
        <w:contextualSpacing w:val="0"/>
      </w:pPr>
      <w:r w:rsidRPr="00816759">
        <w:rPr>
          <w:i/>
        </w:rPr>
        <w:t>The Commission shall make available all language versions of the ESPD in e-Certis</w:t>
      </w:r>
      <w:r>
        <w:rPr>
          <w:i/>
        </w:rPr>
        <w:t>.</w:t>
      </w:r>
    </w:p>
    <w:p w:rsidR="00816759" w:rsidRDefault="00816759" w:rsidP="006103F9">
      <w:pPr>
        <w:pStyle w:val="ListParagraph"/>
        <w:numPr>
          <w:ilvl w:val="0"/>
          <w:numId w:val="17"/>
        </w:numPr>
        <w:spacing w:after="240" w:line="240" w:lineRule="auto"/>
        <w:ind w:left="284" w:hanging="284"/>
        <w:contextualSpacing w:val="0"/>
      </w:pPr>
      <w:r w:rsidRPr="00816759">
        <w:t>Commission Implementing Regulation (EU) 2016/7 establishing the standard form for the European Single Procurement Document</w:t>
      </w:r>
      <w:r w:rsidR="002E5D71">
        <w:t>;</w:t>
      </w:r>
    </w:p>
    <w:p w:rsidR="002E5D71" w:rsidRDefault="002E5D71" w:rsidP="006103F9">
      <w:pPr>
        <w:pStyle w:val="ListParagraph"/>
        <w:numPr>
          <w:ilvl w:val="0"/>
          <w:numId w:val="17"/>
        </w:numPr>
        <w:spacing w:after="240" w:line="240" w:lineRule="auto"/>
        <w:ind w:left="284" w:hanging="284"/>
        <w:contextualSpacing w:val="0"/>
      </w:pPr>
      <w:r w:rsidRPr="002E5D71">
        <w:t>Guidelines no. 3 of 18 July 2016</w:t>
      </w:r>
      <w:r>
        <w:t>,</w:t>
      </w:r>
      <w:r w:rsidRPr="002E5D71">
        <w:t xml:space="preserve"> </w:t>
      </w:r>
      <w:r>
        <w:t>issued by the italian Ministry for Infrastructures and Transports (MIT) to support</w:t>
      </w:r>
      <w:r w:rsidRPr="002E5D71">
        <w:t xml:space="preserve"> the compilation of the </w:t>
      </w:r>
      <w:r>
        <w:t>standard form of the ESPD</w:t>
      </w:r>
      <w:r w:rsidRPr="002E5D71">
        <w:t xml:space="preserve"> (</w:t>
      </w:r>
      <w:r>
        <w:t xml:space="preserve">in italian: </w:t>
      </w:r>
      <w:r w:rsidRPr="002E5D71">
        <w:t>DGUE</w:t>
      </w:r>
      <w:r>
        <w:t xml:space="preserve"> – </w:t>
      </w:r>
      <w:r w:rsidRPr="002E5D71">
        <w:rPr>
          <w:i/>
        </w:rPr>
        <w:t>Documento di Gara Unico Europeo</w:t>
      </w:r>
      <w:r w:rsidR="00C53C64">
        <w:t>). These guidelines p</w:t>
      </w:r>
      <w:r w:rsidR="00C53C64" w:rsidRPr="00C53C64">
        <w:t>rovide the contracting authorities and entities with some initial information on the correct use of the E</w:t>
      </w:r>
      <w:r w:rsidR="00C53C64">
        <w:t>SPD</w:t>
      </w:r>
      <w:r w:rsidR="00C53C64" w:rsidRPr="00C53C64">
        <w:t>, together with a form</w:t>
      </w:r>
      <w:r>
        <w:t xml:space="preserve"> </w:t>
      </w:r>
      <w:r w:rsidR="00C53C64">
        <w:t>adapted to current national public contracts regulation (Legislative Decree no. 50, issued on 18 April 2016).</w:t>
      </w:r>
    </w:p>
    <w:p w:rsidR="00031A7C" w:rsidRDefault="00031A7C" w:rsidP="00031A7C">
      <w:pPr>
        <w:spacing w:after="120" w:line="240" w:lineRule="auto"/>
      </w:pPr>
      <w:r>
        <w:rPr>
          <w:b/>
        </w:rPr>
        <w:t>EU</w:t>
      </w:r>
      <w:r w:rsidRPr="00031A7C">
        <w:rPr>
          <w:b/>
        </w:rPr>
        <w:t xml:space="preserve"> online services</w:t>
      </w:r>
    </w:p>
    <w:p w:rsidR="00031A7C" w:rsidRDefault="00031A7C" w:rsidP="006103F9">
      <w:pPr>
        <w:pStyle w:val="ListParagraph"/>
        <w:numPr>
          <w:ilvl w:val="0"/>
          <w:numId w:val="17"/>
        </w:numPr>
        <w:spacing w:after="60" w:line="240" w:lineRule="auto"/>
        <w:ind w:left="284" w:hanging="284"/>
        <w:contextualSpacing w:val="0"/>
        <w:rPr>
          <w:lang w:val="en-US"/>
        </w:rPr>
      </w:pPr>
      <w:r w:rsidRPr="00031A7C">
        <w:rPr>
          <w:lang w:val="en-US"/>
        </w:rPr>
        <w:t xml:space="preserve">ESPD service provided by the </w:t>
      </w:r>
      <w:r>
        <w:rPr>
          <w:lang w:val="en-US"/>
        </w:rPr>
        <w:t>European Commission:</w:t>
      </w:r>
      <w:r w:rsidRPr="00031A7C">
        <w:rPr>
          <w:lang w:val="en-US"/>
        </w:rPr>
        <w:t xml:space="preserve"> </w:t>
      </w:r>
      <w:hyperlink r:id="rId9" w:history="1">
        <w:r w:rsidRPr="00031A7C">
          <w:rPr>
            <w:rStyle w:val="Hyperlink"/>
            <w:lang w:val="en-US"/>
          </w:rPr>
          <w:t>https://ec.europa.eu/tools/espd</w:t>
        </w:r>
      </w:hyperlink>
      <w:r>
        <w:rPr>
          <w:lang w:val="en-US"/>
        </w:rPr>
        <w:t>;</w:t>
      </w:r>
    </w:p>
    <w:p w:rsidR="002E5D71" w:rsidRDefault="002E5D71" w:rsidP="006103F9">
      <w:pPr>
        <w:pStyle w:val="ListParagraph"/>
        <w:numPr>
          <w:ilvl w:val="0"/>
          <w:numId w:val="17"/>
        </w:numPr>
        <w:spacing w:after="60" w:line="240" w:lineRule="auto"/>
        <w:ind w:left="284" w:hanging="284"/>
        <w:contextualSpacing w:val="0"/>
        <w:rPr>
          <w:lang w:val="en-US"/>
        </w:rPr>
      </w:pPr>
      <w:r w:rsidRPr="002E5D71">
        <w:rPr>
          <w:lang w:val="en-US"/>
        </w:rPr>
        <w:t>ESPD Exchange Data Model (ESPD-EDM</w:t>
      </w:r>
      <w:r>
        <w:rPr>
          <w:lang w:val="en-US"/>
        </w:rPr>
        <w:t xml:space="preserve"> – Version 1.0.2</w:t>
      </w:r>
      <w:r w:rsidRPr="002E5D71">
        <w:rPr>
          <w:lang w:val="en-US"/>
        </w:rPr>
        <w:t>)</w:t>
      </w:r>
      <w:r>
        <w:rPr>
          <w:lang w:val="en-US"/>
        </w:rPr>
        <w:t xml:space="preserve">: </w:t>
      </w:r>
      <w:hyperlink r:id="rId10" w:history="1">
        <w:r w:rsidRPr="00264883">
          <w:rPr>
            <w:rStyle w:val="Hyperlink"/>
            <w:lang w:val="en-US"/>
          </w:rPr>
          <w:t>https://espd.github.io/ESPD-EDM/</w:t>
        </w:r>
      </w:hyperlink>
      <w:r>
        <w:rPr>
          <w:lang w:val="en-US"/>
        </w:rPr>
        <w:t>;</w:t>
      </w:r>
    </w:p>
    <w:p w:rsidR="00031A7C" w:rsidRPr="004644F0" w:rsidRDefault="00031A7C" w:rsidP="006103F9">
      <w:pPr>
        <w:pStyle w:val="ListParagraph"/>
        <w:numPr>
          <w:ilvl w:val="0"/>
          <w:numId w:val="17"/>
        </w:numPr>
        <w:spacing w:after="60" w:line="240" w:lineRule="auto"/>
        <w:ind w:left="284" w:hanging="284"/>
        <w:contextualSpacing w:val="0"/>
        <w:rPr>
          <w:lang w:val="en-US"/>
        </w:rPr>
      </w:pPr>
      <w:r w:rsidRPr="00031A7C">
        <w:rPr>
          <w:lang w:val="en-US"/>
        </w:rPr>
        <w:t xml:space="preserve">e-Certis – European </w:t>
      </w:r>
      <w:r w:rsidR="002E5D71">
        <w:rPr>
          <w:lang w:val="en-US"/>
        </w:rPr>
        <w:t>information system that helps</w:t>
      </w:r>
      <w:r w:rsidRPr="00031A7C">
        <w:rPr>
          <w:lang w:val="en-US"/>
        </w:rPr>
        <w:t xml:space="preserve"> to identify different certificates requested in procurement procedures across the EU: </w:t>
      </w:r>
      <w:hyperlink r:id="rId11" w:history="1">
        <w:r w:rsidR="004644F0" w:rsidRPr="00264883">
          <w:rPr>
            <w:rStyle w:val="Hyperlink"/>
            <w:lang w:val="en-US"/>
          </w:rPr>
          <w:t>https://ec.europa.eu/growth/tools-databases/ecertis/</w:t>
        </w:r>
      </w:hyperlink>
      <w:r w:rsidR="004644F0">
        <w:rPr>
          <w:lang w:val="en-US"/>
        </w:rPr>
        <w:t>.</w:t>
      </w:r>
    </w:p>
    <w:p w:rsidR="00A02061" w:rsidRPr="002E5D71" w:rsidRDefault="00A02061" w:rsidP="002E5D71">
      <w:pPr>
        <w:pStyle w:val="ListParagraph"/>
        <w:spacing w:after="60" w:line="240" w:lineRule="auto"/>
        <w:ind w:left="284"/>
        <w:contextualSpacing w:val="0"/>
        <w:jc w:val="left"/>
        <w:rPr>
          <w:lang w:val="en-US"/>
        </w:rPr>
      </w:pPr>
      <w:r w:rsidRPr="002E5D71">
        <w:rPr>
          <w:lang w:val="en-US"/>
        </w:rPr>
        <w:br w:type="page"/>
      </w:r>
    </w:p>
    <w:p w:rsidR="00CA1BEB" w:rsidRPr="00B61F90" w:rsidRDefault="00CA1BEB" w:rsidP="00CA1BEB">
      <w:pPr>
        <w:pStyle w:val="Heading1"/>
        <w:ind w:left="431" w:hanging="431"/>
      </w:pPr>
      <w:bookmarkStart w:id="8" w:name="_Toc477293078"/>
      <w:bookmarkStart w:id="9" w:name="_Toc489278364"/>
      <w:r w:rsidRPr="00B61F90">
        <w:lastRenderedPageBreak/>
        <w:t>I</w:t>
      </w:r>
      <w:bookmarkEnd w:id="8"/>
      <w:r w:rsidR="00E65967">
        <w:t>ntroduction</w:t>
      </w:r>
      <w:bookmarkEnd w:id="9"/>
    </w:p>
    <w:p w:rsidR="00CA1BEB" w:rsidRPr="00B61F90" w:rsidRDefault="00CA1BEB" w:rsidP="00CA1BEB">
      <w:pPr>
        <w:pStyle w:val="Heading2"/>
        <w:keepLines w:val="0"/>
        <w:tabs>
          <w:tab w:val="num" w:pos="860"/>
        </w:tabs>
        <w:spacing w:before="360" w:after="60" w:line="240" w:lineRule="auto"/>
        <w:ind w:left="860"/>
      </w:pPr>
      <w:bookmarkStart w:id="10" w:name="_Toc477293079"/>
      <w:bookmarkStart w:id="11" w:name="_Toc489278365"/>
      <w:r w:rsidRPr="00B61F90">
        <w:t>The general context</w:t>
      </w:r>
      <w:bookmarkEnd w:id="10"/>
      <w:bookmarkEnd w:id="11"/>
    </w:p>
    <w:p w:rsidR="00E7336D" w:rsidRDefault="00667336" w:rsidP="00CA1BEB">
      <w:r>
        <w:rPr>
          <w:b/>
        </w:rPr>
        <w:t>e</w:t>
      </w:r>
      <w:r w:rsidR="00CA1BEB" w:rsidRPr="00B61F90">
        <w:rPr>
          <w:b/>
        </w:rPr>
        <w:t>Procurement</w:t>
      </w:r>
      <w:r w:rsidR="00CA1BEB" w:rsidRPr="00B61F90">
        <w:t xml:space="preserve"> refers to the use of electronic communications and transaction processing by government institutions and other public sector organisations when buying supplies and services o</w:t>
      </w:r>
      <w:r>
        <w:t xml:space="preserve">r tendering public works. </w:t>
      </w:r>
      <w:r w:rsidR="00E7336D">
        <w:t>The e</w:t>
      </w:r>
      <w:r w:rsidR="00E7336D" w:rsidRPr="00E7336D">
        <w:t xml:space="preserve">Procurement processes can be separated into two operative phases: the pre-award phase and post-award </w:t>
      </w:r>
      <w:r w:rsidR="00E7336D">
        <w:t>phase.</w:t>
      </w:r>
    </w:p>
    <w:p w:rsidR="00CA1BEB" w:rsidRPr="00B61F90" w:rsidRDefault="00CA1BEB" w:rsidP="00CA1BEB">
      <w:r w:rsidRPr="00B61F90">
        <w:rPr>
          <w:u w:val="single"/>
        </w:rPr>
        <w:t>Pre-Award</w:t>
      </w:r>
      <w:r w:rsidR="00E7336D">
        <w:t>: e</w:t>
      </w:r>
      <w:r w:rsidRPr="00B61F90">
        <w:t>Procurement process phases occurring befo</w:t>
      </w:r>
      <w:r w:rsidR="00667336">
        <w:t>re the award of the contract (eNotification, e</w:t>
      </w:r>
      <w:r w:rsidRPr="00B61F90">
        <w:t xml:space="preserve">Access, </w:t>
      </w:r>
      <w:r w:rsidR="00667336">
        <w:t>eSubmission, eEvaluation, e</w:t>
      </w:r>
      <w:r w:rsidRPr="00B61F90">
        <w:t>Awarding).</w:t>
      </w:r>
    </w:p>
    <w:p w:rsidR="00CA1BEB" w:rsidRDefault="00CA1BEB" w:rsidP="00667336">
      <w:pPr>
        <w:spacing w:after="0"/>
      </w:pPr>
      <w:r w:rsidRPr="00B61F90">
        <w:rPr>
          <w:u w:val="single"/>
        </w:rPr>
        <w:t>Post-Award</w:t>
      </w:r>
      <w:r w:rsidR="00E7336D">
        <w:t>: e</w:t>
      </w:r>
      <w:r w:rsidRPr="00B61F90">
        <w:t>Procurement process phases occurring aft</w:t>
      </w:r>
      <w:r w:rsidR="00667336">
        <w:t>er the award of the contract (eOrdering, eInvoicing, e</w:t>
      </w:r>
      <w:r w:rsidRPr="00B61F90">
        <w:t>Payment</w:t>
      </w:r>
      <w:r w:rsidR="00667336">
        <w:t xml:space="preserve"> and final eArchiving</w:t>
      </w:r>
      <w:r w:rsidRPr="00B61F90">
        <w:t>).</w:t>
      </w:r>
    </w:p>
    <w:p w:rsidR="00667336" w:rsidRPr="00B61F90" w:rsidRDefault="00667336" w:rsidP="00667336">
      <w:pPr>
        <w:spacing w:after="240"/>
      </w:pPr>
    </w:p>
    <w:p w:rsidR="004764A4" w:rsidRDefault="00667336" w:rsidP="00667336">
      <w:r>
        <w:rPr>
          <w:noProof/>
          <w:lang w:val="it-IT" w:eastAsia="it-IT"/>
        </w:rPr>
        <w:drawing>
          <wp:inline distT="0" distB="0" distL="0" distR="0" wp14:anchorId="0E9CD5A6">
            <wp:extent cx="6362700" cy="130939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3778" cy="1342545"/>
                    </a:xfrm>
                    <a:prstGeom prst="rect">
                      <a:avLst/>
                    </a:prstGeom>
                    <a:noFill/>
                  </pic:spPr>
                </pic:pic>
              </a:graphicData>
            </a:graphic>
          </wp:inline>
        </w:drawing>
      </w:r>
    </w:p>
    <w:p w:rsidR="00E65967" w:rsidRDefault="00E65967" w:rsidP="00E65967">
      <w:pPr>
        <w:pStyle w:val="Caption"/>
        <w:spacing w:after="360"/>
      </w:pPr>
      <w:bookmarkStart w:id="12" w:name="_Toc489278372"/>
      <w:r>
        <w:t xml:space="preserve">Figure </w:t>
      </w:r>
      <w:r>
        <w:fldChar w:fldCharType="begin"/>
      </w:r>
      <w:r>
        <w:instrText xml:space="preserve"> SEQ Figure \* ARABIC </w:instrText>
      </w:r>
      <w:r>
        <w:fldChar w:fldCharType="separate"/>
      </w:r>
      <w:r>
        <w:rPr>
          <w:noProof/>
        </w:rPr>
        <w:t>1</w:t>
      </w:r>
      <w:r>
        <w:fldChar w:fldCharType="end"/>
      </w:r>
      <w:r>
        <w:t xml:space="preserve"> </w:t>
      </w:r>
      <w:r w:rsidRPr="00E65967">
        <w:t>Public procurement complete process</w:t>
      </w:r>
      <w:bookmarkEnd w:id="12"/>
    </w:p>
    <w:p w:rsidR="009E23E1" w:rsidRDefault="00667336" w:rsidP="009E23E1">
      <w:pPr>
        <w:rPr>
          <w:lang w:eastAsia="it-IT"/>
        </w:rPr>
      </w:pPr>
      <w:r>
        <w:rPr>
          <w:lang w:eastAsia="it-IT"/>
        </w:rPr>
        <w:t>When preparing a new tender</w:t>
      </w:r>
      <w:r w:rsidR="00DF645C">
        <w:rPr>
          <w:lang w:eastAsia="it-IT"/>
        </w:rPr>
        <w:t xml:space="preserve"> procedure -</w:t>
      </w:r>
      <w:r>
        <w:rPr>
          <w:lang w:eastAsia="it-IT"/>
        </w:rPr>
        <w:t xml:space="preserve"> </w:t>
      </w:r>
      <w:r w:rsidR="00DF645C">
        <w:rPr>
          <w:lang w:eastAsia="it-IT"/>
        </w:rPr>
        <w:t xml:space="preserve">in the early stages of a public procurement process - </w:t>
      </w:r>
      <w:r>
        <w:rPr>
          <w:lang w:eastAsia="it-IT"/>
        </w:rPr>
        <w:t xml:space="preserve">the CA </w:t>
      </w:r>
      <w:r w:rsidR="00DF645C">
        <w:rPr>
          <w:lang w:eastAsia="it-IT"/>
        </w:rPr>
        <w:t>sets out the selection and exclusion criteria that best suit the requirement</w:t>
      </w:r>
      <w:r w:rsidR="00E7336D">
        <w:rPr>
          <w:lang w:eastAsia="it-IT"/>
        </w:rPr>
        <w:t>s</w:t>
      </w:r>
      <w:r w:rsidR="00DF645C">
        <w:rPr>
          <w:lang w:eastAsia="it-IT"/>
        </w:rPr>
        <w:t xml:space="preserve"> of their specific procurement initiative.</w:t>
      </w:r>
    </w:p>
    <w:p w:rsidR="00626846" w:rsidRDefault="00626846" w:rsidP="009E23E1">
      <w:pPr>
        <w:rPr>
          <w:lang w:eastAsia="it-IT"/>
        </w:rPr>
      </w:pPr>
      <w:r>
        <w:rPr>
          <w:lang w:eastAsia="it-IT"/>
        </w:rPr>
        <w:t xml:space="preserve">These criteria are generally available in e-Certis, the online service promoted and sustained by the European Commission with the aim to </w:t>
      </w:r>
      <w:r w:rsidR="00386742">
        <w:rPr>
          <w:lang w:eastAsia="it-IT"/>
        </w:rPr>
        <w:t xml:space="preserve">support </w:t>
      </w:r>
      <w:r>
        <w:rPr>
          <w:lang w:eastAsia="it-IT"/>
        </w:rPr>
        <w:t xml:space="preserve">CAs and EOs </w:t>
      </w:r>
      <w:r w:rsidR="00386742">
        <w:rPr>
          <w:lang w:eastAsia="it-IT"/>
        </w:rPr>
        <w:t xml:space="preserve">in </w:t>
      </w:r>
      <w:r>
        <w:rPr>
          <w:lang w:eastAsia="it-IT"/>
        </w:rPr>
        <w:t>identifying</w:t>
      </w:r>
      <w:r w:rsidRPr="004644F0">
        <w:rPr>
          <w:lang w:eastAsia="it-IT"/>
        </w:rPr>
        <w:t xml:space="preserve"> </w:t>
      </w:r>
      <w:r w:rsidR="00386742">
        <w:rPr>
          <w:lang w:eastAsia="it-IT"/>
        </w:rPr>
        <w:t>the various</w:t>
      </w:r>
      <w:r w:rsidRPr="004644F0">
        <w:rPr>
          <w:lang w:eastAsia="it-IT"/>
        </w:rPr>
        <w:t xml:space="preserve"> certificates requested in procurement procedures across the EU</w:t>
      </w:r>
      <w:r>
        <w:rPr>
          <w:lang w:eastAsia="it-IT"/>
        </w:rPr>
        <w:t xml:space="preserve">. However, as a result of the implementation of the action </w:t>
      </w:r>
      <w:r w:rsidRPr="004675FD">
        <w:rPr>
          <w:i/>
          <w:lang w:eastAsia="it-IT"/>
        </w:rPr>
        <w:t>IIeP – Italian I</w:t>
      </w:r>
      <w:r w:rsidR="004675FD" w:rsidRPr="004675FD">
        <w:rPr>
          <w:i/>
          <w:lang w:eastAsia="it-IT"/>
        </w:rPr>
        <w:t>nteroperable eProcurement</w:t>
      </w:r>
      <w:r w:rsidRPr="00626846">
        <w:rPr>
          <w:lang w:eastAsia="it-IT"/>
        </w:rPr>
        <w:t xml:space="preserve"> (2015-IT-IA-0108)</w:t>
      </w:r>
      <w:r>
        <w:rPr>
          <w:lang w:eastAsia="it-IT"/>
        </w:rPr>
        <w:t xml:space="preserve"> – the </w:t>
      </w:r>
      <w:r w:rsidR="004675FD">
        <w:rPr>
          <w:lang w:eastAsia="it-IT"/>
        </w:rPr>
        <w:t xml:space="preserve">tender monitoring system run by A.N.AC. (SIMOG) will provide the eProcurement platforms with the </w:t>
      </w:r>
      <w:r>
        <w:rPr>
          <w:lang w:eastAsia="it-IT"/>
        </w:rPr>
        <w:t xml:space="preserve">complete list of criteria </w:t>
      </w:r>
      <w:r w:rsidR="004675FD">
        <w:rPr>
          <w:lang w:eastAsia="it-IT"/>
        </w:rPr>
        <w:t>retrieved by e-Certis, allowing them to build an ESPD request directly using data stored in their DB.</w:t>
      </w:r>
    </w:p>
    <w:p w:rsidR="00E86CF1" w:rsidRDefault="00E86CF1" w:rsidP="00E86CF1">
      <w:pPr>
        <w:rPr>
          <w:lang w:eastAsia="it-IT"/>
        </w:rPr>
      </w:pPr>
      <w:r>
        <w:rPr>
          <w:lang w:eastAsia="it-IT"/>
        </w:rPr>
        <w:t>Please note that not all the requirements are stored and managed in e-Certis. The following schema intends to provide an high-level classification of criteria based on their nature:</w:t>
      </w:r>
    </w:p>
    <w:p w:rsidR="00E86CF1" w:rsidRDefault="00E86CF1" w:rsidP="00E86CF1">
      <w:pPr>
        <w:keepNext/>
      </w:pPr>
      <w:r>
        <w:rPr>
          <w:noProof/>
          <w:lang w:val="it-IT" w:eastAsia="it-IT"/>
        </w:rPr>
        <w:lastRenderedPageBreak/>
        <w:drawing>
          <wp:inline distT="0" distB="0" distL="0" distR="0" wp14:anchorId="3CACDD84" wp14:editId="4EBAE792">
            <wp:extent cx="6087110" cy="312237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6031" cy="3142342"/>
                    </a:xfrm>
                    <a:prstGeom prst="rect">
                      <a:avLst/>
                    </a:prstGeom>
                    <a:noFill/>
                  </pic:spPr>
                </pic:pic>
              </a:graphicData>
            </a:graphic>
          </wp:inline>
        </w:drawing>
      </w:r>
    </w:p>
    <w:p w:rsidR="00E86CF1" w:rsidRDefault="00E86CF1" w:rsidP="00E86CF1">
      <w:pPr>
        <w:pStyle w:val="Caption"/>
        <w:rPr>
          <w:lang w:eastAsia="it-IT"/>
        </w:rPr>
      </w:pPr>
      <w:bookmarkStart w:id="13" w:name="_Toc489278373"/>
      <w:r>
        <w:t xml:space="preserve">Figure </w:t>
      </w:r>
      <w:r>
        <w:fldChar w:fldCharType="begin"/>
      </w:r>
      <w:r>
        <w:instrText xml:space="preserve"> SEQ Figure \* ARABIC </w:instrText>
      </w:r>
      <w:r>
        <w:fldChar w:fldCharType="separate"/>
      </w:r>
      <w:r>
        <w:rPr>
          <w:noProof/>
        </w:rPr>
        <w:t>2</w:t>
      </w:r>
      <w:r>
        <w:fldChar w:fldCharType="end"/>
      </w:r>
      <w:r>
        <w:t xml:space="preserve"> Classification of ESPD requirements</w:t>
      </w:r>
      <w:bookmarkEnd w:id="13"/>
    </w:p>
    <w:p w:rsidR="00E86CF1" w:rsidRPr="00B61F90" w:rsidRDefault="00E86CF1" w:rsidP="009E23E1">
      <w:pPr>
        <w:rPr>
          <w:lang w:eastAsia="it-IT"/>
        </w:rPr>
      </w:pPr>
    </w:p>
    <w:p w:rsidR="009E23E1" w:rsidRDefault="00E21124" w:rsidP="009E23E1">
      <w:pPr>
        <w:rPr>
          <w:lang w:eastAsia="it-IT"/>
        </w:rPr>
      </w:pPr>
      <w:r>
        <w:rPr>
          <w:lang w:eastAsia="it-IT"/>
        </w:rPr>
        <w:t>Once the</w:t>
      </w:r>
      <w:r w:rsidRPr="009E23E1">
        <w:rPr>
          <w:lang w:eastAsia="it-IT"/>
        </w:rPr>
        <w:t xml:space="preserve"> </w:t>
      </w:r>
      <w:r>
        <w:rPr>
          <w:lang w:eastAsia="it-IT"/>
        </w:rPr>
        <w:t xml:space="preserve">self-declaration document (i.e. </w:t>
      </w:r>
      <w:r w:rsidRPr="009E23E1">
        <w:rPr>
          <w:lang w:eastAsia="it-IT"/>
        </w:rPr>
        <w:t xml:space="preserve">ESPD </w:t>
      </w:r>
      <w:r>
        <w:rPr>
          <w:lang w:eastAsia="it-IT"/>
        </w:rPr>
        <w:t>request) is complete, the CA publishes it together with oth</w:t>
      </w:r>
      <w:r w:rsidR="00626846">
        <w:rPr>
          <w:lang w:eastAsia="it-IT"/>
        </w:rPr>
        <w:t>er tendering information and mak</w:t>
      </w:r>
      <w:r>
        <w:rPr>
          <w:lang w:eastAsia="it-IT"/>
        </w:rPr>
        <w:t>e</w:t>
      </w:r>
      <w:r w:rsidR="00626846">
        <w:rPr>
          <w:lang w:eastAsia="it-IT"/>
        </w:rPr>
        <w:t>s</w:t>
      </w:r>
      <w:r>
        <w:rPr>
          <w:lang w:eastAsia="it-IT"/>
        </w:rPr>
        <w:t xml:space="preserve"> </w:t>
      </w:r>
      <w:r w:rsidR="00626846">
        <w:rPr>
          <w:lang w:eastAsia="it-IT"/>
        </w:rPr>
        <w:t xml:space="preserve">it </w:t>
      </w:r>
      <w:r>
        <w:rPr>
          <w:lang w:eastAsia="it-IT"/>
        </w:rPr>
        <w:t>available to any EO interested in participating in the procedure.</w:t>
      </w:r>
    </w:p>
    <w:p w:rsidR="004644F0" w:rsidRDefault="009E23E1" w:rsidP="009E23E1">
      <w:pPr>
        <w:rPr>
          <w:lang w:eastAsia="it-IT"/>
        </w:rPr>
      </w:pPr>
      <w:r>
        <w:rPr>
          <w:lang w:eastAsia="it-IT"/>
        </w:rPr>
        <w:t>The Economic Operators can access the tender documentation online, check if their profile is in line with the requirements stated in the procedure, fill-in th</w:t>
      </w:r>
      <w:r w:rsidR="005C38F5">
        <w:rPr>
          <w:lang w:eastAsia="it-IT"/>
        </w:rPr>
        <w:t>e ESPD request (that is, complete their ESPD response manually or retrieving data from an existing ESPD response) and release it to the CA</w:t>
      </w:r>
      <w:r w:rsidR="00626846">
        <w:rPr>
          <w:lang w:eastAsia="it-IT"/>
        </w:rPr>
        <w:t xml:space="preserve"> in the submission stage.</w:t>
      </w:r>
    </w:p>
    <w:p w:rsidR="00CA1BEB" w:rsidRDefault="00E86CF1" w:rsidP="00CA1BEB">
      <w:pPr>
        <w:pStyle w:val="Heading2"/>
        <w:keepLines w:val="0"/>
        <w:tabs>
          <w:tab w:val="num" w:pos="860"/>
        </w:tabs>
        <w:spacing w:before="360" w:after="60" w:line="240" w:lineRule="auto"/>
        <w:ind w:left="860"/>
        <w:rPr>
          <w:lang w:eastAsia="it-IT"/>
        </w:rPr>
      </w:pPr>
      <w:bookmarkStart w:id="14" w:name="_Toc489278366"/>
      <w:r>
        <w:rPr>
          <w:lang w:eastAsia="it-IT"/>
        </w:rPr>
        <w:t>ESPD artifact and EDM version chosen for this project</w:t>
      </w:r>
      <w:bookmarkEnd w:id="14"/>
    </w:p>
    <w:p w:rsidR="00E86CF1" w:rsidRDefault="00E86CF1" w:rsidP="00C275D6">
      <w:pPr>
        <w:rPr>
          <w:lang w:eastAsia="it-IT"/>
        </w:rPr>
      </w:pPr>
      <w:r>
        <w:rPr>
          <w:lang w:eastAsia="it-IT"/>
        </w:rPr>
        <w:t xml:space="preserve">As stated by the experts working on the parallel ESPD Interoperability project (ESPDint), </w:t>
      </w:r>
      <w:r w:rsidRPr="00E86CF1">
        <w:rPr>
          <w:lang w:eastAsia="it-IT"/>
        </w:rPr>
        <w:t xml:space="preserve">there are two distinct </w:t>
      </w:r>
      <w:r w:rsidRPr="00E86CF1">
        <w:rPr>
          <w:i/>
          <w:lang w:eastAsia="it-IT"/>
        </w:rPr>
        <w:t>semantic structures</w:t>
      </w:r>
      <w:r>
        <w:rPr>
          <w:lang w:eastAsia="it-IT"/>
        </w:rPr>
        <w:t xml:space="preserve"> of the </w:t>
      </w:r>
      <w:r w:rsidRPr="00E86CF1">
        <w:rPr>
          <w:b/>
          <w:lang w:eastAsia="it-IT"/>
        </w:rPr>
        <w:t>ESPD artifact</w:t>
      </w:r>
      <w:r>
        <w:rPr>
          <w:lang w:eastAsia="it-IT"/>
        </w:rPr>
        <w:t>:</w:t>
      </w:r>
    </w:p>
    <w:p w:rsidR="00DC00A7" w:rsidRPr="00E86CF1" w:rsidRDefault="006103F9" w:rsidP="006103F9">
      <w:pPr>
        <w:pStyle w:val="ListParagraph"/>
        <w:numPr>
          <w:ilvl w:val="0"/>
          <w:numId w:val="19"/>
        </w:numPr>
        <w:spacing w:after="120" w:line="240" w:lineRule="auto"/>
        <w:ind w:left="284" w:hanging="284"/>
        <w:contextualSpacing w:val="0"/>
        <w:rPr>
          <w:lang w:val="en-US" w:eastAsia="it-IT"/>
        </w:rPr>
      </w:pPr>
      <w:r w:rsidRPr="00E86CF1">
        <w:rPr>
          <w:lang w:val="en-US" w:eastAsia="it-IT"/>
        </w:rPr>
        <w:t xml:space="preserve">The </w:t>
      </w:r>
      <w:r w:rsidRPr="00E86CF1">
        <w:rPr>
          <w:b/>
          <w:lang w:val="en-US" w:eastAsia="it-IT"/>
        </w:rPr>
        <w:t>Regulated version</w:t>
      </w:r>
      <w:r w:rsidRPr="00E86CF1">
        <w:rPr>
          <w:lang w:val="en-US" w:eastAsia="it-IT"/>
        </w:rPr>
        <w:t xml:space="preserve">, which strictly contains only the elements of the standard ESPD </w:t>
      </w:r>
      <w:r w:rsidR="00E86CF1">
        <w:rPr>
          <w:lang w:val="en-US" w:eastAsia="it-IT"/>
        </w:rPr>
        <w:t>f</w:t>
      </w:r>
      <w:r w:rsidRPr="00E86CF1">
        <w:rPr>
          <w:lang w:val="en-US" w:eastAsia="it-IT"/>
        </w:rPr>
        <w:t>orm</w:t>
      </w:r>
      <w:r w:rsidR="00E86CF1">
        <w:rPr>
          <w:lang w:val="en-US" w:eastAsia="it-IT"/>
        </w:rPr>
        <w:t>,</w:t>
      </w:r>
      <w:r w:rsidRPr="00E86CF1">
        <w:rPr>
          <w:lang w:val="en-US" w:eastAsia="it-IT"/>
        </w:rPr>
        <w:t xml:space="preserve"> together with specific requirement cardinalities</w:t>
      </w:r>
      <w:r w:rsidR="00E86CF1">
        <w:rPr>
          <w:lang w:val="en-US" w:eastAsia="it-IT"/>
        </w:rPr>
        <w:t>. This version</w:t>
      </w:r>
      <w:r w:rsidRPr="00E86CF1">
        <w:rPr>
          <w:lang w:val="en-US" w:eastAsia="it-IT"/>
        </w:rPr>
        <w:t xml:space="preserve"> was created by the EC, using as a source the Legal Requirements accompanying the standard form together with the form itself</w:t>
      </w:r>
      <w:r w:rsidR="00E86CF1">
        <w:rPr>
          <w:lang w:val="en-US" w:eastAsia="it-IT"/>
        </w:rPr>
        <w:t>;</w:t>
      </w:r>
    </w:p>
    <w:p w:rsidR="00DC00A7" w:rsidRPr="00E86CF1" w:rsidRDefault="006103F9" w:rsidP="006103F9">
      <w:pPr>
        <w:pStyle w:val="ListParagraph"/>
        <w:numPr>
          <w:ilvl w:val="0"/>
          <w:numId w:val="19"/>
        </w:numPr>
        <w:spacing w:after="120" w:line="240" w:lineRule="auto"/>
        <w:ind w:left="284" w:hanging="284"/>
        <w:contextualSpacing w:val="0"/>
        <w:rPr>
          <w:lang w:val="en-US" w:eastAsia="it-IT"/>
        </w:rPr>
      </w:pPr>
      <w:r w:rsidRPr="00E86CF1">
        <w:rPr>
          <w:lang w:val="en-US" w:eastAsia="it-IT"/>
        </w:rPr>
        <w:t xml:space="preserve">The </w:t>
      </w:r>
      <w:r w:rsidRPr="00E86CF1">
        <w:rPr>
          <w:b/>
          <w:lang w:val="en-US" w:eastAsia="it-IT"/>
        </w:rPr>
        <w:t>Self-Contained version</w:t>
      </w:r>
      <w:r w:rsidRPr="00E86CF1">
        <w:rPr>
          <w:lang w:val="en-US" w:eastAsia="it-IT"/>
        </w:rPr>
        <w:t>, which can contain more elements than the one presented in standard ESPD</w:t>
      </w:r>
      <w:r w:rsidR="00E86CF1">
        <w:rPr>
          <w:lang w:val="en-US" w:eastAsia="it-IT"/>
        </w:rPr>
        <w:t xml:space="preserve"> f</w:t>
      </w:r>
      <w:r w:rsidRPr="00E86CF1">
        <w:rPr>
          <w:lang w:val="en-US" w:eastAsia="it-IT"/>
        </w:rPr>
        <w:t>orm and is more flexible in terms of requirement cardinalities.</w:t>
      </w:r>
      <w:r w:rsidR="00E86CF1">
        <w:rPr>
          <w:lang w:val="en-US" w:eastAsia="it-IT"/>
        </w:rPr>
        <w:t xml:space="preserve"> This version</w:t>
      </w:r>
      <w:r w:rsidRPr="00E86CF1">
        <w:rPr>
          <w:lang w:val="en-US" w:eastAsia="it-IT"/>
        </w:rPr>
        <w:t xml:space="preserve"> was further elaborated by stakeholders, in order to address specific requirements not met by the regulated version. </w:t>
      </w:r>
    </w:p>
    <w:p w:rsidR="00E86CF1" w:rsidRDefault="00E86CF1" w:rsidP="00E86CF1">
      <w:pPr>
        <w:spacing w:after="120" w:line="240" w:lineRule="auto"/>
        <w:rPr>
          <w:lang w:eastAsia="it-IT"/>
        </w:rPr>
      </w:pPr>
      <w:r>
        <w:rPr>
          <w:lang w:eastAsia="it-IT"/>
        </w:rPr>
        <w:t xml:space="preserve">Moreover, there are </w:t>
      </w:r>
      <w:r w:rsidRPr="00E86CF1">
        <w:rPr>
          <w:lang w:eastAsia="it-IT"/>
        </w:rPr>
        <w:t xml:space="preserve">two distinct </w:t>
      </w:r>
      <w:r w:rsidRPr="00C036FC">
        <w:rPr>
          <w:b/>
          <w:lang w:eastAsia="it-IT"/>
        </w:rPr>
        <w:t xml:space="preserve">Exchange Data Models </w:t>
      </w:r>
      <w:r>
        <w:rPr>
          <w:lang w:eastAsia="it-IT"/>
        </w:rPr>
        <w:t>(EDMs):</w:t>
      </w:r>
    </w:p>
    <w:p w:rsidR="00DC00A7" w:rsidRPr="00C036FC" w:rsidRDefault="00C036FC" w:rsidP="006103F9">
      <w:pPr>
        <w:pStyle w:val="ListParagraph"/>
        <w:numPr>
          <w:ilvl w:val="0"/>
          <w:numId w:val="19"/>
        </w:numPr>
        <w:spacing w:after="120" w:line="240" w:lineRule="auto"/>
        <w:ind w:left="284" w:hanging="284"/>
        <w:contextualSpacing w:val="0"/>
        <w:rPr>
          <w:lang w:val="en-US" w:eastAsia="it-IT"/>
        </w:rPr>
      </w:pPr>
      <w:r w:rsidRPr="00C036FC">
        <w:rPr>
          <w:b/>
          <w:lang w:val="en-US" w:eastAsia="it-IT"/>
        </w:rPr>
        <w:t>EDM 1.0.2</w:t>
      </w:r>
      <w:r w:rsidRPr="00C036FC">
        <w:rPr>
          <w:lang w:val="en-US" w:eastAsia="it-IT"/>
        </w:rPr>
        <w:t>, which is t</w:t>
      </w:r>
      <w:r w:rsidR="006103F9" w:rsidRPr="00C036FC">
        <w:rPr>
          <w:lang w:val="en-US" w:eastAsia="it-IT"/>
        </w:rPr>
        <w:t>he currently available version, based on UBL 2.1 and ISA Criteria Evidence Core Vocabulary</w:t>
      </w:r>
      <w:r w:rsidRPr="00C036FC">
        <w:rPr>
          <w:lang w:val="en-US" w:eastAsia="it-IT"/>
        </w:rPr>
        <w:t>. This EDM c</w:t>
      </w:r>
      <w:r w:rsidR="006103F9" w:rsidRPr="00C036FC">
        <w:rPr>
          <w:lang w:val="en-US" w:eastAsia="it-IT"/>
        </w:rPr>
        <w:t>an be used</w:t>
      </w:r>
      <w:r w:rsidR="006103F9" w:rsidRPr="00C036FC">
        <w:rPr>
          <w:i/>
          <w:lang w:val="en-US" w:eastAsia="it-IT"/>
        </w:rPr>
        <w:t xml:space="preserve"> only for</w:t>
      </w:r>
      <w:r w:rsidRPr="00C036FC">
        <w:rPr>
          <w:i/>
          <w:lang w:val="en-US" w:eastAsia="it-IT"/>
        </w:rPr>
        <w:t xml:space="preserve"> creating the regulated version</w:t>
      </w:r>
      <w:r>
        <w:rPr>
          <w:lang w:val="en-US" w:eastAsia="it-IT"/>
        </w:rPr>
        <w:t>;</w:t>
      </w:r>
    </w:p>
    <w:p w:rsidR="00DC00A7" w:rsidRPr="00C036FC" w:rsidRDefault="00C036FC" w:rsidP="006103F9">
      <w:pPr>
        <w:pStyle w:val="ListParagraph"/>
        <w:numPr>
          <w:ilvl w:val="0"/>
          <w:numId w:val="19"/>
        </w:numPr>
        <w:spacing w:after="120" w:line="240" w:lineRule="auto"/>
        <w:ind w:left="284" w:hanging="284"/>
        <w:contextualSpacing w:val="0"/>
        <w:rPr>
          <w:lang w:val="en-US" w:eastAsia="it-IT"/>
        </w:rPr>
      </w:pPr>
      <w:r w:rsidRPr="00C036FC">
        <w:rPr>
          <w:b/>
          <w:lang w:val="en-US" w:eastAsia="it-IT"/>
        </w:rPr>
        <w:t>EDM 2.0.0</w:t>
      </w:r>
      <w:r w:rsidRPr="00C036FC">
        <w:rPr>
          <w:lang w:val="en-US" w:eastAsia="it-IT"/>
        </w:rPr>
        <w:t>, which is the next official version and is b</w:t>
      </w:r>
      <w:r w:rsidR="006103F9" w:rsidRPr="00C036FC">
        <w:rPr>
          <w:lang w:val="en-US" w:eastAsia="it-IT"/>
        </w:rPr>
        <w:t>ased solely on UBL 2.2</w:t>
      </w:r>
      <w:r w:rsidRPr="00C036FC">
        <w:rPr>
          <w:lang w:val="en-US" w:eastAsia="it-IT"/>
        </w:rPr>
        <w:t xml:space="preserve">. </w:t>
      </w:r>
      <w:r>
        <w:rPr>
          <w:lang w:val="en-US" w:eastAsia="it-IT"/>
        </w:rPr>
        <w:t xml:space="preserve"> This EDM c</w:t>
      </w:r>
      <w:r w:rsidR="006103F9" w:rsidRPr="00C036FC">
        <w:rPr>
          <w:lang w:val="en-US" w:eastAsia="it-IT"/>
        </w:rPr>
        <w:t xml:space="preserve">an be used to create </w:t>
      </w:r>
      <w:r w:rsidRPr="00C036FC">
        <w:rPr>
          <w:bCs/>
          <w:i/>
          <w:lang w:val="en-US" w:eastAsia="it-IT"/>
        </w:rPr>
        <w:t>both</w:t>
      </w:r>
      <w:r w:rsidR="006103F9" w:rsidRPr="00C036FC">
        <w:rPr>
          <w:i/>
          <w:lang w:val="en-US" w:eastAsia="it-IT"/>
        </w:rPr>
        <w:t xml:space="preserve"> regulated versions and self-contained versions</w:t>
      </w:r>
      <w:r>
        <w:rPr>
          <w:lang w:val="en-US" w:eastAsia="it-IT"/>
        </w:rPr>
        <w:t>.</w:t>
      </w:r>
    </w:p>
    <w:p w:rsidR="00C036FC" w:rsidRDefault="00C57B68" w:rsidP="00C036FC">
      <w:pPr>
        <w:spacing w:after="120" w:line="240" w:lineRule="auto"/>
        <w:rPr>
          <w:lang w:eastAsia="it-IT"/>
        </w:rPr>
      </w:pPr>
      <w:r>
        <w:rPr>
          <w:lang w:eastAsia="it-IT"/>
        </w:rPr>
        <w:t>ESPDInd has also pointed out what follows</w:t>
      </w:r>
      <w:r w:rsidR="00C036FC">
        <w:rPr>
          <w:lang w:eastAsia="it-IT"/>
        </w:rPr>
        <w:t>:</w:t>
      </w:r>
    </w:p>
    <w:p w:rsidR="005E771F" w:rsidRDefault="00C036FC" w:rsidP="006103F9">
      <w:pPr>
        <w:pStyle w:val="ListParagraph"/>
        <w:numPr>
          <w:ilvl w:val="0"/>
          <w:numId w:val="27"/>
        </w:numPr>
        <w:spacing w:after="120" w:line="240" w:lineRule="auto"/>
        <w:ind w:left="284" w:hanging="284"/>
        <w:contextualSpacing w:val="0"/>
        <w:rPr>
          <w:lang w:val="en-US" w:eastAsia="it-IT"/>
        </w:rPr>
      </w:pPr>
      <w:r w:rsidRPr="00C036FC">
        <w:rPr>
          <w:lang w:val="en-US" w:eastAsia="it-IT"/>
        </w:rPr>
        <w:t>EDM 1.0.2 is the data model officially recognized (</w:t>
      </w:r>
      <w:r w:rsidRPr="00C036FC">
        <w:rPr>
          <w:i/>
          <w:lang w:val="en-US" w:eastAsia="it-IT"/>
        </w:rPr>
        <w:t>at the moment of writing</w:t>
      </w:r>
      <w:r>
        <w:rPr>
          <w:lang w:val="en-US" w:eastAsia="it-IT"/>
        </w:rPr>
        <w:t xml:space="preserve"> </w:t>
      </w:r>
      <w:r w:rsidRPr="00C036FC">
        <w:rPr>
          <w:i/>
          <w:lang w:val="en-US" w:eastAsia="it-IT"/>
        </w:rPr>
        <w:t>this document</w:t>
      </w:r>
      <w:r w:rsidRPr="00C036FC">
        <w:rPr>
          <w:lang w:val="en-US" w:eastAsia="it-IT"/>
        </w:rPr>
        <w:t>), is stable and is used by the eESPD online service of the EC</w:t>
      </w:r>
      <w:r w:rsidR="00003CCA">
        <w:rPr>
          <w:lang w:val="en-US" w:eastAsia="it-IT"/>
        </w:rPr>
        <w:t>;</w:t>
      </w:r>
    </w:p>
    <w:p w:rsidR="00DC00A7" w:rsidRDefault="006103F9" w:rsidP="006103F9">
      <w:pPr>
        <w:pStyle w:val="ListParagraph"/>
        <w:numPr>
          <w:ilvl w:val="0"/>
          <w:numId w:val="27"/>
        </w:numPr>
        <w:spacing w:after="120" w:line="240" w:lineRule="auto"/>
        <w:ind w:left="284" w:hanging="284"/>
        <w:contextualSpacing w:val="0"/>
        <w:rPr>
          <w:lang w:val="en-US" w:eastAsia="it-IT"/>
        </w:rPr>
      </w:pPr>
      <w:r w:rsidRPr="00003CCA">
        <w:rPr>
          <w:lang w:val="en-US" w:eastAsia="it-IT"/>
        </w:rPr>
        <w:t xml:space="preserve">OpenPEPPOL </w:t>
      </w:r>
      <w:r w:rsidR="00003CCA">
        <w:rPr>
          <w:lang w:val="en-US" w:eastAsia="it-IT"/>
        </w:rPr>
        <w:t>has the mandate to create</w:t>
      </w:r>
      <w:r w:rsidRPr="00003CCA">
        <w:rPr>
          <w:lang w:val="en-US" w:eastAsia="it-IT"/>
        </w:rPr>
        <w:t xml:space="preserve"> a BIS Document based on EDM 1.0.2</w:t>
      </w:r>
      <w:r w:rsidR="00003CCA">
        <w:rPr>
          <w:lang w:val="en-US" w:eastAsia="it-IT"/>
        </w:rPr>
        <w:t xml:space="preserve"> (using e-SENS ESPD/VCD BIS as a starting point);</w:t>
      </w:r>
    </w:p>
    <w:p w:rsidR="00003CCA" w:rsidRPr="00003CCA" w:rsidRDefault="00003CCA" w:rsidP="006103F9">
      <w:pPr>
        <w:pStyle w:val="ListParagraph"/>
        <w:numPr>
          <w:ilvl w:val="0"/>
          <w:numId w:val="27"/>
        </w:numPr>
        <w:spacing w:after="120" w:line="240" w:lineRule="auto"/>
        <w:ind w:left="284" w:hanging="284"/>
        <w:contextualSpacing w:val="0"/>
        <w:rPr>
          <w:lang w:val="en-US" w:eastAsia="it-IT"/>
        </w:rPr>
      </w:pPr>
      <w:r>
        <w:rPr>
          <w:lang w:val="en-US" w:eastAsia="it-IT"/>
        </w:rPr>
        <w:lastRenderedPageBreak/>
        <w:t>EDM 2.0.0 documentation will be finalized only in September 2017</w:t>
      </w:r>
    </w:p>
    <w:p w:rsidR="00003CCA" w:rsidRDefault="00C57B68" w:rsidP="00003CCA">
      <w:pPr>
        <w:spacing w:after="120" w:line="240" w:lineRule="auto"/>
        <w:rPr>
          <w:lang w:val="en-US" w:eastAsia="it-IT"/>
        </w:rPr>
      </w:pPr>
      <w:r>
        <w:rPr>
          <w:lang w:val="en-US" w:eastAsia="it-IT"/>
        </w:rPr>
        <w:t xml:space="preserve">Considering the above mentioned points, we decided to use </w:t>
      </w:r>
      <w:r w:rsidR="00003CCA">
        <w:rPr>
          <w:lang w:val="en-US" w:eastAsia="it-IT"/>
        </w:rPr>
        <w:t xml:space="preserve">the Regulated Version of the ESPD artifact </w:t>
      </w:r>
      <w:r>
        <w:rPr>
          <w:lang w:val="en-US" w:eastAsia="it-IT"/>
        </w:rPr>
        <w:t>and the EDM 1.0.2 to design the target model described in this deliverable.</w:t>
      </w:r>
    </w:p>
    <w:p w:rsidR="00C57B68" w:rsidRPr="00003CCA" w:rsidRDefault="00C57B68" w:rsidP="00003CCA">
      <w:pPr>
        <w:spacing w:after="120" w:line="240" w:lineRule="auto"/>
        <w:rPr>
          <w:lang w:val="en-US" w:eastAsia="it-IT"/>
        </w:rPr>
      </w:pPr>
      <w:r>
        <w:rPr>
          <w:lang w:val="en-US" w:eastAsia="it-IT"/>
        </w:rPr>
        <w:t xml:space="preserve">Nevertheless, we are fully committed to plan an upgrade to the new version of the artifact and EDM once it will be officially released by ESPDInt and endorsed by the European Commission. In fact, that version will provide a more modular XML structure based </w:t>
      </w:r>
      <w:r w:rsidRPr="00C57B68">
        <w:rPr>
          <w:lang w:val="en-US" w:eastAsia="it-IT"/>
        </w:rPr>
        <w:t>on UBL 2.2</w:t>
      </w:r>
      <w:r>
        <w:rPr>
          <w:lang w:val="en-US" w:eastAsia="it-IT"/>
        </w:rPr>
        <w:t xml:space="preserve"> and, above all, </w:t>
      </w:r>
      <w:r w:rsidR="004E337B">
        <w:rPr>
          <w:lang w:val="en-US" w:eastAsia="it-IT"/>
        </w:rPr>
        <w:t xml:space="preserve">will give more </w:t>
      </w:r>
      <w:r>
        <w:rPr>
          <w:lang w:val="en-US" w:eastAsia="it-IT"/>
        </w:rPr>
        <w:t>flexibility in managing the national criteria, in addition to the strict ones.</w:t>
      </w:r>
    </w:p>
    <w:p w:rsidR="00FD4791" w:rsidRDefault="00FD4791">
      <w:pPr>
        <w:jc w:val="left"/>
        <w:rPr>
          <w:iCs/>
          <w:color w:val="000000" w:themeColor="text1"/>
          <w:sz w:val="18"/>
          <w:szCs w:val="18"/>
        </w:rPr>
      </w:pPr>
      <w:r>
        <w:br w:type="page"/>
      </w:r>
    </w:p>
    <w:p w:rsidR="00CA1BEB" w:rsidRPr="00B61F90" w:rsidRDefault="0062273E" w:rsidP="00CA1BEB">
      <w:pPr>
        <w:pStyle w:val="Heading1"/>
        <w:ind w:left="431" w:hanging="431"/>
      </w:pPr>
      <w:bookmarkStart w:id="15" w:name="_Toc489278367"/>
      <w:r>
        <w:lastRenderedPageBreak/>
        <w:t>Global integration scenario and technical components</w:t>
      </w:r>
      <w:bookmarkEnd w:id="15"/>
    </w:p>
    <w:p w:rsidR="00B73DE9" w:rsidRDefault="004E337B" w:rsidP="004E337B">
      <w:r>
        <w:t xml:space="preserve">This chapter describes the new </w:t>
      </w:r>
      <w:r w:rsidR="00B73DE9">
        <w:t>target model</w:t>
      </w:r>
      <w:r>
        <w:t xml:space="preserve">, which includes all the functions that will be made available </w:t>
      </w:r>
      <w:r w:rsidR="00B73DE9">
        <w:t>to</w:t>
      </w:r>
      <w:r>
        <w:t xml:space="preserve"> both the Contracting Authorities and the Economic Operators for the management of the ESPD within the</w:t>
      </w:r>
      <w:r w:rsidR="00B73DE9">
        <w:t xml:space="preserve"> contractor's choice processes.</w:t>
      </w:r>
    </w:p>
    <w:p w:rsidR="006278C3" w:rsidRDefault="006278C3" w:rsidP="004E337B">
      <w:r>
        <w:t>The solution released at the end of the project will enable the Contracting Authority to:</w:t>
      </w:r>
    </w:p>
    <w:p w:rsidR="006278C3" w:rsidRDefault="006278C3" w:rsidP="006103F9">
      <w:pPr>
        <w:pStyle w:val="ListParagraph"/>
        <w:numPr>
          <w:ilvl w:val="0"/>
          <w:numId w:val="29"/>
        </w:numPr>
        <w:ind w:left="284" w:hanging="284"/>
        <w:contextualSpacing w:val="0"/>
      </w:pPr>
      <w:r>
        <w:t>Configure the ESPD in accordance with the requirements of each specific tender procedure;</w:t>
      </w:r>
    </w:p>
    <w:p w:rsidR="006278C3" w:rsidRDefault="006278C3" w:rsidP="006103F9">
      <w:pPr>
        <w:pStyle w:val="ListParagraph"/>
        <w:numPr>
          <w:ilvl w:val="0"/>
          <w:numId w:val="29"/>
        </w:numPr>
        <w:ind w:left="284" w:hanging="284"/>
      </w:pPr>
      <w:r>
        <w:t>Generate the XML version of the ESPD request to be published together with other tender documentation.</w:t>
      </w:r>
    </w:p>
    <w:p w:rsidR="006278C3" w:rsidRDefault="009733F9" w:rsidP="006278C3">
      <w:r>
        <w:t xml:space="preserve">The Economic Operator, instead, will be able </w:t>
      </w:r>
      <w:r w:rsidR="006278C3">
        <w:t>to enter the ESPD</w:t>
      </w:r>
      <w:r>
        <w:t xml:space="preserve"> r</w:t>
      </w:r>
      <w:r w:rsidR="006278C3">
        <w:t>esponse in several ways:</w:t>
      </w:r>
    </w:p>
    <w:p w:rsidR="006278C3" w:rsidRDefault="009733F9" w:rsidP="006103F9">
      <w:pPr>
        <w:pStyle w:val="ListParagraph"/>
        <w:numPr>
          <w:ilvl w:val="0"/>
          <w:numId w:val="29"/>
        </w:numPr>
        <w:ind w:left="284" w:hanging="284"/>
        <w:contextualSpacing w:val="0"/>
      </w:pPr>
      <w:r>
        <w:t xml:space="preserve">Using a dedicated web form implemented in </w:t>
      </w:r>
      <w:r w:rsidR="006278C3">
        <w:t>the platform</w:t>
      </w:r>
      <w:r>
        <w:t>;</w:t>
      </w:r>
    </w:p>
    <w:p w:rsidR="009733F9" w:rsidRDefault="009733F9" w:rsidP="006103F9">
      <w:pPr>
        <w:pStyle w:val="ListParagraph"/>
        <w:numPr>
          <w:ilvl w:val="0"/>
          <w:numId w:val="29"/>
        </w:numPr>
        <w:ind w:left="284" w:hanging="284"/>
        <w:contextualSpacing w:val="0"/>
      </w:pPr>
      <w:r>
        <w:t>Uploading an ESPD response produced with other external tools or services;</w:t>
      </w:r>
    </w:p>
    <w:p w:rsidR="006278C3" w:rsidRDefault="009733F9" w:rsidP="006103F9">
      <w:pPr>
        <w:pStyle w:val="ListParagraph"/>
        <w:numPr>
          <w:ilvl w:val="0"/>
          <w:numId w:val="29"/>
        </w:numPr>
        <w:ind w:left="284" w:hanging="284"/>
        <w:contextualSpacing w:val="0"/>
      </w:pPr>
      <w:r>
        <w:t>Using an ESPD r</w:t>
      </w:r>
      <w:r w:rsidRPr="009733F9">
        <w:t>esponse already present in the system</w:t>
      </w:r>
      <w:r>
        <w:t xml:space="preserve"> and updating / adding </w:t>
      </w:r>
      <w:r w:rsidRPr="009733F9">
        <w:t>any incorrect or missing information</w:t>
      </w:r>
      <w:r>
        <w:t xml:space="preserve"> in it;</w:t>
      </w:r>
    </w:p>
    <w:p w:rsidR="009B7764" w:rsidRDefault="009733F9" w:rsidP="006278C3">
      <w:r>
        <w:t xml:space="preserve">In addition, </w:t>
      </w:r>
      <w:r w:rsidR="004F3DA8">
        <w:t xml:space="preserve">to support domestic and cross-border interoperability, </w:t>
      </w:r>
      <w:r>
        <w:t xml:space="preserve">the </w:t>
      </w:r>
      <w:r w:rsidR="004F3DA8">
        <w:t xml:space="preserve">platform will enable the EO to </w:t>
      </w:r>
      <w:r>
        <w:t>download the ESPD r</w:t>
      </w:r>
      <w:r w:rsidR="006278C3">
        <w:t xml:space="preserve">esponse </w:t>
      </w:r>
      <w:r w:rsidR="004F3DA8">
        <w:t xml:space="preserve">filled online in a XML format suitable </w:t>
      </w:r>
      <w:r w:rsidR="00DF51D8">
        <w:t>for reuse</w:t>
      </w:r>
      <w:r w:rsidR="004F3DA8">
        <w:t xml:space="preserve"> </w:t>
      </w:r>
      <w:r w:rsidR="006278C3">
        <w:t>on other</w:t>
      </w:r>
      <w:r w:rsidR="004F3DA8">
        <w:t xml:space="preserve"> platforms</w:t>
      </w:r>
      <w:r w:rsidR="006278C3">
        <w:t>.</w:t>
      </w:r>
      <w:r w:rsidR="009B7764">
        <w:t xml:space="preserve"> </w:t>
      </w:r>
    </w:p>
    <w:p w:rsidR="00864FAB" w:rsidRDefault="00B73DE9" w:rsidP="004E337B">
      <w:r>
        <w:t>From a technical standpoint, t</w:t>
      </w:r>
      <w:r w:rsidRPr="00B73DE9">
        <w:t xml:space="preserve">he module to be developed on the eProcurement platform </w:t>
      </w:r>
      <w:r>
        <w:t>of Intercent-ER (SATER) is based on</w:t>
      </w:r>
      <w:r w:rsidR="004E337B">
        <w:t xml:space="preserve"> </w:t>
      </w:r>
      <w:r>
        <w:t xml:space="preserve">several integrated </w:t>
      </w:r>
      <w:r w:rsidR="004E337B">
        <w:t xml:space="preserve">components </w:t>
      </w:r>
      <w:r>
        <w:t xml:space="preserve">that need </w:t>
      </w:r>
      <w:r w:rsidR="004E337B">
        <w:t xml:space="preserve">to be </w:t>
      </w:r>
      <w:r>
        <w:t>enhanced</w:t>
      </w:r>
      <w:r w:rsidR="004E337B">
        <w:t xml:space="preserve"> / modified to properly handle the entire integration process of the ESPD in the tender m</w:t>
      </w:r>
      <w:r w:rsidR="002F63D2">
        <w:t xml:space="preserve">anagement. </w:t>
      </w:r>
    </w:p>
    <w:p w:rsidR="004E337B" w:rsidRDefault="002F63D2" w:rsidP="004E337B">
      <w:r>
        <w:t xml:space="preserve">Those components are highlighted in the following figure, representing the overall architecture of the new national / regional </w:t>
      </w:r>
      <w:r w:rsidR="00864FAB">
        <w:t xml:space="preserve">target </w:t>
      </w:r>
      <w:r>
        <w:t xml:space="preserve">scenario for ESPD management (including the integration with e-Certis, to be implemented with </w:t>
      </w:r>
      <w:r w:rsidR="00864FAB">
        <w:t xml:space="preserve">the </w:t>
      </w:r>
      <w:r>
        <w:t xml:space="preserve">action </w:t>
      </w:r>
      <w:r w:rsidR="00864FAB">
        <w:rPr>
          <w:lang w:eastAsia="it-IT"/>
        </w:rPr>
        <w:t xml:space="preserve">the </w:t>
      </w:r>
      <w:r w:rsidR="00864FAB" w:rsidRPr="004675FD">
        <w:rPr>
          <w:i/>
          <w:lang w:eastAsia="it-IT"/>
        </w:rPr>
        <w:t>IIeP – Italian Interoperable eProcurement</w:t>
      </w:r>
      <w:r w:rsidR="00864FAB">
        <w:rPr>
          <w:lang w:eastAsia="it-IT"/>
        </w:rPr>
        <w:t>):</w:t>
      </w:r>
    </w:p>
    <w:p w:rsidR="009B7764" w:rsidRDefault="002F63D2" w:rsidP="004E337B">
      <w:pPr>
        <w:rPr>
          <w:lang w:val="en-US"/>
        </w:rPr>
      </w:pPr>
      <w:r>
        <w:rPr>
          <w:noProof/>
          <w:lang w:val="it-IT" w:eastAsia="it-IT"/>
        </w:rPr>
        <w:lastRenderedPageBreak/>
        <w:drawing>
          <wp:inline distT="0" distB="0" distL="0" distR="0">
            <wp:extent cx="6120130" cy="442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i Tender Management SATER_v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4425950"/>
                    </a:xfrm>
                    <a:prstGeom prst="rect">
                      <a:avLst/>
                    </a:prstGeom>
                  </pic:spPr>
                </pic:pic>
              </a:graphicData>
            </a:graphic>
          </wp:inline>
        </w:drawing>
      </w:r>
    </w:p>
    <w:p w:rsidR="00864FAB" w:rsidRDefault="00864FAB" w:rsidP="00864FAB">
      <w:pPr>
        <w:pStyle w:val="Caption"/>
        <w:rPr>
          <w:lang w:eastAsia="it-IT"/>
        </w:rPr>
      </w:pPr>
      <w:bookmarkStart w:id="16" w:name="_Toc489278374"/>
      <w:r>
        <w:t xml:space="preserve">Figure </w:t>
      </w:r>
      <w:r>
        <w:fldChar w:fldCharType="begin"/>
      </w:r>
      <w:r>
        <w:instrText xml:space="preserve"> SEQ Figure \* ARABIC </w:instrText>
      </w:r>
      <w:r>
        <w:fldChar w:fldCharType="separate"/>
      </w:r>
      <w:r>
        <w:rPr>
          <w:noProof/>
        </w:rPr>
        <w:t>3</w:t>
      </w:r>
      <w:r>
        <w:fldChar w:fldCharType="end"/>
      </w:r>
      <w:r>
        <w:t xml:space="preserve"> Focus on the components to be developed in SATER</w:t>
      </w:r>
      <w:bookmarkEnd w:id="16"/>
    </w:p>
    <w:p w:rsidR="00864FAB" w:rsidRDefault="00864FAB" w:rsidP="004E337B">
      <w:pPr>
        <w:rPr>
          <w:lang w:val="en-US"/>
        </w:rPr>
      </w:pPr>
    </w:p>
    <w:p w:rsidR="00864FAB" w:rsidRPr="009B658A" w:rsidRDefault="00864FAB" w:rsidP="004E337B">
      <w:pPr>
        <w:rPr>
          <w:lang w:val="en-US"/>
        </w:rPr>
      </w:pPr>
      <w:r>
        <w:rPr>
          <w:lang w:val="en-US"/>
        </w:rPr>
        <w:t>Here below, a short description of each component:</w:t>
      </w:r>
    </w:p>
    <w:p w:rsidR="00B73DE9" w:rsidRPr="00B73DE9" w:rsidRDefault="00B73DE9" w:rsidP="00B73DE9">
      <w:pPr>
        <w:rPr>
          <w:i/>
        </w:rPr>
      </w:pPr>
      <w:r w:rsidRPr="00B73DE9">
        <w:rPr>
          <w:i/>
        </w:rPr>
        <w:t>Manager</w:t>
      </w:r>
    </w:p>
    <w:p w:rsidR="00B73DE9" w:rsidRDefault="00B73DE9" w:rsidP="00B73DE9">
      <w:r>
        <w:t>It aims to control all the activities involving the use of the ESPD.</w:t>
      </w:r>
    </w:p>
    <w:p w:rsidR="00B73DE9" w:rsidRPr="00B73DE9" w:rsidRDefault="00B73DE9" w:rsidP="00B73DE9">
      <w:pPr>
        <w:rPr>
          <w:i/>
        </w:rPr>
      </w:pPr>
      <w:r w:rsidRPr="00B73DE9">
        <w:rPr>
          <w:i/>
        </w:rPr>
        <w:t>Customizer</w:t>
      </w:r>
    </w:p>
    <w:p w:rsidR="00B73DE9" w:rsidRDefault="00B73DE9" w:rsidP="00B73DE9">
      <w:r>
        <w:t xml:space="preserve">It has the task of storing and managing all the possible customizations for each tender procedure and for each participant, also mapping each different role and </w:t>
      </w:r>
      <w:r w:rsidR="00B64235">
        <w:t>authorization profile</w:t>
      </w:r>
      <w:r>
        <w:t>.</w:t>
      </w:r>
    </w:p>
    <w:p w:rsidR="00B73DE9" w:rsidRPr="00B73DE9" w:rsidRDefault="00B73DE9" w:rsidP="00B73DE9">
      <w:pPr>
        <w:rPr>
          <w:i/>
        </w:rPr>
      </w:pPr>
      <w:r w:rsidRPr="00B73DE9">
        <w:rPr>
          <w:i/>
        </w:rPr>
        <w:t>Maintainer</w:t>
      </w:r>
    </w:p>
    <w:p w:rsidR="00B73DE9" w:rsidRDefault="00B73DE9" w:rsidP="00B73DE9">
      <w:r>
        <w:t xml:space="preserve">It carries out the activities needed to ensure </w:t>
      </w:r>
      <w:r w:rsidR="00B64235">
        <w:t xml:space="preserve">at all times </w:t>
      </w:r>
      <w:r>
        <w:t xml:space="preserve">the perfect alignment </w:t>
      </w:r>
      <w:r w:rsidR="00B64235">
        <w:t xml:space="preserve">between SATER platform and SIMOG </w:t>
      </w:r>
      <w:r>
        <w:t xml:space="preserve">of the </w:t>
      </w:r>
      <w:r w:rsidR="00B64235">
        <w:t xml:space="preserve">data </w:t>
      </w:r>
      <w:r>
        <w:t xml:space="preserve">structures </w:t>
      </w:r>
      <w:r w:rsidR="00B64235">
        <w:t>related to selection criteria and exclusion grounds</w:t>
      </w:r>
      <w:r>
        <w:t>.</w:t>
      </w:r>
    </w:p>
    <w:p w:rsidR="00B73DE9" w:rsidRPr="00B73DE9" w:rsidRDefault="00B73DE9" w:rsidP="00B73DE9">
      <w:pPr>
        <w:rPr>
          <w:i/>
        </w:rPr>
      </w:pPr>
      <w:r w:rsidRPr="00B73DE9">
        <w:rPr>
          <w:i/>
        </w:rPr>
        <w:t>Checker</w:t>
      </w:r>
    </w:p>
    <w:p w:rsidR="00B73DE9" w:rsidRDefault="00B73DE9" w:rsidP="00B73DE9">
      <w:r>
        <w:t xml:space="preserve">Verify that all </w:t>
      </w:r>
      <w:r w:rsidR="009B7764">
        <w:t xml:space="preserve">the </w:t>
      </w:r>
      <w:r>
        <w:t xml:space="preserve">constraints imposed by the different criteria are met and that the information is complete before converting </w:t>
      </w:r>
      <w:r w:rsidR="00B64235">
        <w:t xml:space="preserve">the ESPD </w:t>
      </w:r>
      <w:r>
        <w:t xml:space="preserve">to </w:t>
      </w:r>
      <w:r w:rsidR="00B64235">
        <w:t>a .</w:t>
      </w:r>
      <w:r>
        <w:t xml:space="preserve">pdf </w:t>
      </w:r>
      <w:r w:rsidR="00B64235">
        <w:t xml:space="preserve">file for </w:t>
      </w:r>
      <w:r>
        <w:t xml:space="preserve">the </w:t>
      </w:r>
      <w:r w:rsidR="00B64235">
        <w:t xml:space="preserve">acquisition of the </w:t>
      </w:r>
      <w:r>
        <w:t>digital signature.</w:t>
      </w:r>
    </w:p>
    <w:p w:rsidR="00B73DE9" w:rsidRPr="00B73DE9" w:rsidRDefault="00B73DE9" w:rsidP="00B73DE9">
      <w:pPr>
        <w:rPr>
          <w:i/>
        </w:rPr>
      </w:pPr>
      <w:r w:rsidRPr="00B73DE9">
        <w:rPr>
          <w:i/>
        </w:rPr>
        <w:t>XML Converter</w:t>
      </w:r>
    </w:p>
    <w:p w:rsidR="009B7764" w:rsidRDefault="00B73DE9" w:rsidP="00B73DE9">
      <w:r>
        <w:t>It transpo</w:t>
      </w:r>
      <w:r w:rsidR="00B64235">
        <w:t>ses to the target XML format</w:t>
      </w:r>
      <w:r>
        <w:t xml:space="preserve"> both the </w:t>
      </w:r>
      <w:r w:rsidR="00B64235">
        <w:t>ESPD created by the CA a</w:t>
      </w:r>
      <w:r>
        <w:t xml:space="preserve">nd the </w:t>
      </w:r>
      <w:r w:rsidR="00B64235">
        <w:t xml:space="preserve">ESPD </w:t>
      </w:r>
      <w:r>
        <w:t xml:space="preserve">responses </w:t>
      </w:r>
      <w:r w:rsidR="00A64D1F">
        <w:t>filled-in</w:t>
      </w:r>
      <w:r>
        <w:t xml:space="preserve"> by the </w:t>
      </w:r>
      <w:r w:rsidR="00B64235">
        <w:t>EOs</w:t>
      </w:r>
      <w:r>
        <w:t xml:space="preserve">. This task is done bidirectionally, that is, </w:t>
      </w:r>
      <w:r w:rsidR="00B64235">
        <w:t>it works either in upload</w:t>
      </w:r>
      <w:r w:rsidR="009B7764">
        <w:t xml:space="preserve"> or in download</w:t>
      </w:r>
      <w:r w:rsidR="00A64D1F">
        <w:t>. In particular, the system wil enable the end-user to</w:t>
      </w:r>
      <w:r w:rsidR="009B7764">
        <w:t>:</w:t>
      </w:r>
    </w:p>
    <w:p w:rsidR="009B7764" w:rsidRDefault="009B7764" w:rsidP="006103F9">
      <w:pPr>
        <w:pStyle w:val="ListParagraph"/>
        <w:numPr>
          <w:ilvl w:val="0"/>
          <w:numId w:val="28"/>
        </w:numPr>
        <w:ind w:left="760" w:hanging="357"/>
        <w:contextualSpacing w:val="0"/>
      </w:pPr>
      <w:r>
        <w:lastRenderedPageBreak/>
        <w:t>upl</w:t>
      </w:r>
      <w:r w:rsidR="00B64235">
        <w:t xml:space="preserve">oad an ESPD response produced </w:t>
      </w:r>
      <w:r>
        <w:t>in XML format through any other tool;</w:t>
      </w:r>
    </w:p>
    <w:p w:rsidR="004E337B" w:rsidRDefault="009B7764" w:rsidP="006103F9">
      <w:pPr>
        <w:pStyle w:val="ListParagraph"/>
        <w:numPr>
          <w:ilvl w:val="0"/>
          <w:numId w:val="28"/>
        </w:numPr>
      </w:pPr>
      <w:r>
        <w:t>extract</w:t>
      </w:r>
      <w:r w:rsidR="00B73DE9">
        <w:t xml:space="preserve"> a</w:t>
      </w:r>
      <w:r w:rsidR="00B64235">
        <w:t>n</w:t>
      </w:r>
      <w:r w:rsidR="00B73DE9">
        <w:t xml:space="preserve"> </w:t>
      </w:r>
      <w:r w:rsidR="00B64235">
        <w:t>ESPD r</w:t>
      </w:r>
      <w:r w:rsidR="00B73DE9">
        <w:t xml:space="preserve">esponse or request </w:t>
      </w:r>
      <w:r>
        <w:t xml:space="preserve">in XML format </w:t>
      </w:r>
      <w:r w:rsidR="00B73DE9">
        <w:t xml:space="preserve">for </w:t>
      </w:r>
      <w:r w:rsidR="00B64235">
        <w:t>processing</w:t>
      </w:r>
      <w:r w:rsidR="00B73DE9">
        <w:t xml:space="preserve"> in other </w:t>
      </w:r>
      <w:r w:rsidR="00B64235">
        <w:t>platforms or with other tools</w:t>
      </w:r>
      <w:r w:rsidR="00B73DE9">
        <w:t>.</w:t>
      </w:r>
    </w:p>
    <w:p w:rsidR="00506C60" w:rsidRDefault="00506C60" w:rsidP="004E337B"/>
    <w:p w:rsidR="00DA09BB" w:rsidRPr="00DA09BB" w:rsidRDefault="00DA09BB" w:rsidP="00CA1BEB">
      <w:pPr>
        <w:rPr>
          <w:b/>
        </w:rPr>
      </w:pPr>
      <w:r w:rsidRPr="00DA09BB">
        <w:rPr>
          <w:b/>
        </w:rPr>
        <w:t>The new process flow</w:t>
      </w:r>
    </w:p>
    <w:p w:rsidR="001E5206" w:rsidRDefault="00BA4CE8" w:rsidP="00CA1BEB">
      <w:r>
        <w:t xml:space="preserve">The typical tendering process currently followed in Italy is based on a manual </w:t>
      </w:r>
      <w:r w:rsidR="001E5206">
        <w:t>association of the CIG codes to the lots and does not foresee an automated validation in SIMOG of the selection / exclusion criteria proposed by the CA in the ESPD request.</w:t>
      </w:r>
    </w:p>
    <w:p w:rsidR="001E5206" w:rsidRDefault="001E5206" w:rsidP="00CA1BEB">
      <w:r>
        <w:t>With the new scenario described in this document, many automated steps will be introduced, bringing a general simplification in operational tasks and ensuring consistency to the overall process.</w:t>
      </w:r>
    </w:p>
    <w:p w:rsidR="00DA09BB" w:rsidRDefault="001E5206" w:rsidP="00DA09BB">
      <w:pPr>
        <w:spacing w:after="0"/>
      </w:pPr>
      <w:r>
        <w:t xml:space="preserve">The sequence diagram presented below intends to provide </w:t>
      </w:r>
      <w:r w:rsidR="00DA09BB">
        <w:t xml:space="preserve">a schematic overview of the new tender process, with a specific focus on the core stages of </w:t>
      </w:r>
      <w:r w:rsidR="00BA4CE8" w:rsidRPr="00BA4CE8">
        <w:t xml:space="preserve">ESPD </w:t>
      </w:r>
      <w:r w:rsidR="005337EA">
        <w:t>request / response creation and validation</w:t>
      </w:r>
      <w:r w:rsidR="00DA09BB">
        <w:t>:</w:t>
      </w:r>
    </w:p>
    <w:p w:rsidR="00DA09BB" w:rsidRDefault="00DA09BB" w:rsidP="00CA1BEB"/>
    <w:p w:rsidR="00E65967" w:rsidRPr="005337EA" w:rsidRDefault="005337EA" w:rsidP="00E65967">
      <w:pPr>
        <w:keepNext/>
      </w:pPr>
      <w:r>
        <w:rPr>
          <w:noProof/>
          <w:lang w:val="it-IT" w:eastAsia="it-IT"/>
        </w:rPr>
        <w:drawing>
          <wp:inline distT="0" distB="0" distL="0" distR="0">
            <wp:extent cx="6120130" cy="436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ESPD_v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363085"/>
                    </a:xfrm>
                    <a:prstGeom prst="rect">
                      <a:avLst/>
                    </a:prstGeom>
                  </pic:spPr>
                </pic:pic>
              </a:graphicData>
            </a:graphic>
          </wp:inline>
        </w:drawing>
      </w:r>
    </w:p>
    <w:p w:rsidR="00DA09BB" w:rsidRDefault="00E65967" w:rsidP="00E65967">
      <w:pPr>
        <w:pStyle w:val="Caption"/>
      </w:pPr>
      <w:bookmarkStart w:id="17" w:name="_Toc489278375"/>
      <w:r>
        <w:t xml:space="preserve">Figure </w:t>
      </w:r>
      <w:r>
        <w:fldChar w:fldCharType="begin"/>
      </w:r>
      <w:r>
        <w:instrText xml:space="preserve"> SEQ Figure \* ARABIC </w:instrText>
      </w:r>
      <w:r>
        <w:fldChar w:fldCharType="separate"/>
      </w:r>
      <w:r>
        <w:rPr>
          <w:noProof/>
        </w:rPr>
        <w:t>4</w:t>
      </w:r>
      <w:r>
        <w:fldChar w:fldCharType="end"/>
      </w:r>
      <w:r>
        <w:t xml:space="preserve"> Sequence diagram of the new tender process</w:t>
      </w:r>
      <w:r w:rsidR="005337EA">
        <w:t>, with focus on ESPD</w:t>
      </w:r>
      <w:bookmarkEnd w:id="17"/>
    </w:p>
    <w:p w:rsidR="00DA09BB" w:rsidRDefault="00DA09BB">
      <w:pPr>
        <w:jc w:val="left"/>
      </w:pPr>
      <w:r>
        <w:br w:type="page"/>
      </w:r>
    </w:p>
    <w:p w:rsidR="00CA1BEB" w:rsidRPr="00B61F90" w:rsidRDefault="00DA09BB" w:rsidP="00CA1BEB">
      <w:pPr>
        <w:pStyle w:val="Heading1"/>
        <w:ind w:left="431" w:hanging="431"/>
      </w:pPr>
      <w:bookmarkStart w:id="18" w:name="_Toc489278368"/>
      <w:r>
        <w:lastRenderedPageBreak/>
        <w:t>Gap analysis</w:t>
      </w:r>
      <w:bookmarkEnd w:id="18"/>
    </w:p>
    <w:p w:rsidR="004C52E1" w:rsidRDefault="004C52E1" w:rsidP="00CA1BEB">
      <w:r>
        <w:t>With reference to the sequence diagram presented in the previous chapter, we provide in this section</w:t>
      </w:r>
      <w:r w:rsidR="00DA09BB" w:rsidRPr="00DA09BB">
        <w:t xml:space="preserve"> a</w:t>
      </w:r>
      <w:r>
        <w:t xml:space="preserve"> short description of each tender phase in the target scenario (To Be model), together with a description</w:t>
      </w:r>
      <w:r w:rsidR="00DA09BB" w:rsidRPr="00DA09BB">
        <w:t xml:space="preserve"> of the gap </w:t>
      </w:r>
      <w:r>
        <w:t xml:space="preserve">identified in the As Is analysis and a brief explanation of the functional / technical intervention needed to bridge this gap. </w:t>
      </w:r>
    </w:p>
    <w:p w:rsidR="004C52E1" w:rsidRDefault="004C52E1" w:rsidP="000445A3">
      <w:pPr>
        <w:spacing w:after="0"/>
      </w:pPr>
      <w:r>
        <w:t>Note: for further details on the solutions mentioned in the table below (Gap to As Is column), please refer to the following chapters 6 and 7.</w:t>
      </w:r>
    </w:p>
    <w:p w:rsidR="000445A3" w:rsidRDefault="000445A3" w:rsidP="00CA1BEB"/>
    <w:tbl>
      <w:tblPr>
        <w:tblStyle w:val="TableSimple1"/>
        <w:tblW w:w="0" w:type="auto"/>
        <w:tblLook w:val="04A0" w:firstRow="1" w:lastRow="0" w:firstColumn="1" w:lastColumn="0" w:noHBand="0" w:noVBand="1"/>
      </w:tblPr>
      <w:tblGrid>
        <w:gridCol w:w="4814"/>
        <w:gridCol w:w="4814"/>
      </w:tblGrid>
      <w:tr w:rsidR="000445A3" w:rsidRPr="000445A3" w:rsidTr="000445A3">
        <w:trPr>
          <w:cnfStyle w:val="100000000000" w:firstRow="1" w:lastRow="0" w:firstColumn="0" w:lastColumn="0" w:oddVBand="0" w:evenVBand="0" w:oddHBand="0" w:evenHBand="0" w:firstRowFirstColumn="0" w:firstRowLastColumn="0" w:lastRowFirstColumn="0" w:lastRowLastColumn="0"/>
          <w:tblHeader/>
        </w:trPr>
        <w:tc>
          <w:tcPr>
            <w:tcW w:w="4814" w:type="dxa"/>
            <w:tcBorders>
              <w:top w:val="single" w:sz="12" w:space="0" w:color="008000"/>
              <w:right w:val="single" w:sz="6" w:space="0" w:color="A6A6A6" w:themeColor="background1" w:themeShade="A6"/>
            </w:tcBorders>
            <w:shd w:val="clear" w:color="auto" w:fill="F2F2F2" w:themeFill="background1" w:themeFillShade="F2"/>
            <w:vAlign w:val="center"/>
          </w:tcPr>
          <w:p w:rsidR="000445A3" w:rsidRPr="000445A3" w:rsidRDefault="000445A3" w:rsidP="000445A3">
            <w:pPr>
              <w:spacing w:before="120" w:after="120" w:line="240" w:lineRule="auto"/>
              <w:jc w:val="center"/>
              <w:rPr>
                <w:rFonts w:asciiTheme="minorHAnsi" w:hAnsiTheme="minorHAnsi"/>
                <w:b/>
                <w:sz w:val="24"/>
              </w:rPr>
            </w:pPr>
            <w:r w:rsidRPr="000445A3">
              <w:rPr>
                <w:rFonts w:asciiTheme="minorHAnsi" w:hAnsiTheme="minorHAnsi"/>
                <w:b/>
                <w:sz w:val="24"/>
              </w:rPr>
              <w:t>To Be Scenario</w:t>
            </w:r>
          </w:p>
        </w:tc>
        <w:tc>
          <w:tcPr>
            <w:tcW w:w="4814" w:type="dxa"/>
            <w:tcBorders>
              <w:top w:val="single" w:sz="12" w:space="0" w:color="008000"/>
              <w:left w:val="single" w:sz="6" w:space="0" w:color="A6A6A6" w:themeColor="background1" w:themeShade="A6"/>
            </w:tcBorders>
            <w:shd w:val="clear" w:color="auto" w:fill="F2F2F2" w:themeFill="background1" w:themeFillShade="F2"/>
            <w:vAlign w:val="center"/>
          </w:tcPr>
          <w:p w:rsidR="000445A3" w:rsidRPr="000445A3" w:rsidRDefault="000445A3" w:rsidP="000445A3">
            <w:pPr>
              <w:spacing w:before="120" w:after="120" w:line="240" w:lineRule="auto"/>
              <w:jc w:val="center"/>
              <w:rPr>
                <w:rFonts w:asciiTheme="minorHAnsi" w:hAnsiTheme="minorHAnsi"/>
                <w:b/>
                <w:sz w:val="24"/>
              </w:rPr>
            </w:pPr>
            <w:r w:rsidRPr="000445A3">
              <w:rPr>
                <w:rFonts w:asciiTheme="minorHAnsi" w:hAnsiTheme="minorHAnsi"/>
                <w:b/>
                <w:sz w:val="24"/>
              </w:rPr>
              <w:t xml:space="preserve">Gap to As Is </w:t>
            </w:r>
            <w:r>
              <w:rPr>
                <w:rFonts w:asciiTheme="minorHAnsi" w:hAnsiTheme="minorHAnsi"/>
                <w:b/>
                <w:sz w:val="24"/>
              </w:rPr>
              <w:t>and proposed solution</w:t>
            </w:r>
          </w:p>
        </w:tc>
      </w:tr>
      <w:tr w:rsidR="000445A3" w:rsidTr="000445A3">
        <w:tc>
          <w:tcPr>
            <w:tcW w:w="4814" w:type="dxa"/>
            <w:tcBorders>
              <w:top w:val="single" w:sz="6" w:space="0" w:color="008000"/>
              <w:bottom w:val="single" w:sz="6" w:space="0" w:color="A6A6A6" w:themeColor="background1" w:themeShade="A6"/>
              <w:right w:val="single" w:sz="6" w:space="0" w:color="A6A6A6" w:themeColor="background1" w:themeShade="A6"/>
            </w:tcBorders>
          </w:tcPr>
          <w:p w:rsidR="000445A3" w:rsidRPr="000445A3" w:rsidRDefault="000445A3" w:rsidP="001C1406">
            <w:pPr>
              <w:spacing w:after="120"/>
              <w:ind w:right="170"/>
              <w:rPr>
                <w:rFonts w:asciiTheme="minorHAnsi" w:hAnsiTheme="minorHAnsi"/>
                <w:b/>
                <w:lang w:val="en-US"/>
              </w:rPr>
            </w:pPr>
            <w:r w:rsidRPr="000445A3">
              <w:rPr>
                <w:rFonts w:asciiTheme="minorHAnsi" w:hAnsiTheme="minorHAnsi"/>
                <w:b/>
                <w:lang w:val="en-US"/>
              </w:rPr>
              <w:t xml:space="preserve">Phase 1 </w:t>
            </w:r>
            <w:r w:rsidR="005337EA">
              <w:rPr>
                <w:rFonts w:asciiTheme="minorHAnsi" w:hAnsiTheme="minorHAnsi"/>
                <w:b/>
                <w:lang w:val="en-US"/>
              </w:rPr>
              <w:t>–</w:t>
            </w:r>
            <w:r w:rsidRPr="000445A3">
              <w:rPr>
                <w:rFonts w:asciiTheme="minorHAnsi" w:hAnsiTheme="minorHAnsi"/>
                <w:b/>
                <w:lang w:val="en-US"/>
              </w:rPr>
              <w:t xml:space="preserve"> </w:t>
            </w:r>
            <w:r w:rsidR="005337EA">
              <w:rPr>
                <w:rFonts w:asciiTheme="minorHAnsi" w:hAnsiTheme="minorHAnsi"/>
                <w:b/>
                <w:lang w:val="en-US"/>
              </w:rPr>
              <w:t>Tender design</w:t>
            </w:r>
          </w:p>
          <w:p w:rsidR="000445A3" w:rsidRPr="000445A3" w:rsidRDefault="00C543B5" w:rsidP="00C543B5">
            <w:pPr>
              <w:ind w:right="170"/>
              <w:rPr>
                <w:rFonts w:asciiTheme="minorHAnsi" w:hAnsiTheme="minorHAnsi"/>
                <w:lang w:val="en-US"/>
              </w:rPr>
            </w:pPr>
            <w:r w:rsidRPr="00C543B5">
              <w:rPr>
                <w:rFonts w:asciiTheme="minorHAnsi" w:hAnsiTheme="minorHAnsi"/>
                <w:lang w:val="en-US"/>
              </w:rPr>
              <w:t xml:space="preserve">Responsible structures </w:t>
            </w:r>
            <w:r>
              <w:rPr>
                <w:rFonts w:asciiTheme="minorHAnsi" w:hAnsiTheme="minorHAnsi"/>
                <w:lang w:val="en-US"/>
              </w:rPr>
              <w:t>of the CA will enter in</w:t>
            </w:r>
            <w:r w:rsidRPr="00C543B5">
              <w:rPr>
                <w:rFonts w:asciiTheme="minorHAnsi" w:hAnsiTheme="minorHAnsi"/>
                <w:lang w:val="en-US"/>
              </w:rPr>
              <w:t xml:space="preserve"> the SATER platform all the information necessary for the preparation of the </w:t>
            </w:r>
            <w:r>
              <w:rPr>
                <w:rFonts w:asciiTheme="minorHAnsi" w:hAnsiTheme="minorHAnsi"/>
                <w:lang w:val="en-US"/>
              </w:rPr>
              <w:t>tender</w:t>
            </w:r>
            <w:r w:rsidRPr="00C543B5">
              <w:rPr>
                <w:rFonts w:asciiTheme="minorHAnsi" w:hAnsiTheme="minorHAnsi"/>
                <w:lang w:val="en-US"/>
              </w:rPr>
              <w:t xml:space="preserve">, including those relating to the </w:t>
            </w:r>
            <w:r>
              <w:rPr>
                <w:rFonts w:asciiTheme="minorHAnsi" w:hAnsiTheme="minorHAnsi"/>
                <w:lang w:val="en-US"/>
              </w:rPr>
              <w:t>ESPD request</w:t>
            </w:r>
            <w:r w:rsidRPr="00C543B5">
              <w:rPr>
                <w:rFonts w:asciiTheme="minorHAnsi" w:hAnsiTheme="minorHAnsi"/>
                <w:lang w:val="en-US"/>
              </w:rPr>
              <w:t xml:space="preserve"> to be </w:t>
            </w:r>
            <w:r>
              <w:rPr>
                <w:rFonts w:asciiTheme="minorHAnsi" w:hAnsiTheme="minorHAnsi"/>
                <w:lang w:val="en-US"/>
              </w:rPr>
              <w:t>linked</w:t>
            </w:r>
            <w:r w:rsidRPr="00C543B5">
              <w:rPr>
                <w:rFonts w:asciiTheme="minorHAnsi" w:hAnsiTheme="minorHAnsi"/>
                <w:lang w:val="en-US"/>
              </w:rPr>
              <w:t>. Once this stage is completed successfully</w:t>
            </w:r>
            <w:r>
              <w:rPr>
                <w:rFonts w:asciiTheme="minorHAnsi" w:hAnsiTheme="minorHAnsi"/>
                <w:lang w:val="en-US"/>
              </w:rPr>
              <w:t xml:space="preserve">, the tender </w:t>
            </w:r>
            <w:r w:rsidRPr="00C543B5">
              <w:rPr>
                <w:rFonts w:asciiTheme="minorHAnsi" w:hAnsiTheme="minorHAnsi"/>
                <w:lang w:val="en-US"/>
              </w:rPr>
              <w:t xml:space="preserve"> is ready to be "Published" on the SATER Portal</w:t>
            </w:r>
          </w:p>
        </w:tc>
        <w:tc>
          <w:tcPr>
            <w:tcW w:w="4814" w:type="dxa"/>
            <w:tcBorders>
              <w:top w:val="single" w:sz="6" w:space="0" w:color="008000"/>
              <w:left w:val="single" w:sz="6" w:space="0" w:color="A6A6A6" w:themeColor="background1" w:themeShade="A6"/>
              <w:bottom w:val="single" w:sz="6" w:space="0" w:color="A6A6A6" w:themeColor="background1" w:themeShade="A6"/>
            </w:tcBorders>
          </w:tcPr>
          <w:p w:rsidR="00C543B5" w:rsidRDefault="00C543B5" w:rsidP="00C543B5">
            <w:pPr>
              <w:spacing w:after="120" w:line="240" w:lineRule="auto"/>
              <w:rPr>
                <w:rFonts w:asciiTheme="minorHAnsi" w:hAnsiTheme="minorHAnsi"/>
              </w:rPr>
            </w:pPr>
            <w:r w:rsidRPr="00C543B5">
              <w:rPr>
                <w:rFonts w:asciiTheme="minorHAnsi" w:hAnsiTheme="minorHAnsi"/>
              </w:rPr>
              <w:t xml:space="preserve">Through the Customizer, Manager and Checker components, the current functions </w:t>
            </w:r>
            <w:r>
              <w:rPr>
                <w:rFonts w:asciiTheme="minorHAnsi" w:hAnsiTheme="minorHAnsi"/>
              </w:rPr>
              <w:t xml:space="preserve">of SATER </w:t>
            </w:r>
            <w:r w:rsidRPr="00C543B5">
              <w:rPr>
                <w:rFonts w:asciiTheme="minorHAnsi" w:hAnsiTheme="minorHAnsi"/>
              </w:rPr>
              <w:t xml:space="preserve">will be </w:t>
            </w:r>
            <w:r>
              <w:rPr>
                <w:rFonts w:asciiTheme="minorHAnsi" w:hAnsiTheme="minorHAnsi"/>
              </w:rPr>
              <w:t>enhanced to allow the creation of</w:t>
            </w:r>
            <w:r w:rsidR="00676963">
              <w:rPr>
                <w:rFonts w:asciiTheme="minorHAnsi" w:hAnsiTheme="minorHAnsi"/>
              </w:rPr>
              <w:t xml:space="preserve"> an ESPD request. In particular</w:t>
            </w:r>
            <w:r>
              <w:rPr>
                <w:rFonts w:asciiTheme="minorHAnsi" w:hAnsiTheme="minorHAnsi"/>
              </w:rPr>
              <w:t>:</w:t>
            </w:r>
          </w:p>
          <w:p w:rsidR="00C543B5" w:rsidRDefault="00C543B5" w:rsidP="0098589E">
            <w:pPr>
              <w:pStyle w:val="ListParagraph"/>
              <w:numPr>
                <w:ilvl w:val="0"/>
                <w:numId w:val="21"/>
              </w:numPr>
              <w:spacing w:after="120" w:line="240" w:lineRule="auto"/>
              <w:ind w:left="714" w:hanging="357"/>
              <w:contextualSpacing w:val="0"/>
              <w:rPr>
                <w:rFonts w:asciiTheme="minorHAnsi" w:hAnsiTheme="minorHAnsi"/>
                <w:lang w:val="en-US"/>
              </w:rPr>
            </w:pPr>
            <w:r>
              <w:rPr>
                <w:rFonts w:asciiTheme="minorHAnsi" w:hAnsiTheme="minorHAnsi"/>
                <w:lang w:val="en-US"/>
              </w:rPr>
              <w:t xml:space="preserve">The ESPD </w:t>
            </w:r>
            <w:r w:rsidR="00676963">
              <w:rPr>
                <w:rFonts w:asciiTheme="minorHAnsi" w:hAnsiTheme="minorHAnsi"/>
                <w:lang w:val="en-US"/>
              </w:rPr>
              <w:t xml:space="preserve">request </w:t>
            </w:r>
            <w:r>
              <w:rPr>
                <w:rFonts w:asciiTheme="minorHAnsi" w:hAnsiTheme="minorHAnsi"/>
                <w:lang w:val="en-US"/>
              </w:rPr>
              <w:t>will be customized for the specific tender through the Customizer</w:t>
            </w:r>
            <w:r w:rsidR="00D0031E">
              <w:rPr>
                <w:rFonts w:asciiTheme="minorHAnsi" w:hAnsiTheme="minorHAnsi"/>
                <w:lang w:val="en-US"/>
              </w:rPr>
              <w:t xml:space="preserve"> component</w:t>
            </w:r>
            <w:r>
              <w:rPr>
                <w:rFonts w:asciiTheme="minorHAnsi" w:hAnsiTheme="minorHAnsi"/>
                <w:lang w:val="en-US"/>
              </w:rPr>
              <w:t>;</w:t>
            </w:r>
          </w:p>
          <w:p w:rsidR="00C543B5" w:rsidRDefault="00D0031E" w:rsidP="0098589E">
            <w:pPr>
              <w:pStyle w:val="ListParagraph"/>
              <w:numPr>
                <w:ilvl w:val="0"/>
                <w:numId w:val="21"/>
              </w:numPr>
              <w:spacing w:after="120" w:line="240" w:lineRule="auto"/>
              <w:contextualSpacing w:val="0"/>
              <w:rPr>
                <w:rFonts w:asciiTheme="minorHAnsi" w:hAnsiTheme="minorHAnsi"/>
                <w:lang w:val="en-US"/>
              </w:rPr>
            </w:pPr>
            <w:r>
              <w:rPr>
                <w:rFonts w:asciiTheme="minorHAnsi" w:hAnsiTheme="minorHAnsi"/>
                <w:lang w:val="en-US"/>
              </w:rPr>
              <w:t>T</w:t>
            </w:r>
            <w:r w:rsidR="00C543B5" w:rsidRPr="00C543B5">
              <w:rPr>
                <w:rFonts w:asciiTheme="minorHAnsi" w:hAnsiTheme="minorHAnsi"/>
                <w:lang w:val="en-US"/>
              </w:rPr>
              <w:t xml:space="preserve">he </w:t>
            </w:r>
            <w:r w:rsidR="00C543B5">
              <w:rPr>
                <w:rFonts w:asciiTheme="minorHAnsi" w:hAnsiTheme="minorHAnsi"/>
                <w:lang w:val="en-US"/>
              </w:rPr>
              <w:t>information to be filled by the CA in the ESPD request will be defined and controlled by the Manager component;</w:t>
            </w:r>
          </w:p>
          <w:p w:rsidR="00D0031E" w:rsidRPr="000445A3" w:rsidRDefault="00D0031E" w:rsidP="0098589E">
            <w:pPr>
              <w:pStyle w:val="ListParagraph"/>
              <w:numPr>
                <w:ilvl w:val="0"/>
                <w:numId w:val="21"/>
              </w:numPr>
              <w:spacing w:after="120" w:line="240" w:lineRule="auto"/>
              <w:contextualSpacing w:val="0"/>
              <w:rPr>
                <w:rFonts w:asciiTheme="minorHAnsi" w:hAnsiTheme="minorHAnsi"/>
                <w:lang w:val="en-US"/>
              </w:rPr>
            </w:pPr>
            <w:r>
              <w:rPr>
                <w:rFonts w:asciiTheme="minorHAnsi" w:hAnsiTheme="minorHAnsi"/>
                <w:lang w:val="en-US"/>
              </w:rPr>
              <w:t>The ESPD request structure and data filled will be finally verified by the Checker component.</w:t>
            </w:r>
          </w:p>
          <w:p w:rsidR="000445A3" w:rsidRPr="00205994" w:rsidRDefault="00D0031E" w:rsidP="00C543B5">
            <w:pPr>
              <w:rPr>
                <w:rFonts w:asciiTheme="minorHAnsi" w:hAnsiTheme="minorHAnsi"/>
                <w:lang w:val="en-US"/>
              </w:rPr>
            </w:pPr>
            <w:r w:rsidRPr="00D0031E">
              <w:rPr>
                <w:rFonts w:asciiTheme="minorHAnsi" w:hAnsiTheme="minorHAnsi"/>
                <w:lang w:val="en-US"/>
              </w:rPr>
              <w:t>Interaction with A</w:t>
            </w:r>
            <w:r w:rsidR="00205994">
              <w:rPr>
                <w:rFonts w:asciiTheme="minorHAnsi" w:hAnsiTheme="minorHAnsi"/>
                <w:lang w:val="en-US"/>
              </w:rPr>
              <w:t>.</w:t>
            </w:r>
            <w:r w:rsidRPr="00D0031E">
              <w:rPr>
                <w:rFonts w:asciiTheme="minorHAnsi" w:hAnsiTheme="minorHAnsi"/>
                <w:lang w:val="en-US"/>
              </w:rPr>
              <w:t>N</w:t>
            </w:r>
            <w:r w:rsidR="00205994">
              <w:rPr>
                <w:rFonts w:asciiTheme="minorHAnsi" w:hAnsiTheme="minorHAnsi"/>
                <w:lang w:val="en-US"/>
              </w:rPr>
              <w:t>.</w:t>
            </w:r>
            <w:r w:rsidRPr="00D0031E">
              <w:rPr>
                <w:rFonts w:asciiTheme="minorHAnsi" w:hAnsiTheme="minorHAnsi"/>
                <w:lang w:val="en-US"/>
              </w:rPr>
              <w:t>AC</w:t>
            </w:r>
            <w:r w:rsidR="00205994">
              <w:rPr>
                <w:rFonts w:asciiTheme="minorHAnsi" w:hAnsiTheme="minorHAnsi"/>
                <w:lang w:val="en-US"/>
              </w:rPr>
              <w:t>.</w:t>
            </w:r>
            <w:r w:rsidRPr="00D0031E">
              <w:rPr>
                <w:rFonts w:asciiTheme="minorHAnsi" w:hAnsiTheme="minorHAnsi"/>
                <w:lang w:val="en-US"/>
              </w:rPr>
              <w:t xml:space="preserve"> to obtain the ACK </w:t>
            </w:r>
            <w:r w:rsidR="00205994">
              <w:rPr>
                <w:rFonts w:asciiTheme="minorHAnsi" w:hAnsiTheme="minorHAnsi"/>
                <w:lang w:val="en-US"/>
              </w:rPr>
              <w:t>on</w:t>
            </w:r>
            <w:r w:rsidRPr="00D0031E">
              <w:rPr>
                <w:rFonts w:asciiTheme="minorHAnsi" w:hAnsiTheme="minorHAnsi"/>
                <w:lang w:val="en-US"/>
              </w:rPr>
              <w:t xml:space="preserve"> the </w:t>
            </w:r>
            <w:r w:rsidR="00205994">
              <w:rPr>
                <w:rFonts w:asciiTheme="minorHAnsi" w:hAnsiTheme="minorHAnsi"/>
                <w:lang w:val="en-US"/>
              </w:rPr>
              <w:t xml:space="preserve">ESPD </w:t>
            </w:r>
            <w:r w:rsidRPr="00D0031E">
              <w:rPr>
                <w:rFonts w:asciiTheme="minorHAnsi" w:hAnsiTheme="minorHAnsi"/>
                <w:lang w:val="en-US"/>
              </w:rPr>
              <w:t xml:space="preserve">structure </w:t>
            </w:r>
            <w:r w:rsidR="00205994">
              <w:rPr>
                <w:rFonts w:asciiTheme="minorHAnsi" w:hAnsiTheme="minorHAnsi"/>
                <w:lang w:val="en-US"/>
              </w:rPr>
              <w:t xml:space="preserve">– in terms of completeness and validity of the selection criteria / exclusion grounds chosen - </w:t>
            </w:r>
            <w:r w:rsidRPr="00D0031E">
              <w:rPr>
                <w:rFonts w:asciiTheme="minorHAnsi" w:hAnsiTheme="minorHAnsi"/>
                <w:lang w:val="en-US"/>
              </w:rPr>
              <w:t xml:space="preserve">is described in </w:t>
            </w:r>
            <w:r w:rsidR="00205994">
              <w:rPr>
                <w:rFonts w:asciiTheme="minorHAnsi" w:hAnsiTheme="minorHAnsi"/>
                <w:lang w:val="en-US"/>
              </w:rPr>
              <w:t xml:space="preserve">the Gap Analysis document of the </w:t>
            </w:r>
            <w:r w:rsidR="00205994" w:rsidRPr="00072CA0">
              <w:rPr>
                <w:rFonts w:asciiTheme="minorHAnsi" w:hAnsiTheme="minorHAnsi"/>
                <w:i/>
                <w:lang w:val="en-US"/>
              </w:rPr>
              <w:t>I</w:t>
            </w:r>
            <w:r w:rsidR="00072CA0" w:rsidRPr="00072CA0">
              <w:rPr>
                <w:rFonts w:asciiTheme="minorHAnsi" w:hAnsiTheme="minorHAnsi"/>
                <w:i/>
                <w:lang w:val="en-US"/>
              </w:rPr>
              <w:t>I</w:t>
            </w:r>
            <w:r w:rsidR="00205994" w:rsidRPr="00072CA0">
              <w:rPr>
                <w:rFonts w:asciiTheme="minorHAnsi" w:hAnsiTheme="minorHAnsi"/>
                <w:i/>
                <w:lang w:val="en-US"/>
              </w:rPr>
              <w:t>eP action</w:t>
            </w:r>
            <w:r w:rsidR="00205994">
              <w:rPr>
                <w:rFonts w:asciiTheme="minorHAnsi" w:hAnsiTheme="minorHAnsi"/>
                <w:lang w:val="en-US"/>
              </w:rPr>
              <w:t xml:space="preserve"> </w:t>
            </w:r>
            <w:r w:rsidR="00205994" w:rsidRPr="00205994">
              <w:rPr>
                <w:rFonts w:asciiTheme="minorHAnsi" w:hAnsiTheme="minorHAnsi"/>
                <w:lang w:val="en-US"/>
              </w:rPr>
              <w:t>(2015-IT-IA-0108)</w:t>
            </w:r>
            <w:r w:rsidRPr="00D0031E">
              <w:rPr>
                <w:rFonts w:asciiTheme="minorHAnsi" w:hAnsiTheme="minorHAnsi"/>
                <w:lang w:val="en-US"/>
              </w:rPr>
              <w:t>.</w:t>
            </w:r>
          </w:p>
        </w:tc>
      </w:tr>
      <w:tr w:rsidR="000445A3" w:rsidTr="000445A3">
        <w:tc>
          <w:tcPr>
            <w:tcW w:w="4814" w:type="dxa"/>
            <w:tcBorders>
              <w:top w:val="single" w:sz="6" w:space="0" w:color="A6A6A6" w:themeColor="background1" w:themeShade="A6"/>
              <w:bottom w:val="single" w:sz="6" w:space="0" w:color="A6A6A6" w:themeColor="background1" w:themeShade="A6"/>
              <w:right w:val="single" w:sz="6" w:space="0" w:color="A6A6A6" w:themeColor="background1" w:themeShade="A6"/>
            </w:tcBorders>
          </w:tcPr>
          <w:p w:rsidR="000445A3" w:rsidRPr="000445A3" w:rsidRDefault="000445A3" w:rsidP="001C1406">
            <w:pPr>
              <w:spacing w:after="120"/>
              <w:ind w:right="170"/>
              <w:rPr>
                <w:rFonts w:asciiTheme="minorHAnsi" w:hAnsiTheme="minorHAnsi"/>
                <w:b/>
                <w:lang w:val="en-US"/>
              </w:rPr>
            </w:pPr>
            <w:r w:rsidRPr="000445A3">
              <w:rPr>
                <w:rFonts w:asciiTheme="minorHAnsi" w:hAnsiTheme="minorHAnsi"/>
                <w:b/>
              </w:rPr>
              <w:t xml:space="preserve">Phase 2 </w:t>
            </w:r>
            <w:r w:rsidR="00072CA0">
              <w:rPr>
                <w:rFonts w:asciiTheme="minorHAnsi" w:hAnsiTheme="minorHAnsi"/>
                <w:b/>
              </w:rPr>
              <w:t>–</w:t>
            </w:r>
            <w:r w:rsidRPr="000445A3">
              <w:rPr>
                <w:rFonts w:asciiTheme="minorHAnsi" w:hAnsiTheme="minorHAnsi"/>
                <w:b/>
              </w:rPr>
              <w:t xml:space="preserve"> </w:t>
            </w:r>
            <w:r w:rsidR="00072CA0">
              <w:rPr>
                <w:rFonts w:asciiTheme="minorHAnsi" w:hAnsiTheme="minorHAnsi"/>
                <w:b/>
              </w:rPr>
              <w:t>Tender publishing</w:t>
            </w:r>
          </w:p>
          <w:p w:rsidR="00460366" w:rsidRDefault="00072CA0" w:rsidP="00460366">
            <w:pPr>
              <w:spacing w:after="120" w:line="240" w:lineRule="auto"/>
              <w:ind w:right="170"/>
              <w:rPr>
                <w:rFonts w:asciiTheme="minorHAnsi" w:hAnsiTheme="minorHAnsi"/>
                <w:lang w:val="en-US"/>
              </w:rPr>
            </w:pPr>
            <w:r w:rsidRPr="00072CA0">
              <w:rPr>
                <w:rFonts w:asciiTheme="minorHAnsi" w:hAnsiTheme="minorHAnsi"/>
                <w:lang w:val="en-US"/>
              </w:rPr>
              <w:t>At this stage</w:t>
            </w:r>
            <w:r>
              <w:rPr>
                <w:rFonts w:asciiTheme="minorHAnsi" w:hAnsiTheme="minorHAnsi"/>
                <w:lang w:val="en-US"/>
              </w:rPr>
              <w:t>,</w:t>
            </w:r>
            <w:r w:rsidRPr="00072CA0">
              <w:rPr>
                <w:rFonts w:asciiTheme="minorHAnsi" w:hAnsiTheme="minorHAnsi"/>
                <w:lang w:val="en-US"/>
              </w:rPr>
              <w:t xml:space="preserve"> all the controls necessary for the publication of the </w:t>
            </w:r>
            <w:r>
              <w:rPr>
                <w:rFonts w:asciiTheme="minorHAnsi" w:hAnsiTheme="minorHAnsi"/>
                <w:lang w:val="en-US"/>
              </w:rPr>
              <w:t>tender</w:t>
            </w:r>
            <w:r w:rsidRPr="00072CA0">
              <w:rPr>
                <w:rFonts w:asciiTheme="minorHAnsi" w:hAnsiTheme="minorHAnsi"/>
                <w:lang w:val="en-US"/>
              </w:rPr>
              <w:t xml:space="preserve"> are made. By way of example and not </w:t>
            </w:r>
            <w:r w:rsidR="00460366">
              <w:rPr>
                <w:rFonts w:asciiTheme="minorHAnsi" w:hAnsiTheme="minorHAnsi"/>
                <w:lang w:val="en-US"/>
              </w:rPr>
              <w:t>intended to be exhaustive:</w:t>
            </w:r>
          </w:p>
          <w:p w:rsidR="00460366" w:rsidRPr="00460366" w:rsidRDefault="00460366" w:rsidP="00460366">
            <w:pPr>
              <w:pStyle w:val="ListParagraph"/>
              <w:numPr>
                <w:ilvl w:val="0"/>
                <w:numId w:val="21"/>
              </w:numPr>
              <w:spacing w:after="120" w:line="240" w:lineRule="auto"/>
              <w:ind w:left="714" w:right="170" w:hanging="357"/>
              <w:contextualSpacing w:val="0"/>
              <w:rPr>
                <w:rFonts w:asciiTheme="minorHAnsi" w:hAnsiTheme="minorHAnsi"/>
                <w:lang w:val="en-US"/>
              </w:rPr>
            </w:pPr>
            <w:r w:rsidRPr="00460366">
              <w:rPr>
                <w:rFonts w:asciiTheme="minorHAnsi" w:hAnsiTheme="minorHAnsi"/>
                <w:lang w:val="en-US"/>
              </w:rPr>
              <w:t>C</w:t>
            </w:r>
            <w:r w:rsidR="00072CA0" w:rsidRPr="00460366">
              <w:rPr>
                <w:rFonts w:asciiTheme="minorHAnsi" w:hAnsiTheme="minorHAnsi"/>
                <w:lang w:val="en-US"/>
              </w:rPr>
              <w:t xml:space="preserve">onsistency of the information with respect to the model </w:t>
            </w:r>
            <w:r w:rsidRPr="00460366">
              <w:rPr>
                <w:rFonts w:asciiTheme="minorHAnsi" w:hAnsiTheme="minorHAnsi"/>
                <w:lang w:val="en-US"/>
              </w:rPr>
              <w:t>foreseen for</w:t>
            </w:r>
            <w:r w:rsidR="00072CA0" w:rsidRPr="00460366">
              <w:rPr>
                <w:rFonts w:asciiTheme="minorHAnsi" w:hAnsiTheme="minorHAnsi"/>
                <w:lang w:val="en-US"/>
              </w:rPr>
              <w:t xml:space="preserve"> the </w:t>
            </w:r>
            <w:r w:rsidRPr="00460366">
              <w:rPr>
                <w:rFonts w:asciiTheme="minorHAnsi" w:hAnsiTheme="minorHAnsi"/>
                <w:lang w:val="en-US"/>
              </w:rPr>
              <w:t>tender;</w:t>
            </w:r>
          </w:p>
          <w:p w:rsidR="00460366" w:rsidRPr="00460366" w:rsidRDefault="00460366" w:rsidP="00460366">
            <w:pPr>
              <w:pStyle w:val="ListParagraph"/>
              <w:numPr>
                <w:ilvl w:val="0"/>
                <w:numId w:val="21"/>
              </w:numPr>
              <w:spacing w:after="120" w:line="240" w:lineRule="auto"/>
              <w:ind w:left="714" w:right="170" w:hanging="357"/>
              <w:contextualSpacing w:val="0"/>
              <w:rPr>
                <w:rFonts w:asciiTheme="minorHAnsi" w:hAnsiTheme="minorHAnsi"/>
                <w:lang w:val="en-US"/>
              </w:rPr>
            </w:pPr>
            <w:r>
              <w:rPr>
                <w:rFonts w:asciiTheme="minorHAnsi" w:hAnsiTheme="minorHAnsi"/>
                <w:lang w:val="en-US"/>
              </w:rPr>
              <w:t>P</w:t>
            </w:r>
            <w:r w:rsidR="00072CA0" w:rsidRPr="00460366">
              <w:rPr>
                <w:rFonts w:asciiTheme="minorHAnsi" w:hAnsiTheme="minorHAnsi"/>
                <w:lang w:val="en-US"/>
              </w:rPr>
              <w:t xml:space="preserve">resence and correctness of all the dates envisaged in the process (eg </w:t>
            </w:r>
            <w:r w:rsidRPr="00460366">
              <w:rPr>
                <w:rFonts w:asciiTheme="minorHAnsi" w:hAnsiTheme="minorHAnsi"/>
                <w:lang w:val="en-US"/>
              </w:rPr>
              <w:t>s</w:t>
            </w:r>
            <w:r w:rsidR="00072CA0" w:rsidRPr="00460366">
              <w:rPr>
                <w:rFonts w:asciiTheme="minorHAnsi" w:hAnsiTheme="minorHAnsi"/>
                <w:lang w:val="en-US"/>
              </w:rPr>
              <w:t xml:space="preserve">tart </w:t>
            </w:r>
            <w:r w:rsidRPr="00460366">
              <w:rPr>
                <w:rFonts w:asciiTheme="minorHAnsi" w:hAnsiTheme="minorHAnsi"/>
                <w:lang w:val="en-US"/>
              </w:rPr>
              <w:t>/ end date for submitting bids, end date</w:t>
            </w:r>
            <w:r w:rsidR="00072CA0" w:rsidRPr="00460366">
              <w:rPr>
                <w:rFonts w:asciiTheme="minorHAnsi" w:hAnsiTheme="minorHAnsi"/>
                <w:lang w:val="en-US"/>
              </w:rPr>
              <w:t xml:space="preserve"> </w:t>
            </w:r>
            <w:r w:rsidRPr="00460366">
              <w:rPr>
                <w:rFonts w:asciiTheme="minorHAnsi" w:hAnsiTheme="minorHAnsi"/>
                <w:lang w:val="en-US"/>
              </w:rPr>
              <w:t>for presenting questions</w:t>
            </w:r>
            <w:r w:rsidR="00072CA0" w:rsidRPr="00460366">
              <w:rPr>
                <w:rFonts w:asciiTheme="minorHAnsi" w:hAnsiTheme="minorHAnsi"/>
                <w:lang w:val="en-US"/>
              </w:rPr>
              <w:t xml:space="preserve">, </w:t>
            </w:r>
            <w:r w:rsidRPr="00460366">
              <w:rPr>
                <w:rFonts w:asciiTheme="minorHAnsi" w:hAnsiTheme="minorHAnsi"/>
                <w:lang w:val="en-US"/>
              </w:rPr>
              <w:t>date of first public session, ..</w:t>
            </w:r>
            <w:r w:rsidR="00072CA0" w:rsidRPr="00460366">
              <w:rPr>
                <w:rFonts w:asciiTheme="minorHAnsi" w:hAnsiTheme="minorHAnsi"/>
                <w:lang w:val="en-US"/>
              </w:rPr>
              <w:t>.)</w:t>
            </w:r>
            <w:r w:rsidRPr="00460366">
              <w:rPr>
                <w:rFonts w:asciiTheme="minorHAnsi" w:hAnsiTheme="minorHAnsi"/>
                <w:lang w:val="en-US"/>
              </w:rPr>
              <w:t>;</w:t>
            </w:r>
          </w:p>
          <w:p w:rsidR="00460366" w:rsidRPr="00460366" w:rsidRDefault="00460366" w:rsidP="0098589E">
            <w:pPr>
              <w:pStyle w:val="ListParagraph"/>
              <w:numPr>
                <w:ilvl w:val="0"/>
                <w:numId w:val="21"/>
              </w:numPr>
              <w:spacing w:after="120" w:line="240" w:lineRule="auto"/>
              <w:ind w:left="714" w:right="170" w:hanging="357"/>
              <w:contextualSpacing w:val="0"/>
              <w:rPr>
                <w:rFonts w:asciiTheme="minorHAnsi" w:hAnsiTheme="minorHAnsi"/>
                <w:lang w:val="en-US"/>
              </w:rPr>
            </w:pPr>
            <w:r>
              <w:rPr>
                <w:rFonts w:asciiTheme="minorHAnsi" w:hAnsiTheme="minorHAnsi"/>
                <w:lang w:val="en-US"/>
              </w:rPr>
              <w:t>Final validation</w:t>
            </w:r>
            <w:r w:rsidR="00072CA0" w:rsidRPr="0098589E">
              <w:rPr>
                <w:rFonts w:asciiTheme="minorHAnsi" w:hAnsiTheme="minorHAnsi"/>
                <w:lang w:val="en-US"/>
              </w:rPr>
              <w:t xml:space="preserve"> </w:t>
            </w:r>
            <w:r w:rsidRPr="0098589E">
              <w:rPr>
                <w:rFonts w:asciiTheme="minorHAnsi" w:hAnsiTheme="minorHAnsi"/>
                <w:lang w:val="en-US"/>
              </w:rPr>
              <w:t>of the ESPD r</w:t>
            </w:r>
            <w:r w:rsidR="00072CA0" w:rsidRPr="0098589E">
              <w:rPr>
                <w:rFonts w:asciiTheme="minorHAnsi" w:hAnsiTheme="minorHAnsi"/>
                <w:lang w:val="en-US"/>
              </w:rPr>
              <w:t>equest</w:t>
            </w:r>
            <w:r w:rsidRPr="0098589E">
              <w:rPr>
                <w:rFonts w:asciiTheme="minorHAnsi" w:hAnsiTheme="minorHAnsi"/>
                <w:lang w:val="en-US"/>
              </w:rPr>
              <w:t xml:space="preserve"> </w:t>
            </w:r>
            <w:r w:rsidR="00072CA0" w:rsidRPr="0098589E">
              <w:rPr>
                <w:rFonts w:asciiTheme="minorHAnsi" w:hAnsiTheme="minorHAnsi"/>
                <w:lang w:val="en-US"/>
              </w:rPr>
              <w:t xml:space="preserve">with both internal information and </w:t>
            </w:r>
            <w:r w:rsidRPr="0098589E">
              <w:rPr>
                <w:rFonts w:asciiTheme="minorHAnsi" w:hAnsiTheme="minorHAnsi"/>
                <w:lang w:val="en-US"/>
              </w:rPr>
              <w:t>requirements expressed / maintained by the national tender monitoring system</w:t>
            </w:r>
            <w:r w:rsidR="00072CA0" w:rsidRPr="0098589E">
              <w:rPr>
                <w:rFonts w:asciiTheme="minorHAnsi" w:hAnsiTheme="minorHAnsi"/>
                <w:lang w:val="en-US"/>
              </w:rPr>
              <w:t xml:space="preserve"> </w:t>
            </w:r>
            <w:r w:rsidRPr="0098589E">
              <w:rPr>
                <w:rFonts w:asciiTheme="minorHAnsi" w:hAnsiTheme="minorHAnsi"/>
                <w:lang w:val="en-US"/>
              </w:rPr>
              <w:t xml:space="preserve">(SIMOG, run by </w:t>
            </w:r>
            <w:r w:rsidR="00072CA0" w:rsidRPr="0098589E">
              <w:rPr>
                <w:rFonts w:asciiTheme="minorHAnsi" w:hAnsiTheme="minorHAnsi"/>
                <w:lang w:val="en-US"/>
              </w:rPr>
              <w:t>with A</w:t>
            </w:r>
            <w:r w:rsidRPr="0098589E">
              <w:rPr>
                <w:rFonts w:asciiTheme="minorHAnsi" w:hAnsiTheme="minorHAnsi"/>
                <w:lang w:val="en-US"/>
              </w:rPr>
              <w:t>.</w:t>
            </w:r>
            <w:r w:rsidR="00072CA0" w:rsidRPr="0098589E">
              <w:rPr>
                <w:rFonts w:asciiTheme="minorHAnsi" w:hAnsiTheme="minorHAnsi"/>
                <w:lang w:val="en-US"/>
              </w:rPr>
              <w:t>N</w:t>
            </w:r>
            <w:r w:rsidRPr="0098589E">
              <w:rPr>
                <w:rFonts w:asciiTheme="minorHAnsi" w:hAnsiTheme="minorHAnsi"/>
                <w:lang w:val="en-US"/>
              </w:rPr>
              <w:t>.</w:t>
            </w:r>
            <w:r w:rsidR="00072CA0" w:rsidRPr="0098589E">
              <w:rPr>
                <w:rFonts w:asciiTheme="minorHAnsi" w:hAnsiTheme="minorHAnsi"/>
                <w:lang w:val="en-US"/>
              </w:rPr>
              <w:t>AC</w:t>
            </w:r>
            <w:r w:rsidRPr="0098589E">
              <w:rPr>
                <w:rFonts w:asciiTheme="minorHAnsi" w:hAnsiTheme="minorHAnsi"/>
                <w:lang w:val="en-US"/>
              </w:rPr>
              <w:t>.).</w:t>
            </w:r>
          </w:p>
          <w:p w:rsidR="000445A3" w:rsidRPr="00460366" w:rsidRDefault="00072CA0" w:rsidP="00460366">
            <w:pPr>
              <w:spacing w:after="120" w:line="240" w:lineRule="auto"/>
              <w:ind w:right="170"/>
              <w:rPr>
                <w:lang w:val="en-US"/>
              </w:rPr>
            </w:pPr>
            <w:r w:rsidRPr="00460366">
              <w:rPr>
                <w:rFonts w:asciiTheme="minorHAnsi" w:hAnsiTheme="minorHAnsi"/>
                <w:lang w:val="en-US"/>
              </w:rPr>
              <w:t xml:space="preserve">If all the controls are successful, the </w:t>
            </w:r>
            <w:r w:rsidR="00460366">
              <w:rPr>
                <w:rFonts w:asciiTheme="minorHAnsi" w:hAnsiTheme="minorHAnsi"/>
                <w:lang w:val="en-US"/>
              </w:rPr>
              <w:t xml:space="preserve">tender is published and the </w:t>
            </w:r>
            <w:r w:rsidR="0098589E">
              <w:rPr>
                <w:rFonts w:asciiTheme="minorHAnsi" w:hAnsiTheme="minorHAnsi"/>
                <w:lang w:val="en-US"/>
              </w:rPr>
              <w:t>XML-</w:t>
            </w:r>
            <w:r w:rsidR="00460366">
              <w:rPr>
                <w:rFonts w:asciiTheme="minorHAnsi" w:hAnsiTheme="minorHAnsi"/>
                <w:lang w:val="en-US"/>
              </w:rPr>
              <w:t>formatted version of the ESPD r</w:t>
            </w:r>
            <w:r w:rsidRPr="00460366">
              <w:rPr>
                <w:rFonts w:asciiTheme="minorHAnsi" w:hAnsiTheme="minorHAnsi"/>
                <w:lang w:val="en-US"/>
              </w:rPr>
              <w:t xml:space="preserve">equest </w:t>
            </w:r>
            <w:r w:rsidR="00460366">
              <w:rPr>
                <w:rFonts w:asciiTheme="minorHAnsi" w:hAnsiTheme="minorHAnsi"/>
                <w:lang w:val="en-US"/>
              </w:rPr>
              <w:t>is automatically included among other tender</w:t>
            </w:r>
            <w:r w:rsidRPr="00460366">
              <w:rPr>
                <w:rFonts w:asciiTheme="minorHAnsi" w:hAnsiTheme="minorHAnsi"/>
                <w:lang w:val="en-US"/>
              </w:rPr>
              <w:t xml:space="preserve"> </w:t>
            </w:r>
            <w:r w:rsidR="00460366">
              <w:rPr>
                <w:rFonts w:asciiTheme="minorHAnsi" w:hAnsiTheme="minorHAnsi"/>
                <w:lang w:val="en-US"/>
              </w:rPr>
              <w:t>d</w:t>
            </w:r>
            <w:r w:rsidRPr="00460366">
              <w:rPr>
                <w:rFonts w:asciiTheme="minorHAnsi" w:hAnsiTheme="minorHAnsi"/>
                <w:lang w:val="en-US"/>
              </w:rPr>
              <w:t xml:space="preserve">ocuments in order to allow </w:t>
            </w:r>
            <w:r w:rsidR="00460366">
              <w:rPr>
                <w:rFonts w:asciiTheme="minorHAnsi" w:hAnsiTheme="minorHAnsi"/>
                <w:lang w:val="en-US"/>
              </w:rPr>
              <w:t xml:space="preserve">the interested / invited </w:t>
            </w:r>
            <w:r w:rsidR="00460366">
              <w:rPr>
                <w:rFonts w:asciiTheme="minorHAnsi" w:hAnsiTheme="minorHAnsi"/>
                <w:lang w:val="en-US"/>
              </w:rPr>
              <w:lastRenderedPageBreak/>
              <w:t>EOs</w:t>
            </w:r>
            <w:r w:rsidRPr="00460366">
              <w:rPr>
                <w:rFonts w:asciiTheme="minorHAnsi" w:hAnsiTheme="minorHAnsi"/>
                <w:lang w:val="en-US"/>
              </w:rPr>
              <w:t xml:space="preserve"> </w:t>
            </w:r>
            <w:r w:rsidR="00460366">
              <w:rPr>
                <w:rFonts w:asciiTheme="minorHAnsi" w:hAnsiTheme="minorHAnsi"/>
                <w:lang w:val="en-US"/>
              </w:rPr>
              <w:t>to fill-in the ESPD response on other platforms or with other external tools</w:t>
            </w:r>
            <w:r w:rsidRPr="00460366">
              <w:rPr>
                <w:rFonts w:asciiTheme="minorHAnsi" w:hAnsiTheme="minorHAnsi"/>
                <w:lang w:val="en-US"/>
              </w:rPr>
              <w:t>.</w:t>
            </w:r>
          </w:p>
        </w:tc>
        <w:tc>
          <w:tcPr>
            <w:tcW w:w="4814" w:type="dxa"/>
            <w:tcBorders>
              <w:top w:val="single" w:sz="6" w:space="0" w:color="A6A6A6" w:themeColor="background1" w:themeShade="A6"/>
              <w:left w:val="single" w:sz="6" w:space="0" w:color="A6A6A6" w:themeColor="background1" w:themeShade="A6"/>
              <w:bottom w:val="single" w:sz="6" w:space="0" w:color="A6A6A6" w:themeColor="background1" w:themeShade="A6"/>
            </w:tcBorders>
          </w:tcPr>
          <w:p w:rsidR="0098589E" w:rsidRPr="0098589E" w:rsidRDefault="0098589E" w:rsidP="0098589E">
            <w:pPr>
              <w:spacing w:after="120"/>
              <w:rPr>
                <w:rFonts w:asciiTheme="minorHAnsi" w:hAnsiTheme="minorHAnsi"/>
              </w:rPr>
            </w:pPr>
            <w:r w:rsidRPr="0098589E">
              <w:rPr>
                <w:rFonts w:asciiTheme="minorHAnsi" w:hAnsiTheme="minorHAnsi"/>
              </w:rPr>
              <w:lastRenderedPageBreak/>
              <w:t>As soon as the CA’s responsible user requests</w:t>
            </w:r>
            <w:r>
              <w:rPr>
                <w:rFonts w:asciiTheme="minorHAnsi" w:hAnsiTheme="minorHAnsi"/>
              </w:rPr>
              <w:t xml:space="preserve"> the publication of the tender</w:t>
            </w:r>
            <w:r w:rsidRPr="0098589E">
              <w:rPr>
                <w:rFonts w:asciiTheme="minorHAnsi" w:hAnsiTheme="minorHAnsi"/>
              </w:rPr>
              <w:t>, the following steps are taken</w:t>
            </w:r>
            <w:r>
              <w:rPr>
                <w:rFonts w:asciiTheme="minorHAnsi" w:hAnsiTheme="minorHAnsi"/>
              </w:rPr>
              <w:t xml:space="preserve">, </w:t>
            </w:r>
            <w:r w:rsidRPr="0098589E">
              <w:rPr>
                <w:rFonts w:asciiTheme="minorHAnsi" w:hAnsiTheme="minorHAnsi"/>
              </w:rPr>
              <w:t>in addition to all the controls already present on SATER platform:</w:t>
            </w:r>
          </w:p>
          <w:p w:rsidR="0098589E" w:rsidRPr="0098589E" w:rsidRDefault="0098589E" w:rsidP="0098589E">
            <w:pPr>
              <w:pStyle w:val="ListParagraph"/>
              <w:numPr>
                <w:ilvl w:val="0"/>
                <w:numId w:val="21"/>
              </w:numPr>
              <w:spacing w:after="120" w:line="240" w:lineRule="auto"/>
              <w:ind w:left="714" w:hanging="357"/>
              <w:contextualSpacing w:val="0"/>
              <w:rPr>
                <w:rFonts w:asciiTheme="minorHAnsi" w:hAnsiTheme="minorHAnsi"/>
                <w:lang w:val="en-US"/>
              </w:rPr>
            </w:pPr>
            <w:r w:rsidRPr="0098589E">
              <w:rPr>
                <w:rFonts w:asciiTheme="minorHAnsi" w:hAnsiTheme="minorHAnsi"/>
                <w:lang w:val="en-US"/>
              </w:rPr>
              <w:t xml:space="preserve">Verify the </w:t>
            </w:r>
            <w:r>
              <w:rPr>
                <w:rFonts w:asciiTheme="minorHAnsi" w:hAnsiTheme="minorHAnsi"/>
                <w:lang w:val="en-US"/>
              </w:rPr>
              <w:t>ESPD request</w:t>
            </w:r>
            <w:r w:rsidRPr="0098589E">
              <w:rPr>
                <w:rFonts w:asciiTheme="minorHAnsi" w:hAnsiTheme="minorHAnsi"/>
                <w:lang w:val="en-US"/>
              </w:rPr>
              <w:t xml:space="preserve"> through the Internal Ch</w:t>
            </w:r>
            <w:r>
              <w:rPr>
                <w:rFonts w:asciiTheme="minorHAnsi" w:hAnsiTheme="minorHAnsi"/>
                <w:lang w:val="en-US"/>
              </w:rPr>
              <w:t>ecker component activated on the platform;</w:t>
            </w:r>
          </w:p>
          <w:p w:rsidR="0098589E" w:rsidRPr="0098589E" w:rsidRDefault="0098589E" w:rsidP="0098589E">
            <w:pPr>
              <w:pStyle w:val="ListParagraph"/>
              <w:numPr>
                <w:ilvl w:val="0"/>
                <w:numId w:val="21"/>
              </w:numPr>
              <w:spacing w:after="120" w:line="240" w:lineRule="auto"/>
              <w:ind w:left="714" w:hanging="357"/>
              <w:contextualSpacing w:val="0"/>
              <w:rPr>
                <w:rFonts w:asciiTheme="minorHAnsi" w:hAnsiTheme="minorHAnsi"/>
                <w:lang w:val="en-US"/>
              </w:rPr>
            </w:pPr>
            <w:r w:rsidRPr="0098589E">
              <w:rPr>
                <w:rFonts w:asciiTheme="minorHAnsi" w:hAnsiTheme="minorHAnsi"/>
                <w:lang w:val="en-US"/>
              </w:rPr>
              <w:t xml:space="preserve">Send the </w:t>
            </w:r>
            <w:r>
              <w:rPr>
                <w:rFonts w:asciiTheme="minorHAnsi" w:hAnsiTheme="minorHAnsi"/>
                <w:lang w:val="en-US"/>
              </w:rPr>
              <w:t>ESPD r</w:t>
            </w:r>
            <w:r w:rsidRPr="0098589E">
              <w:rPr>
                <w:rFonts w:asciiTheme="minorHAnsi" w:hAnsiTheme="minorHAnsi"/>
                <w:lang w:val="en-US"/>
              </w:rPr>
              <w:t xml:space="preserve">equest to </w:t>
            </w:r>
            <w:r>
              <w:rPr>
                <w:rFonts w:asciiTheme="minorHAnsi" w:hAnsiTheme="minorHAnsi"/>
                <w:lang w:val="en-US"/>
              </w:rPr>
              <w:t>SIMOG</w:t>
            </w:r>
            <w:r w:rsidRPr="0098589E">
              <w:rPr>
                <w:rFonts w:asciiTheme="minorHAnsi" w:hAnsiTheme="minorHAnsi"/>
                <w:lang w:val="en-US"/>
              </w:rPr>
              <w:t xml:space="preserve"> for verification and </w:t>
            </w:r>
            <w:r>
              <w:rPr>
                <w:rFonts w:asciiTheme="minorHAnsi" w:hAnsiTheme="minorHAnsi"/>
                <w:lang w:val="en-US"/>
              </w:rPr>
              <w:t>subsequent publication of the tender on A.N.AC. system;</w:t>
            </w:r>
          </w:p>
          <w:p w:rsidR="0098589E" w:rsidRPr="0098589E" w:rsidRDefault="0098589E" w:rsidP="0098589E">
            <w:pPr>
              <w:pStyle w:val="ListParagraph"/>
              <w:numPr>
                <w:ilvl w:val="0"/>
                <w:numId w:val="21"/>
              </w:numPr>
              <w:spacing w:after="120" w:line="240" w:lineRule="auto"/>
              <w:ind w:left="714" w:hanging="357"/>
              <w:contextualSpacing w:val="0"/>
              <w:rPr>
                <w:rFonts w:asciiTheme="minorHAnsi" w:hAnsiTheme="minorHAnsi"/>
              </w:rPr>
            </w:pPr>
            <w:r w:rsidRPr="0098589E">
              <w:rPr>
                <w:rFonts w:asciiTheme="minorHAnsi" w:hAnsiTheme="minorHAnsi"/>
                <w:lang w:val="en-US"/>
              </w:rPr>
              <w:t>Publi</w:t>
            </w:r>
            <w:r>
              <w:rPr>
                <w:rFonts w:asciiTheme="minorHAnsi" w:hAnsiTheme="minorHAnsi"/>
                <w:lang w:val="en-US"/>
              </w:rPr>
              <w:t xml:space="preserve">sh </w:t>
            </w:r>
            <w:r w:rsidRPr="0098589E">
              <w:rPr>
                <w:rFonts w:asciiTheme="minorHAnsi" w:hAnsiTheme="minorHAnsi"/>
                <w:lang w:val="en-US"/>
              </w:rPr>
              <w:t xml:space="preserve">the </w:t>
            </w:r>
            <w:r>
              <w:rPr>
                <w:rFonts w:asciiTheme="minorHAnsi" w:hAnsiTheme="minorHAnsi"/>
                <w:lang w:val="en-US"/>
              </w:rPr>
              <w:t>ESPD r</w:t>
            </w:r>
            <w:r w:rsidRPr="0098589E">
              <w:rPr>
                <w:rFonts w:asciiTheme="minorHAnsi" w:hAnsiTheme="minorHAnsi"/>
                <w:lang w:val="en-US"/>
              </w:rPr>
              <w:t xml:space="preserve">equest </w:t>
            </w:r>
            <w:r>
              <w:rPr>
                <w:rFonts w:asciiTheme="minorHAnsi" w:hAnsiTheme="minorHAnsi"/>
                <w:lang w:val="en-US"/>
              </w:rPr>
              <w:t xml:space="preserve">in tender documentation </w:t>
            </w:r>
            <w:r w:rsidRPr="0098589E">
              <w:rPr>
                <w:rFonts w:asciiTheme="minorHAnsi" w:hAnsiTheme="minorHAnsi"/>
                <w:lang w:val="en-US"/>
              </w:rPr>
              <w:t>to allow</w:t>
            </w:r>
            <w:r>
              <w:rPr>
                <w:rFonts w:asciiTheme="minorHAnsi" w:hAnsiTheme="minorHAnsi"/>
                <w:lang w:val="en-US"/>
              </w:rPr>
              <w:t xml:space="preserve"> anyone to use it to compile corresponding ESPD response outside </w:t>
            </w:r>
            <w:r w:rsidRPr="0098589E">
              <w:rPr>
                <w:rFonts w:asciiTheme="minorHAnsi" w:hAnsiTheme="minorHAnsi"/>
                <w:lang w:val="en-US"/>
              </w:rPr>
              <w:t>SATER platform</w:t>
            </w:r>
            <w:r>
              <w:rPr>
                <w:rFonts w:asciiTheme="minorHAnsi" w:hAnsiTheme="minorHAnsi"/>
                <w:lang w:val="en-US"/>
              </w:rPr>
              <w:t xml:space="preserve">. </w:t>
            </w:r>
          </w:p>
          <w:p w:rsidR="000445A3" w:rsidRPr="0098589E" w:rsidRDefault="0098589E" w:rsidP="006D1012">
            <w:r>
              <w:rPr>
                <w:rFonts w:asciiTheme="minorHAnsi" w:hAnsiTheme="minorHAnsi"/>
                <w:lang w:val="en-US"/>
              </w:rPr>
              <w:t>Note: as described in next phase</w:t>
            </w:r>
            <w:r w:rsidRPr="0098589E">
              <w:rPr>
                <w:rFonts w:asciiTheme="minorHAnsi" w:hAnsiTheme="minorHAnsi"/>
                <w:lang w:val="en-US"/>
              </w:rPr>
              <w:t xml:space="preserve"> 4, </w:t>
            </w:r>
            <w:r>
              <w:rPr>
                <w:rFonts w:asciiTheme="minorHAnsi" w:hAnsiTheme="minorHAnsi"/>
                <w:lang w:val="en-US"/>
              </w:rPr>
              <w:t xml:space="preserve">SATER platform will be enhanced </w:t>
            </w:r>
            <w:r w:rsidR="006D1012">
              <w:rPr>
                <w:rFonts w:asciiTheme="minorHAnsi" w:hAnsiTheme="minorHAnsi"/>
                <w:lang w:val="en-US"/>
              </w:rPr>
              <w:t>with an e</w:t>
            </w:r>
            <w:r w:rsidRPr="0098589E">
              <w:rPr>
                <w:rFonts w:asciiTheme="minorHAnsi" w:hAnsiTheme="minorHAnsi"/>
                <w:lang w:val="en-US"/>
              </w:rPr>
              <w:t xml:space="preserve">mbedded tool </w:t>
            </w:r>
            <w:r>
              <w:rPr>
                <w:rFonts w:asciiTheme="minorHAnsi" w:hAnsiTheme="minorHAnsi"/>
                <w:lang w:val="en-US"/>
              </w:rPr>
              <w:t xml:space="preserve">to support the EO in filling in </w:t>
            </w:r>
            <w:r w:rsidR="006D1012">
              <w:rPr>
                <w:rFonts w:asciiTheme="minorHAnsi" w:hAnsiTheme="minorHAnsi"/>
                <w:lang w:val="en-US"/>
              </w:rPr>
              <w:t xml:space="preserve">and validating </w:t>
            </w:r>
            <w:r>
              <w:rPr>
                <w:rFonts w:asciiTheme="minorHAnsi" w:hAnsiTheme="minorHAnsi"/>
                <w:lang w:val="en-US"/>
              </w:rPr>
              <w:t>an ESPD response</w:t>
            </w:r>
            <w:r w:rsidRPr="0098589E">
              <w:rPr>
                <w:rFonts w:asciiTheme="minorHAnsi" w:hAnsiTheme="minorHAnsi"/>
                <w:lang w:val="en-US"/>
              </w:rPr>
              <w:t>.</w:t>
            </w:r>
          </w:p>
        </w:tc>
      </w:tr>
      <w:tr w:rsidR="000445A3" w:rsidRPr="005A4360" w:rsidTr="000445A3">
        <w:tc>
          <w:tcPr>
            <w:tcW w:w="4814" w:type="dxa"/>
            <w:tcBorders>
              <w:top w:val="single" w:sz="6" w:space="0" w:color="A6A6A6" w:themeColor="background1" w:themeShade="A6"/>
              <w:bottom w:val="single" w:sz="6" w:space="0" w:color="A6A6A6" w:themeColor="background1" w:themeShade="A6"/>
              <w:right w:val="single" w:sz="6" w:space="0" w:color="A6A6A6" w:themeColor="background1" w:themeShade="A6"/>
            </w:tcBorders>
          </w:tcPr>
          <w:p w:rsidR="000445A3" w:rsidRPr="000445A3" w:rsidRDefault="000445A3" w:rsidP="001C1406">
            <w:pPr>
              <w:spacing w:after="120"/>
              <w:ind w:right="170"/>
              <w:rPr>
                <w:rFonts w:asciiTheme="minorHAnsi" w:hAnsiTheme="minorHAnsi"/>
                <w:b/>
                <w:lang w:val="en-US"/>
              </w:rPr>
            </w:pPr>
            <w:r w:rsidRPr="000445A3">
              <w:rPr>
                <w:rFonts w:asciiTheme="minorHAnsi" w:hAnsiTheme="minorHAnsi"/>
                <w:b/>
                <w:lang w:val="en-US"/>
              </w:rPr>
              <w:t xml:space="preserve">Phase 3 </w:t>
            </w:r>
            <w:r w:rsidR="006D1012">
              <w:rPr>
                <w:rFonts w:asciiTheme="minorHAnsi" w:hAnsiTheme="minorHAnsi"/>
                <w:b/>
                <w:lang w:val="en-US"/>
              </w:rPr>
              <w:t>–</w:t>
            </w:r>
            <w:r w:rsidRPr="000445A3">
              <w:rPr>
                <w:rFonts w:asciiTheme="minorHAnsi" w:hAnsiTheme="minorHAnsi"/>
                <w:b/>
                <w:lang w:val="en-US"/>
              </w:rPr>
              <w:t xml:space="preserve"> </w:t>
            </w:r>
            <w:r w:rsidR="006D1012">
              <w:rPr>
                <w:rFonts w:asciiTheme="minorHAnsi" w:hAnsiTheme="minorHAnsi"/>
                <w:b/>
                <w:lang w:val="en-US"/>
              </w:rPr>
              <w:t>Download ESPD request</w:t>
            </w:r>
          </w:p>
          <w:p w:rsidR="000445A3" w:rsidRPr="006D1012" w:rsidRDefault="006D1012" w:rsidP="006D1012">
            <w:pPr>
              <w:ind w:right="170"/>
              <w:rPr>
                <w:rFonts w:asciiTheme="minorHAnsi" w:hAnsiTheme="minorHAnsi"/>
                <w:lang w:val="en-US"/>
              </w:rPr>
            </w:pPr>
            <w:r w:rsidRPr="006D1012">
              <w:rPr>
                <w:rFonts w:asciiTheme="minorHAnsi" w:hAnsiTheme="minorHAnsi"/>
                <w:lang w:val="en-US"/>
              </w:rPr>
              <w:t xml:space="preserve">If the Economic Operator considers it useful and appropriate, the </w:t>
            </w:r>
            <w:r>
              <w:rPr>
                <w:rFonts w:asciiTheme="minorHAnsi" w:hAnsiTheme="minorHAnsi"/>
                <w:lang w:val="en-US"/>
              </w:rPr>
              <w:t>ESPD r</w:t>
            </w:r>
            <w:r w:rsidRPr="006D1012">
              <w:rPr>
                <w:rFonts w:asciiTheme="minorHAnsi" w:hAnsiTheme="minorHAnsi"/>
                <w:lang w:val="en-US"/>
              </w:rPr>
              <w:t xml:space="preserve">equest can be downloaded from both its private area (available for all registered users) and the </w:t>
            </w:r>
            <w:r>
              <w:rPr>
                <w:rFonts w:asciiTheme="minorHAnsi" w:hAnsiTheme="minorHAnsi"/>
                <w:lang w:val="en-US"/>
              </w:rPr>
              <w:t>institutional public space of Intercent-ER</w:t>
            </w:r>
            <w:r w:rsidRPr="006D1012">
              <w:rPr>
                <w:rFonts w:asciiTheme="minorHAnsi" w:hAnsiTheme="minorHAnsi"/>
                <w:lang w:val="en-US"/>
              </w:rPr>
              <w:t xml:space="preserve"> (PLONE). Once downloaded, the </w:t>
            </w:r>
            <w:r>
              <w:rPr>
                <w:rFonts w:asciiTheme="minorHAnsi" w:hAnsiTheme="minorHAnsi"/>
                <w:lang w:val="en-US"/>
              </w:rPr>
              <w:t>ESPD r</w:t>
            </w:r>
            <w:r w:rsidRPr="006D1012">
              <w:rPr>
                <w:rFonts w:asciiTheme="minorHAnsi" w:hAnsiTheme="minorHAnsi"/>
                <w:lang w:val="en-US"/>
              </w:rPr>
              <w:t xml:space="preserve">equest </w:t>
            </w:r>
            <w:r>
              <w:rPr>
                <w:rFonts w:asciiTheme="minorHAnsi" w:hAnsiTheme="minorHAnsi"/>
                <w:lang w:val="en-US"/>
              </w:rPr>
              <w:t>is suitable to be uploaded</w:t>
            </w:r>
            <w:r w:rsidRPr="006D1012">
              <w:rPr>
                <w:rFonts w:asciiTheme="minorHAnsi" w:hAnsiTheme="minorHAnsi"/>
                <w:lang w:val="en-US"/>
              </w:rPr>
              <w:t xml:space="preserve"> in all the </w:t>
            </w:r>
            <w:r>
              <w:rPr>
                <w:rFonts w:asciiTheme="minorHAnsi" w:hAnsiTheme="minorHAnsi"/>
                <w:lang w:val="en-US"/>
              </w:rPr>
              <w:t xml:space="preserve">external </w:t>
            </w:r>
            <w:r w:rsidRPr="006D1012">
              <w:rPr>
                <w:rFonts w:asciiTheme="minorHAnsi" w:hAnsiTheme="minorHAnsi"/>
                <w:lang w:val="en-US"/>
              </w:rPr>
              <w:t xml:space="preserve">tools </w:t>
            </w:r>
            <w:r>
              <w:rPr>
                <w:rFonts w:asciiTheme="minorHAnsi" w:hAnsiTheme="minorHAnsi"/>
                <w:lang w:val="en-US"/>
              </w:rPr>
              <w:t>and platforms compliant with ESPD standard form. There, the EO can compile and download an ESPD r</w:t>
            </w:r>
            <w:r w:rsidRPr="006D1012">
              <w:rPr>
                <w:rFonts w:asciiTheme="minorHAnsi" w:hAnsiTheme="minorHAnsi"/>
                <w:lang w:val="en-US"/>
              </w:rPr>
              <w:t>esponse</w:t>
            </w:r>
            <w:r>
              <w:rPr>
                <w:rFonts w:asciiTheme="minorHAnsi" w:hAnsiTheme="minorHAnsi"/>
                <w:lang w:val="en-US"/>
              </w:rPr>
              <w:t>, which can be used to prepare a bid on SATE</w:t>
            </w:r>
            <w:r w:rsidRPr="006D1012">
              <w:rPr>
                <w:rFonts w:asciiTheme="minorHAnsi" w:hAnsiTheme="minorHAnsi"/>
                <w:lang w:val="en-US"/>
              </w:rPr>
              <w:t>R platform (see next step).</w:t>
            </w:r>
          </w:p>
        </w:tc>
        <w:tc>
          <w:tcPr>
            <w:tcW w:w="4814" w:type="dxa"/>
            <w:tcBorders>
              <w:top w:val="single" w:sz="6" w:space="0" w:color="A6A6A6" w:themeColor="background1" w:themeShade="A6"/>
              <w:left w:val="single" w:sz="6" w:space="0" w:color="A6A6A6" w:themeColor="background1" w:themeShade="A6"/>
              <w:bottom w:val="single" w:sz="6" w:space="0" w:color="A6A6A6" w:themeColor="background1" w:themeShade="A6"/>
            </w:tcBorders>
          </w:tcPr>
          <w:p w:rsidR="000445A3" w:rsidRPr="009351FD" w:rsidRDefault="006D1012" w:rsidP="005A4360">
            <w:pPr>
              <w:rPr>
                <w:rFonts w:asciiTheme="minorHAnsi" w:hAnsiTheme="minorHAnsi"/>
                <w:lang w:val="en-US"/>
              </w:rPr>
            </w:pPr>
            <w:r w:rsidRPr="006D1012">
              <w:rPr>
                <w:rFonts w:asciiTheme="minorHAnsi" w:hAnsiTheme="minorHAnsi"/>
                <w:lang w:val="en-US"/>
              </w:rPr>
              <w:t xml:space="preserve">No Updates - In the public area (PLONE) and in the reserved area for registered users, </w:t>
            </w:r>
            <w:r w:rsidR="005A4360">
              <w:rPr>
                <w:rFonts w:asciiTheme="minorHAnsi" w:hAnsiTheme="minorHAnsi"/>
                <w:lang w:val="en-US"/>
              </w:rPr>
              <w:t xml:space="preserve">today </w:t>
            </w:r>
            <w:r w:rsidRPr="006D1012">
              <w:rPr>
                <w:rFonts w:asciiTheme="minorHAnsi" w:hAnsiTheme="minorHAnsi"/>
                <w:lang w:val="en-US"/>
              </w:rPr>
              <w:t xml:space="preserve">it is </w:t>
            </w:r>
            <w:r w:rsidR="005A4360">
              <w:rPr>
                <w:rFonts w:asciiTheme="minorHAnsi" w:hAnsiTheme="minorHAnsi"/>
                <w:lang w:val="en-US"/>
              </w:rPr>
              <w:t xml:space="preserve">already </w:t>
            </w:r>
            <w:r w:rsidRPr="006D1012">
              <w:rPr>
                <w:rFonts w:asciiTheme="minorHAnsi" w:hAnsiTheme="minorHAnsi"/>
                <w:lang w:val="en-US"/>
              </w:rPr>
              <w:t>possible to download all the documents entered by the RUP as "</w:t>
            </w:r>
            <w:r>
              <w:rPr>
                <w:rFonts w:asciiTheme="minorHAnsi" w:hAnsiTheme="minorHAnsi"/>
                <w:lang w:val="en-US"/>
              </w:rPr>
              <w:t>Tender documents</w:t>
            </w:r>
            <w:r w:rsidRPr="006D1012">
              <w:rPr>
                <w:rFonts w:asciiTheme="minorHAnsi" w:hAnsiTheme="minorHAnsi"/>
                <w:lang w:val="en-US"/>
              </w:rPr>
              <w:t>"</w:t>
            </w:r>
            <w:r>
              <w:rPr>
                <w:rFonts w:asciiTheme="minorHAnsi" w:hAnsiTheme="minorHAnsi"/>
                <w:lang w:val="en-US"/>
              </w:rPr>
              <w:t xml:space="preserve"> (</w:t>
            </w:r>
            <w:r w:rsidRPr="006D1012">
              <w:rPr>
                <w:rFonts w:asciiTheme="minorHAnsi" w:hAnsiTheme="minorHAnsi"/>
                <w:i/>
                <w:lang w:val="en-US"/>
              </w:rPr>
              <w:t>Atti di Gara</w:t>
            </w:r>
            <w:r>
              <w:rPr>
                <w:rFonts w:asciiTheme="minorHAnsi" w:hAnsiTheme="minorHAnsi"/>
                <w:lang w:val="en-US"/>
              </w:rPr>
              <w:t xml:space="preserve">) </w:t>
            </w:r>
            <w:r w:rsidRPr="006D1012">
              <w:rPr>
                <w:rFonts w:asciiTheme="minorHAnsi" w:hAnsiTheme="minorHAnsi"/>
                <w:lang w:val="en-US"/>
              </w:rPr>
              <w:t xml:space="preserve">. Since the </w:t>
            </w:r>
            <w:r>
              <w:rPr>
                <w:rFonts w:asciiTheme="minorHAnsi" w:hAnsiTheme="minorHAnsi"/>
                <w:lang w:val="en-US"/>
              </w:rPr>
              <w:t>ESPD r</w:t>
            </w:r>
            <w:r w:rsidR="005A4360">
              <w:rPr>
                <w:rFonts w:asciiTheme="minorHAnsi" w:hAnsiTheme="minorHAnsi"/>
                <w:lang w:val="en-US"/>
              </w:rPr>
              <w:t xml:space="preserve">equest is automatically added as an XML document to this virtual repository, </w:t>
            </w:r>
            <w:r w:rsidRPr="006D1012">
              <w:rPr>
                <w:rFonts w:asciiTheme="minorHAnsi" w:hAnsiTheme="minorHAnsi"/>
                <w:lang w:val="en-US"/>
              </w:rPr>
              <w:t>t</w:t>
            </w:r>
            <w:r>
              <w:rPr>
                <w:rFonts w:asciiTheme="minorHAnsi" w:hAnsiTheme="minorHAnsi"/>
                <w:lang w:val="en-US"/>
              </w:rPr>
              <w:t>he Economic Operator is able to download</w:t>
            </w:r>
            <w:r w:rsidR="005A4360">
              <w:rPr>
                <w:rFonts w:asciiTheme="minorHAnsi" w:hAnsiTheme="minorHAnsi"/>
                <w:lang w:val="en-US"/>
              </w:rPr>
              <w:t xml:space="preserve"> it with no additional effort.</w:t>
            </w:r>
          </w:p>
        </w:tc>
      </w:tr>
      <w:tr w:rsidR="000445A3" w:rsidTr="001C1406">
        <w:tc>
          <w:tcPr>
            <w:tcW w:w="4814" w:type="dxa"/>
            <w:tcBorders>
              <w:top w:val="single" w:sz="6" w:space="0" w:color="A6A6A6" w:themeColor="background1" w:themeShade="A6"/>
              <w:bottom w:val="single" w:sz="6" w:space="0" w:color="A6A6A6" w:themeColor="background1" w:themeShade="A6"/>
              <w:right w:val="single" w:sz="6" w:space="0" w:color="A6A6A6" w:themeColor="background1" w:themeShade="A6"/>
            </w:tcBorders>
          </w:tcPr>
          <w:p w:rsidR="000445A3" w:rsidRPr="000445A3" w:rsidRDefault="000445A3" w:rsidP="001C1406">
            <w:pPr>
              <w:spacing w:after="120"/>
              <w:ind w:right="170"/>
              <w:rPr>
                <w:rFonts w:asciiTheme="minorHAnsi" w:hAnsiTheme="minorHAnsi"/>
                <w:b/>
                <w:lang w:val="en-US"/>
              </w:rPr>
            </w:pPr>
            <w:r w:rsidRPr="000445A3">
              <w:rPr>
                <w:rFonts w:asciiTheme="minorHAnsi" w:hAnsiTheme="minorHAnsi"/>
                <w:b/>
                <w:lang w:val="en-US"/>
              </w:rPr>
              <w:t xml:space="preserve">Phase 4 </w:t>
            </w:r>
            <w:r w:rsidR="005A4360">
              <w:rPr>
                <w:rFonts w:asciiTheme="minorHAnsi" w:hAnsiTheme="minorHAnsi"/>
                <w:b/>
                <w:lang w:val="en-US"/>
              </w:rPr>
              <w:t>–</w:t>
            </w:r>
            <w:r w:rsidRPr="000445A3">
              <w:rPr>
                <w:rFonts w:asciiTheme="minorHAnsi" w:hAnsiTheme="minorHAnsi"/>
                <w:b/>
                <w:lang w:val="en-US"/>
              </w:rPr>
              <w:t xml:space="preserve"> </w:t>
            </w:r>
            <w:r w:rsidR="005A4360">
              <w:rPr>
                <w:rFonts w:asciiTheme="minorHAnsi" w:hAnsiTheme="minorHAnsi"/>
                <w:b/>
                <w:lang w:val="en-US"/>
              </w:rPr>
              <w:t>Create bid and ESPD response</w:t>
            </w:r>
          </w:p>
          <w:p w:rsidR="005A4360" w:rsidRPr="005A4360" w:rsidRDefault="005A4360" w:rsidP="005A4360">
            <w:pPr>
              <w:ind w:right="170"/>
              <w:rPr>
                <w:rFonts w:asciiTheme="minorHAnsi" w:hAnsiTheme="minorHAnsi"/>
                <w:lang w:val="en-US"/>
              </w:rPr>
            </w:pPr>
            <w:r w:rsidRPr="005A4360">
              <w:rPr>
                <w:rFonts w:asciiTheme="minorHAnsi" w:hAnsiTheme="minorHAnsi"/>
                <w:lang w:val="en-US"/>
              </w:rPr>
              <w:t xml:space="preserve">At this stage, Economic Operators can choose </w:t>
            </w:r>
            <w:r>
              <w:rPr>
                <w:rFonts w:asciiTheme="minorHAnsi" w:hAnsiTheme="minorHAnsi"/>
                <w:lang w:val="en-US"/>
              </w:rPr>
              <w:t>to include, within their bid</w:t>
            </w:r>
            <w:r w:rsidRPr="005A4360">
              <w:rPr>
                <w:rFonts w:asciiTheme="minorHAnsi" w:hAnsiTheme="minorHAnsi"/>
                <w:lang w:val="en-US"/>
              </w:rPr>
              <w:t>, th</w:t>
            </w:r>
            <w:r>
              <w:rPr>
                <w:rFonts w:asciiTheme="minorHAnsi" w:hAnsiTheme="minorHAnsi"/>
                <w:lang w:val="en-US"/>
              </w:rPr>
              <w:t>e ESPD r</w:t>
            </w:r>
            <w:r w:rsidRPr="005A4360">
              <w:rPr>
                <w:rFonts w:asciiTheme="minorHAnsi" w:hAnsiTheme="minorHAnsi"/>
                <w:lang w:val="en-US"/>
              </w:rPr>
              <w:t>esponse. The possible choices are:</w:t>
            </w:r>
          </w:p>
          <w:p w:rsidR="005A4360" w:rsidRPr="005A4360" w:rsidRDefault="005A4360" w:rsidP="005A4360">
            <w:pPr>
              <w:pStyle w:val="ListParagraph"/>
              <w:numPr>
                <w:ilvl w:val="0"/>
                <w:numId w:val="21"/>
              </w:numPr>
              <w:spacing w:after="120" w:line="240" w:lineRule="auto"/>
              <w:ind w:left="714" w:right="170" w:hanging="357"/>
              <w:contextualSpacing w:val="0"/>
              <w:rPr>
                <w:rFonts w:asciiTheme="minorHAnsi" w:hAnsiTheme="minorHAnsi"/>
                <w:lang w:val="en-US"/>
              </w:rPr>
            </w:pPr>
            <w:r w:rsidRPr="005A4360">
              <w:rPr>
                <w:rFonts w:asciiTheme="minorHAnsi" w:hAnsiTheme="minorHAnsi"/>
                <w:i/>
                <w:lang w:val="en-US"/>
              </w:rPr>
              <w:t xml:space="preserve">Complete the </w:t>
            </w:r>
            <w:r>
              <w:rPr>
                <w:rFonts w:asciiTheme="minorHAnsi" w:hAnsiTheme="minorHAnsi"/>
                <w:i/>
                <w:lang w:val="en-US"/>
              </w:rPr>
              <w:t>ESPD response</w:t>
            </w:r>
            <w:r w:rsidRPr="005A4360">
              <w:rPr>
                <w:rFonts w:asciiTheme="minorHAnsi" w:hAnsiTheme="minorHAnsi"/>
                <w:i/>
                <w:lang w:val="en-US"/>
              </w:rPr>
              <w:t xml:space="preserve"> directly in </w:t>
            </w:r>
            <w:r>
              <w:rPr>
                <w:rFonts w:asciiTheme="minorHAnsi" w:hAnsiTheme="minorHAnsi"/>
                <w:i/>
                <w:lang w:val="en-US"/>
              </w:rPr>
              <w:t>SATER platform</w:t>
            </w:r>
            <w:r w:rsidRPr="005A4360">
              <w:rPr>
                <w:rFonts w:asciiTheme="minorHAnsi" w:hAnsiTheme="minorHAnsi"/>
                <w:lang w:val="en-US"/>
              </w:rPr>
              <w:t>:</w:t>
            </w:r>
          </w:p>
          <w:p w:rsidR="005A4360" w:rsidRPr="005A4360" w:rsidRDefault="005A4360" w:rsidP="005A4360">
            <w:pPr>
              <w:pStyle w:val="ListParagraph"/>
              <w:spacing w:after="120" w:line="240" w:lineRule="auto"/>
              <w:ind w:left="714" w:right="170"/>
              <w:contextualSpacing w:val="0"/>
              <w:rPr>
                <w:rFonts w:asciiTheme="minorHAnsi" w:hAnsiTheme="minorHAnsi"/>
                <w:lang w:val="en-US"/>
              </w:rPr>
            </w:pPr>
            <w:r w:rsidRPr="005A4360">
              <w:rPr>
                <w:rFonts w:asciiTheme="minorHAnsi" w:hAnsiTheme="minorHAnsi"/>
                <w:lang w:val="en-US"/>
              </w:rPr>
              <w:t xml:space="preserve">It is the easiest way to enter all the information you need through a tool on the platform, which controls what is </w:t>
            </w:r>
            <w:r>
              <w:rPr>
                <w:rFonts w:asciiTheme="minorHAnsi" w:hAnsiTheme="minorHAnsi"/>
                <w:lang w:val="en-US"/>
              </w:rPr>
              <w:t>edited</w:t>
            </w:r>
            <w:r w:rsidRPr="005A4360">
              <w:rPr>
                <w:rFonts w:asciiTheme="minorHAnsi" w:hAnsiTheme="minorHAnsi"/>
                <w:lang w:val="en-US"/>
              </w:rPr>
              <w:t xml:space="preserve"> and "precompletes" all the parts for which </w:t>
            </w:r>
            <w:r>
              <w:rPr>
                <w:rFonts w:asciiTheme="minorHAnsi" w:hAnsiTheme="minorHAnsi"/>
                <w:lang w:val="en-US"/>
              </w:rPr>
              <w:t xml:space="preserve">it already has </w:t>
            </w:r>
            <w:r w:rsidRPr="005A4360">
              <w:rPr>
                <w:rFonts w:asciiTheme="minorHAnsi" w:hAnsiTheme="minorHAnsi"/>
                <w:lang w:val="en-US"/>
              </w:rPr>
              <w:t>information (</w:t>
            </w:r>
            <w:r>
              <w:rPr>
                <w:rFonts w:asciiTheme="minorHAnsi" w:hAnsiTheme="minorHAnsi"/>
                <w:lang w:val="en-US"/>
              </w:rPr>
              <w:t>eg. EO master data);</w:t>
            </w:r>
          </w:p>
          <w:p w:rsidR="005A4360" w:rsidRPr="005A4360" w:rsidRDefault="005A4360" w:rsidP="005A4360">
            <w:pPr>
              <w:pStyle w:val="ListParagraph"/>
              <w:numPr>
                <w:ilvl w:val="0"/>
                <w:numId w:val="21"/>
              </w:numPr>
              <w:spacing w:after="120" w:line="240" w:lineRule="auto"/>
              <w:ind w:left="714" w:right="170" w:hanging="357"/>
              <w:contextualSpacing w:val="0"/>
              <w:rPr>
                <w:rFonts w:asciiTheme="minorHAnsi" w:hAnsiTheme="minorHAnsi"/>
                <w:lang w:val="en-US"/>
              </w:rPr>
            </w:pPr>
            <w:r w:rsidRPr="005A4360">
              <w:rPr>
                <w:rFonts w:asciiTheme="minorHAnsi" w:hAnsiTheme="minorHAnsi"/>
                <w:i/>
                <w:lang w:val="en-US"/>
              </w:rPr>
              <w:t xml:space="preserve">Use </w:t>
            </w:r>
            <w:r w:rsidR="005C53CC">
              <w:rPr>
                <w:rFonts w:asciiTheme="minorHAnsi" w:hAnsiTheme="minorHAnsi"/>
                <w:i/>
                <w:lang w:val="en-US"/>
              </w:rPr>
              <w:t xml:space="preserve">an </w:t>
            </w:r>
            <w:r w:rsidRPr="005A4360">
              <w:rPr>
                <w:rFonts w:asciiTheme="minorHAnsi" w:hAnsiTheme="minorHAnsi"/>
                <w:i/>
                <w:lang w:val="en-US"/>
              </w:rPr>
              <w:t xml:space="preserve">ESPD </w:t>
            </w:r>
            <w:r w:rsidR="005C53CC">
              <w:rPr>
                <w:rFonts w:asciiTheme="minorHAnsi" w:hAnsiTheme="minorHAnsi"/>
                <w:i/>
                <w:lang w:val="en-US"/>
              </w:rPr>
              <w:t xml:space="preserve">response previously compiled </w:t>
            </w:r>
            <w:r w:rsidRPr="005A4360">
              <w:rPr>
                <w:rFonts w:asciiTheme="minorHAnsi" w:hAnsiTheme="minorHAnsi"/>
                <w:i/>
                <w:lang w:val="en-US"/>
              </w:rPr>
              <w:t>on SATER platform</w:t>
            </w:r>
            <w:r>
              <w:rPr>
                <w:rFonts w:asciiTheme="minorHAnsi" w:hAnsiTheme="minorHAnsi"/>
                <w:lang w:val="en-US"/>
              </w:rPr>
              <w:t>:</w:t>
            </w:r>
          </w:p>
          <w:p w:rsidR="005A4360" w:rsidRPr="005A4360" w:rsidRDefault="005A4360" w:rsidP="005A4360">
            <w:pPr>
              <w:pStyle w:val="ListParagraph"/>
              <w:spacing w:after="120" w:line="240" w:lineRule="auto"/>
              <w:ind w:left="714" w:right="170"/>
              <w:contextualSpacing w:val="0"/>
              <w:rPr>
                <w:rFonts w:asciiTheme="minorHAnsi" w:hAnsiTheme="minorHAnsi"/>
                <w:lang w:val="en-US"/>
              </w:rPr>
            </w:pPr>
            <w:r w:rsidRPr="005A4360">
              <w:rPr>
                <w:rFonts w:asciiTheme="minorHAnsi" w:hAnsiTheme="minorHAnsi"/>
                <w:lang w:val="en-US"/>
              </w:rPr>
              <w:t xml:space="preserve">The SATER platform provides the EO with all the previously compiled </w:t>
            </w:r>
            <w:r>
              <w:rPr>
                <w:rFonts w:asciiTheme="minorHAnsi" w:hAnsiTheme="minorHAnsi"/>
                <w:lang w:val="en-US"/>
              </w:rPr>
              <w:t xml:space="preserve">ESPDs </w:t>
            </w:r>
            <w:r w:rsidRPr="005A4360">
              <w:rPr>
                <w:rFonts w:asciiTheme="minorHAnsi" w:hAnsiTheme="minorHAnsi"/>
                <w:lang w:val="en-US"/>
              </w:rPr>
              <w:t xml:space="preserve">and </w:t>
            </w:r>
            <w:r w:rsidR="005C53CC">
              <w:rPr>
                <w:rFonts w:asciiTheme="minorHAnsi" w:hAnsiTheme="minorHAnsi"/>
                <w:lang w:val="en-US"/>
              </w:rPr>
              <w:t xml:space="preserve">allows to retrieve from them </w:t>
            </w:r>
            <w:r w:rsidRPr="005A4360">
              <w:rPr>
                <w:rFonts w:asciiTheme="minorHAnsi" w:hAnsiTheme="minorHAnsi"/>
                <w:lang w:val="en-US"/>
              </w:rPr>
              <w:t xml:space="preserve">all the responses compatible with the </w:t>
            </w:r>
            <w:r>
              <w:rPr>
                <w:rFonts w:asciiTheme="minorHAnsi" w:hAnsiTheme="minorHAnsi"/>
                <w:lang w:val="en-US"/>
              </w:rPr>
              <w:t>ESPD request</w:t>
            </w:r>
            <w:r w:rsidRPr="005A4360">
              <w:rPr>
                <w:rFonts w:asciiTheme="minorHAnsi" w:hAnsiTheme="minorHAnsi"/>
                <w:lang w:val="en-US"/>
              </w:rPr>
              <w:t xml:space="preserve"> foreseen for the </w:t>
            </w:r>
            <w:r>
              <w:rPr>
                <w:rFonts w:asciiTheme="minorHAnsi" w:hAnsiTheme="minorHAnsi"/>
                <w:lang w:val="en-US"/>
              </w:rPr>
              <w:t>specific tender</w:t>
            </w:r>
            <w:r w:rsidRPr="005A4360">
              <w:rPr>
                <w:rFonts w:asciiTheme="minorHAnsi" w:hAnsiTheme="minorHAnsi"/>
                <w:lang w:val="en-US"/>
              </w:rPr>
              <w:t xml:space="preserve">. </w:t>
            </w:r>
            <w:r>
              <w:rPr>
                <w:rFonts w:asciiTheme="minorHAnsi" w:hAnsiTheme="minorHAnsi"/>
                <w:lang w:val="en-US"/>
              </w:rPr>
              <w:t>Of course, it is necessary to check</w:t>
            </w:r>
            <w:r w:rsidRPr="005A4360">
              <w:rPr>
                <w:rFonts w:asciiTheme="minorHAnsi" w:hAnsiTheme="minorHAnsi"/>
                <w:lang w:val="en-US"/>
              </w:rPr>
              <w:t xml:space="preserve"> the consistency and correctness of the responses entered automatically and, if necessary, to supplement the information requested and not present in the selected </w:t>
            </w:r>
            <w:r>
              <w:rPr>
                <w:rFonts w:asciiTheme="minorHAnsi" w:hAnsiTheme="minorHAnsi"/>
                <w:lang w:val="en-US"/>
              </w:rPr>
              <w:t>ESPD</w:t>
            </w:r>
            <w:r w:rsidRPr="005A4360">
              <w:rPr>
                <w:rFonts w:asciiTheme="minorHAnsi" w:hAnsiTheme="minorHAnsi"/>
                <w:lang w:val="en-US"/>
              </w:rPr>
              <w:t>.</w:t>
            </w:r>
          </w:p>
          <w:p w:rsidR="005C53CC" w:rsidRDefault="005C53CC" w:rsidP="005A4360">
            <w:pPr>
              <w:pStyle w:val="ListParagraph"/>
              <w:numPr>
                <w:ilvl w:val="0"/>
                <w:numId w:val="21"/>
              </w:numPr>
              <w:spacing w:after="120" w:line="240" w:lineRule="auto"/>
              <w:ind w:left="714" w:right="170" w:hanging="357"/>
              <w:contextualSpacing w:val="0"/>
              <w:rPr>
                <w:rFonts w:asciiTheme="minorHAnsi" w:hAnsiTheme="minorHAnsi"/>
                <w:lang w:val="en-US"/>
              </w:rPr>
            </w:pPr>
            <w:r w:rsidRPr="005C53CC">
              <w:rPr>
                <w:rFonts w:asciiTheme="minorHAnsi" w:hAnsiTheme="minorHAnsi"/>
                <w:i/>
                <w:lang w:val="en-US"/>
              </w:rPr>
              <w:t xml:space="preserve">Upload to </w:t>
            </w:r>
            <w:r w:rsidR="005A4360" w:rsidRPr="005C53CC">
              <w:rPr>
                <w:rFonts w:asciiTheme="minorHAnsi" w:hAnsiTheme="minorHAnsi"/>
                <w:i/>
                <w:lang w:val="en-US"/>
              </w:rPr>
              <w:t>SATER platform a</w:t>
            </w:r>
            <w:r w:rsidRPr="005C53CC">
              <w:rPr>
                <w:rFonts w:asciiTheme="minorHAnsi" w:hAnsiTheme="minorHAnsi"/>
                <w:i/>
                <w:lang w:val="en-US"/>
              </w:rPr>
              <w:t>n</w:t>
            </w:r>
            <w:r w:rsidR="005A4360" w:rsidRPr="005C53CC">
              <w:rPr>
                <w:rFonts w:asciiTheme="minorHAnsi" w:hAnsiTheme="minorHAnsi"/>
                <w:i/>
                <w:lang w:val="en-US"/>
              </w:rPr>
              <w:t xml:space="preserve"> </w:t>
            </w:r>
            <w:r w:rsidRPr="005C53CC">
              <w:rPr>
                <w:rFonts w:asciiTheme="minorHAnsi" w:hAnsiTheme="minorHAnsi"/>
                <w:i/>
                <w:lang w:val="en-US"/>
              </w:rPr>
              <w:t>ESPD response</w:t>
            </w:r>
            <w:r w:rsidR="005A4360" w:rsidRPr="005C53CC">
              <w:rPr>
                <w:rFonts w:asciiTheme="minorHAnsi" w:hAnsiTheme="minorHAnsi"/>
                <w:i/>
                <w:lang w:val="en-US"/>
              </w:rPr>
              <w:t xml:space="preserve"> com</w:t>
            </w:r>
            <w:r w:rsidRPr="005C53CC">
              <w:rPr>
                <w:rFonts w:asciiTheme="minorHAnsi" w:hAnsiTheme="minorHAnsi"/>
                <w:i/>
                <w:lang w:val="en-US"/>
              </w:rPr>
              <w:t>piled in a different platform or with an external tool</w:t>
            </w:r>
            <w:r>
              <w:rPr>
                <w:rFonts w:asciiTheme="minorHAnsi" w:hAnsiTheme="minorHAnsi"/>
                <w:lang w:val="en-US"/>
              </w:rPr>
              <w:t>:</w:t>
            </w:r>
          </w:p>
          <w:p w:rsidR="005A4360" w:rsidRPr="005A4360" w:rsidRDefault="005A4360" w:rsidP="005C53CC">
            <w:pPr>
              <w:pStyle w:val="ListParagraph"/>
              <w:spacing w:after="120" w:line="240" w:lineRule="auto"/>
              <w:ind w:left="714" w:right="170"/>
              <w:contextualSpacing w:val="0"/>
              <w:rPr>
                <w:rFonts w:asciiTheme="minorHAnsi" w:hAnsiTheme="minorHAnsi"/>
                <w:lang w:val="en-US"/>
              </w:rPr>
            </w:pPr>
            <w:r w:rsidRPr="005A4360">
              <w:rPr>
                <w:rFonts w:asciiTheme="minorHAnsi" w:hAnsiTheme="minorHAnsi"/>
                <w:lang w:val="en-US"/>
              </w:rPr>
              <w:t xml:space="preserve">For this case, the same considerations apply as </w:t>
            </w:r>
            <w:r w:rsidR="005C53CC">
              <w:rPr>
                <w:rFonts w:asciiTheme="minorHAnsi" w:hAnsiTheme="minorHAnsi"/>
                <w:lang w:val="en-US"/>
              </w:rPr>
              <w:t>in the previous one (see point above). In fact, t</w:t>
            </w:r>
            <w:r w:rsidRPr="005A4360">
              <w:rPr>
                <w:rFonts w:asciiTheme="minorHAnsi" w:hAnsiTheme="minorHAnsi"/>
                <w:lang w:val="en-US"/>
              </w:rPr>
              <w:t xml:space="preserve">here is no certainty </w:t>
            </w:r>
            <w:r w:rsidR="005C53CC">
              <w:rPr>
                <w:rFonts w:asciiTheme="minorHAnsi" w:hAnsiTheme="minorHAnsi"/>
                <w:lang w:val="en-US"/>
              </w:rPr>
              <w:t>about</w:t>
            </w:r>
            <w:r w:rsidRPr="005A4360">
              <w:rPr>
                <w:rFonts w:asciiTheme="minorHAnsi" w:hAnsiTheme="minorHAnsi"/>
                <w:lang w:val="en-US"/>
              </w:rPr>
              <w:t xml:space="preserve"> the quality and complet</w:t>
            </w:r>
            <w:r w:rsidR="005C53CC">
              <w:rPr>
                <w:rFonts w:asciiTheme="minorHAnsi" w:hAnsiTheme="minorHAnsi"/>
                <w:lang w:val="en-US"/>
              </w:rPr>
              <w:t>eness of the information included in the uploaded ESPD response</w:t>
            </w:r>
            <w:r w:rsidRPr="005A4360">
              <w:rPr>
                <w:rFonts w:asciiTheme="minorHAnsi" w:hAnsiTheme="minorHAnsi"/>
                <w:lang w:val="en-US"/>
              </w:rPr>
              <w:t>.</w:t>
            </w:r>
          </w:p>
          <w:p w:rsidR="000445A3" w:rsidRPr="000445A3" w:rsidRDefault="005C53CC" w:rsidP="005C53CC">
            <w:pPr>
              <w:ind w:right="170"/>
              <w:rPr>
                <w:rFonts w:asciiTheme="minorHAnsi" w:hAnsiTheme="minorHAnsi"/>
                <w:lang w:val="en-US"/>
              </w:rPr>
            </w:pPr>
            <w:r>
              <w:rPr>
                <w:rFonts w:asciiTheme="minorHAnsi" w:hAnsiTheme="minorHAnsi"/>
                <w:lang w:val="en-US"/>
              </w:rPr>
              <w:t xml:space="preserve">All the </w:t>
            </w:r>
            <w:r w:rsidR="005A4360" w:rsidRPr="005A4360">
              <w:rPr>
                <w:rFonts w:asciiTheme="minorHAnsi" w:hAnsiTheme="minorHAnsi"/>
                <w:lang w:val="en-US"/>
              </w:rPr>
              <w:t xml:space="preserve">operations </w:t>
            </w:r>
            <w:r>
              <w:rPr>
                <w:rFonts w:asciiTheme="minorHAnsi" w:hAnsiTheme="minorHAnsi"/>
                <w:lang w:val="en-US"/>
              </w:rPr>
              <w:t xml:space="preserve">listed above </w:t>
            </w:r>
            <w:r w:rsidR="005A4360" w:rsidRPr="005A4360">
              <w:rPr>
                <w:rFonts w:asciiTheme="minorHAnsi" w:hAnsiTheme="minorHAnsi"/>
                <w:lang w:val="en-US"/>
              </w:rPr>
              <w:t xml:space="preserve">can be carried out during the various stages of the preparation of the </w:t>
            </w:r>
            <w:r>
              <w:rPr>
                <w:rFonts w:asciiTheme="minorHAnsi" w:hAnsiTheme="minorHAnsi"/>
                <w:lang w:val="en-US"/>
              </w:rPr>
              <w:t>bid</w:t>
            </w:r>
            <w:r w:rsidR="005A4360" w:rsidRPr="005A4360">
              <w:rPr>
                <w:rFonts w:asciiTheme="minorHAnsi" w:hAnsiTheme="minorHAnsi"/>
                <w:lang w:val="en-US"/>
              </w:rPr>
              <w:t xml:space="preserve"> by all </w:t>
            </w:r>
            <w:r>
              <w:rPr>
                <w:rFonts w:asciiTheme="minorHAnsi" w:hAnsiTheme="minorHAnsi"/>
                <w:lang w:val="en-US"/>
              </w:rPr>
              <w:t xml:space="preserve">the </w:t>
            </w:r>
            <w:r w:rsidR="005A4360" w:rsidRPr="005A4360">
              <w:rPr>
                <w:rFonts w:asciiTheme="minorHAnsi" w:hAnsiTheme="minorHAnsi"/>
                <w:lang w:val="en-US"/>
              </w:rPr>
              <w:t xml:space="preserve">parties involved in </w:t>
            </w:r>
            <w:r>
              <w:rPr>
                <w:rFonts w:asciiTheme="minorHAnsi" w:hAnsiTheme="minorHAnsi"/>
                <w:lang w:val="en-US"/>
              </w:rPr>
              <w:t xml:space="preserve">– and authorized to - </w:t>
            </w:r>
            <w:r w:rsidR="005A4360" w:rsidRPr="005A4360">
              <w:rPr>
                <w:rFonts w:asciiTheme="minorHAnsi" w:hAnsiTheme="minorHAnsi"/>
                <w:lang w:val="en-US"/>
              </w:rPr>
              <w:t xml:space="preserve">the preparation of the </w:t>
            </w:r>
            <w:r>
              <w:rPr>
                <w:rFonts w:asciiTheme="minorHAnsi" w:hAnsiTheme="minorHAnsi"/>
                <w:lang w:val="en-US"/>
              </w:rPr>
              <w:t>proposal in response to the tender</w:t>
            </w:r>
          </w:p>
        </w:tc>
        <w:tc>
          <w:tcPr>
            <w:tcW w:w="4814" w:type="dxa"/>
            <w:tcBorders>
              <w:top w:val="single" w:sz="6" w:space="0" w:color="A6A6A6" w:themeColor="background1" w:themeShade="A6"/>
              <w:left w:val="single" w:sz="6" w:space="0" w:color="A6A6A6" w:themeColor="background1" w:themeShade="A6"/>
              <w:bottom w:val="single" w:sz="6" w:space="0" w:color="A6A6A6" w:themeColor="background1" w:themeShade="A6"/>
            </w:tcBorders>
          </w:tcPr>
          <w:p w:rsidR="005C53CC" w:rsidRPr="005C53CC" w:rsidRDefault="005C53CC" w:rsidP="005C53CC">
            <w:pPr>
              <w:rPr>
                <w:rFonts w:asciiTheme="minorHAnsi" w:hAnsiTheme="minorHAnsi"/>
              </w:rPr>
            </w:pPr>
            <w:r w:rsidRPr="005C53CC">
              <w:rPr>
                <w:rFonts w:asciiTheme="minorHAnsi" w:hAnsiTheme="minorHAnsi"/>
              </w:rPr>
              <w:t xml:space="preserve">In the administrative envelope management, </w:t>
            </w:r>
            <w:r>
              <w:rPr>
                <w:rFonts w:asciiTheme="minorHAnsi" w:hAnsiTheme="minorHAnsi"/>
              </w:rPr>
              <w:t xml:space="preserve">the system will </w:t>
            </w:r>
            <w:r w:rsidR="002B3D4C">
              <w:rPr>
                <w:rFonts w:asciiTheme="minorHAnsi" w:hAnsiTheme="minorHAnsi"/>
              </w:rPr>
              <w:t>provide the authorized user with</w:t>
            </w:r>
            <w:r>
              <w:rPr>
                <w:rFonts w:asciiTheme="minorHAnsi" w:hAnsiTheme="minorHAnsi"/>
              </w:rPr>
              <w:t xml:space="preserve"> all the features </w:t>
            </w:r>
            <w:r w:rsidR="002B3D4C">
              <w:rPr>
                <w:rFonts w:asciiTheme="minorHAnsi" w:hAnsiTheme="minorHAnsi"/>
              </w:rPr>
              <w:t xml:space="preserve">needed </w:t>
            </w:r>
            <w:r>
              <w:rPr>
                <w:rFonts w:asciiTheme="minorHAnsi" w:hAnsiTheme="minorHAnsi"/>
              </w:rPr>
              <w:t xml:space="preserve">to </w:t>
            </w:r>
            <w:r w:rsidRPr="005C53CC">
              <w:rPr>
                <w:rFonts w:asciiTheme="minorHAnsi" w:hAnsiTheme="minorHAnsi"/>
              </w:rPr>
              <w:t>man</w:t>
            </w:r>
            <w:r w:rsidR="002B3D4C">
              <w:rPr>
                <w:rFonts w:asciiTheme="minorHAnsi" w:hAnsiTheme="minorHAnsi"/>
              </w:rPr>
              <w:t xml:space="preserve">age </w:t>
            </w:r>
            <w:r>
              <w:rPr>
                <w:rFonts w:asciiTheme="minorHAnsi" w:hAnsiTheme="minorHAnsi"/>
              </w:rPr>
              <w:t>ESPDs</w:t>
            </w:r>
            <w:r w:rsidRPr="005C53CC">
              <w:rPr>
                <w:rFonts w:asciiTheme="minorHAnsi" w:hAnsiTheme="minorHAnsi"/>
              </w:rPr>
              <w:t xml:space="preserve"> both for the main company and for other companies participating in the bid with other roles. The components </w:t>
            </w:r>
            <w:r w:rsidR="002B3D4C">
              <w:rPr>
                <w:rFonts w:asciiTheme="minorHAnsi" w:hAnsiTheme="minorHAnsi"/>
              </w:rPr>
              <w:t>involved</w:t>
            </w:r>
            <w:r w:rsidRPr="005C53CC">
              <w:rPr>
                <w:rFonts w:asciiTheme="minorHAnsi" w:hAnsiTheme="minorHAnsi"/>
              </w:rPr>
              <w:t xml:space="preserve"> are </w:t>
            </w:r>
            <w:r w:rsidR="002B3D4C">
              <w:rPr>
                <w:rFonts w:asciiTheme="minorHAnsi" w:hAnsiTheme="minorHAnsi"/>
              </w:rPr>
              <w:t>ESPD</w:t>
            </w:r>
            <w:r w:rsidRPr="005C53CC">
              <w:rPr>
                <w:rFonts w:asciiTheme="minorHAnsi" w:hAnsiTheme="minorHAnsi"/>
              </w:rPr>
              <w:t xml:space="preserve"> Manager, </w:t>
            </w:r>
            <w:r w:rsidR="002B3D4C">
              <w:rPr>
                <w:rFonts w:asciiTheme="minorHAnsi" w:hAnsiTheme="minorHAnsi"/>
              </w:rPr>
              <w:t>ESPD Checker, and ESPD XML Converter. Through the M</w:t>
            </w:r>
            <w:r w:rsidRPr="005C53CC">
              <w:rPr>
                <w:rFonts w:asciiTheme="minorHAnsi" w:hAnsiTheme="minorHAnsi"/>
              </w:rPr>
              <w:t>anager</w:t>
            </w:r>
            <w:r w:rsidR="002B3D4C">
              <w:rPr>
                <w:rFonts w:asciiTheme="minorHAnsi" w:hAnsiTheme="minorHAnsi"/>
              </w:rPr>
              <w:t xml:space="preserve"> component</w:t>
            </w:r>
            <w:r w:rsidRPr="005C53CC">
              <w:rPr>
                <w:rFonts w:asciiTheme="minorHAnsi" w:hAnsiTheme="minorHAnsi"/>
              </w:rPr>
              <w:t xml:space="preserve">, all data-entry activities are managed </w:t>
            </w:r>
            <w:r w:rsidR="002B3D4C">
              <w:rPr>
                <w:rFonts w:asciiTheme="minorHAnsi" w:hAnsiTheme="minorHAnsi"/>
              </w:rPr>
              <w:t xml:space="preserve">within </w:t>
            </w:r>
            <w:r w:rsidRPr="005C53CC">
              <w:rPr>
                <w:rFonts w:asciiTheme="minorHAnsi" w:hAnsiTheme="minorHAnsi"/>
              </w:rPr>
              <w:t xml:space="preserve">SATER platform; </w:t>
            </w:r>
            <w:r w:rsidR="002B3D4C">
              <w:rPr>
                <w:rFonts w:asciiTheme="minorHAnsi" w:hAnsiTheme="minorHAnsi"/>
              </w:rPr>
              <w:t>the ESPD</w:t>
            </w:r>
            <w:r w:rsidRPr="005C53CC">
              <w:rPr>
                <w:rFonts w:asciiTheme="minorHAnsi" w:hAnsiTheme="minorHAnsi"/>
              </w:rPr>
              <w:t xml:space="preserve"> Checker performs all the </w:t>
            </w:r>
            <w:r w:rsidR="002B3D4C">
              <w:rPr>
                <w:rFonts w:asciiTheme="minorHAnsi" w:hAnsiTheme="minorHAnsi"/>
              </w:rPr>
              <w:t>controls on document data</w:t>
            </w:r>
            <w:r w:rsidRPr="005C53CC">
              <w:rPr>
                <w:rFonts w:asciiTheme="minorHAnsi" w:hAnsiTheme="minorHAnsi"/>
              </w:rPr>
              <w:t>, whether they are inserted directly in</w:t>
            </w:r>
            <w:r w:rsidR="002B3D4C">
              <w:rPr>
                <w:rFonts w:asciiTheme="minorHAnsi" w:hAnsiTheme="minorHAnsi"/>
              </w:rPr>
              <w:t>to the platform or uploaded by means of XML files</w:t>
            </w:r>
            <w:r w:rsidRPr="005C53CC">
              <w:rPr>
                <w:rFonts w:asciiTheme="minorHAnsi" w:hAnsiTheme="minorHAnsi"/>
              </w:rPr>
              <w:t xml:space="preserve"> coming from outside; Finally, DGUE XML Converter gives the </w:t>
            </w:r>
            <w:r w:rsidR="002B3D4C">
              <w:rPr>
                <w:rFonts w:asciiTheme="minorHAnsi" w:hAnsiTheme="minorHAnsi"/>
              </w:rPr>
              <w:t xml:space="preserve">EO the </w:t>
            </w:r>
            <w:r w:rsidRPr="005C53CC">
              <w:rPr>
                <w:rFonts w:asciiTheme="minorHAnsi" w:hAnsiTheme="minorHAnsi"/>
              </w:rPr>
              <w:t xml:space="preserve">ability to transform what comes from external systems in the internal management format </w:t>
            </w:r>
            <w:r w:rsidR="002B3D4C">
              <w:rPr>
                <w:rFonts w:asciiTheme="minorHAnsi" w:hAnsiTheme="minorHAnsi"/>
              </w:rPr>
              <w:t>accepted by the</w:t>
            </w:r>
            <w:r w:rsidRPr="005C53CC">
              <w:rPr>
                <w:rFonts w:asciiTheme="minorHAnsi" w:hAnsiTheme="minorHAnsi"/>
              </w:rPr>
              <w:t xml:space="preserve"> platform.</w:t>
            </w:r>
          </w:p>
          <w:p w:rsidR="000445A3" w:rsidRPr="000445A3" w:rsidRDefault="002B3D4C" w:rsidP="002B3D4C">
            <w:pPr>
              <w:rPr>
                <w:rFonts w:asciiTheme="minorHAnsi" w:hAnsiTheme="minorHAnsi"/>
              </w:rPr>
            </w:pPr>
            <w:r>
              <w:rPr>
                <w:rFonts w:asciiTheme="minorHAnsi" w:hAnsiTheme="minorHAnsi"/>
              </w:rPr>
              <w:t>A specific feature will be implemented to allow the end user to download the ESPD re</w:t>
            </w:r>
            <w:r w:rsidR="005C53CC" w:rsidRPr="005C53CC">
              <w:rPr>
                <w:rFonts w:asciiTheme="minorHAnsi" w:hAnsiTheme="minorHAnsi"/>
              </w:rPr>
              <w:t xml:space="preserve">sponse </w:t>
            </w:r>
            <w:r>
              <w:rPr>
                <w:rFonts w:asciiTheme="minorHAnsi" w:hAnsiTheme="minorHAnsi"/>
              </w:rPr>
              <w:t xml:space="preserve">in a format (XML) suitable for reuse </w:t>
            </w:r>
            <w:r w:rsidR="005C53CC" w:rsidRPr="005C53CC">
              <w:rPr>
                <w:rFonts w:asciiTheme="minorHAnsi" w:hAnsiTheme="minorHAnsi"/>
              </w:rPr>
              <w:t xml:space="preserve">in other </w:t>
            </w:r>
            <w:r>
              <w:rPr>
                <w:rFonts w:asciiTheme="minorHAnsi" w:hAnsiTheme="minorHAnsi"/>
              </w:rPr>
              <w:t>technical environments</w:t>
            </w:r>
            <w:r w:rsidR="005C53CC" w:rsidRPr="005C53CC">
              <w:rPr>
                <w:rFonts w:asciiTheme="minorHAnsi" w:hAnsiTheme="minorHAnsi"/>
              </w:rPr>
              <w:t>.</w:t>
            </w:r>
          </w:p>
        </w:tc>
      </w:tr>
      <w:tr w:rsidR="000445A3" w:rsidTr="001C1406">
        <w:tc>
          <w:tcPr>
            <w:tcW w:w="4814" w:type="dxa"/>
            <w:tcBorders>
              <w:top w:val="single" w:sz="6" w:space="0" w:color="A6A6A6" w:themeColor="background1" w:themeShade="A6"/>
              <w:bottom w:val="single" w:sz="6" w:space="0" w:color="A6A6A6" w:themeColor="background1" w:themeShade="A6"/>
              <w:right w:val="single" w:sz="6" w:space="0" w:color="A6A6A6" w:themeColor="background1" w:themeShade="A6"/>
            </w:tcBorders>
          </w:tcPr>
          <w:p w:rsidR="000445A3" w:rsidRPr="000445A3" w:rsidRDefault="002B3D4C" w:rsidP="001C1406">
            <w:pPr>
              <w:spacing w:after="120"/>
              <w:ind w:right="170"/>
              <w:rPr>
                <w:rFonts w:asciiTheme="minorHAnsi" w:hAnsiTheme="minorHAnsi"/>
                <w:b/>
                <w:lang w:val="en-US"/>
              </w:rPr>
            </w:pPr>
            <w:r>
              <w:rPr>
                <w:rFonts w:asciiTheme="minorHAnsi" w:hAnsiTheme="minorHAnsi"/>
                <w:b/>
                <w:lang w:val="en-US"/>
              </w:rPr>
              <w:lastRenderedPageBreak/>
              <w:t>Conditional step</w:t>
            </w:r>
            <w:r w:rsidR="000445A3" w:rsidRPr="000445A3">
              <w:rPr>
                <w:rFonts w:asciiTheme="minorHAnsi" w:hAnsiTheme="minorHAnsi"/>
                <w:b/>
                <w:lang w:val="en-US"/>
              </w:rPr>
              <w:t xml:space="preserve"> - </w:t>
            </w:r>
            <w:r>
              <w:rPr>
                <w:rFonts w:asciiTheme="minorHAnsi" w:hAnsiTheme="minorHAnsi"/>
                <w:b/>
                <w:lang w:val="en-US"/>
              </w:rPr>
              <w:t>C</w:t>
            </w:r>
            <w:r w:rsidRPr="002B3D4C">
              <w:rPr>
                <w:rFonts w:asciiTheme="minorHAnsi" w:hAnsiTheme="minorHAnsi"/>
                <w:b/>
                <w:lang w:val="en-US"/>
              </w:rPr>
              <w:t>riteria update from Simog to SATER Platform</w:t>
            </w:r>
          </w:p>
          <w:p w:rsidR="000445A3" w:rsidRPr="001C1406" w:rsidRDefault="002B3D4C" w:rsidP="00175F93">
            <w:pPr>
              <w:ind w:right="170"/>
              <w:rPr>
                <w:rFonts w:asciiTheme="minorHAnsi" w:hAnsiTheme="minorHAnsi"/>
                <w:lang w:val="en-US"/>
              </w:rPr>
            </w:pPr>
            <w:r w:rsidRPr="002B3D4C">
              <w:rPr>
                <w:rFonts w:asciiTheme="minorHAnsi" w:hAnsiTheme="minorHAnsi"/>
                <w:lang w:val="en-US"/>
              </w:rPr>
              <w:t xml:space="preserve">The platform, with a frequency to be defined, </w:t>
            </w:r>
            <w:r>
              <w:rPr>
                <w:rFonts w:asciiTheme="minorHAnsi" w:hAnsiTheme="minorHAnsi"/>
                <w:lang w:val="en-US"/>
              </w:rPr>
              <w:t xml:space="preserve">invokes SIMOG services </w:t>
            </w:r>
            <w:r w:rsidRPr="002B3D4C">
              <w:rPr>
                <w:rFonts w:asciiTheme="minorHAnsi" w:hAnsiTheme="minorHAnsi"/>
                <w:lang w:val="en-US"/>
              </w:rPr>
              <w:t xml:space="preserve">to determine whether </w:t>
            </w:r>
            <w:r w:rsidR="00175F93">
              <w:rPr>
                <w:rFonts w:asciiTheme="minorHAnsi" w:hAnsiTheme="minorHAnsi"/>
                <w:lang w:val="en-US"/>
              </w:rPr>
              <w:t xml:space="preserve">any </w:t>
            </w:r>
            <w:r w:rsidRPr="002B3D4C">
              <w:rPr>
                <w:rFonts w:asciiTheme="minorHAnsi" w:hAnsiTheme="minorHAnsi"/>
                <w:lang w:val="en-US"/>
              </w:rPr>
              <w:t xml:space="preserve">changes </w:t>
            </w:r>
            <w:r w:rsidR="00175F93">
              <w:rPr>
                <w:rFonts w:asciiTheme="minorHAnsi" w:hAnsiTheme="minorHAnsi"/>
                <w:lang w:val="en-US"/>
              </w:rPr>
              <w:t xml:space="preserve">have taken place with reference to </w:t>
            </w:r>
            <w:r w:rsidRPr="002B3D4C">
              <w:rPr>
                <w:rFonts w:asciiTheme="minorHAnsi" w:hAnsiTheme="minorHAnsi"/>
                <w:lang w:val="en-US"/>
              </w:rPr>
              <w:t xml:space="preserve">the criteria </w:t>
            </w:r>
            <w:r w:rsidR="00175F93">
              <w:rPr>
                <w:rFonts w:asciiTheme="minorHAnsi" w:hAnsiTheme="minorHAnsi"/>
                <w:lang w:val="en-US"/>
              </w:rPr>
              <w:t>registered in e-Certis and</w:t>
            </w:r>
            <w:r w:rsidRPr="002B3D4C">
              <w:rPr>
                <w:rFonts w:asciiTheme="minorHAnsi" w:hAnsiTheme="minorHAnsi"/>
                <w:lang w:val="en-US"/>
              </w:rPr>
              <w:t xml:space="preserve"> </w:t>
            </w:r>
            <w:r w:rsidR="00175F93">
              <w:rPr>
                <w:rFonts w:asciiTheme="minorHAnsi" w:hAnsiTheme="minorHAnsi"/>
                <w:lang w:val="en-US"/>
              </w:rPr>
              <w:t>retrieved by</w:t>
            </w:r>
            <w:r w:rsidRPr="002B3D4C">
              <w:rPr>
                <w:rFonts w:asciiTheme="minorHAnsi" w:hAnsiTheme="minorHAnsi"/>
                <w:lang w:val="en-US"/>
              </w:rPr>
              <w:t xml:space="preserve"> the national A</w:t>
            </w:r>
            <w:r>
              <w:rPr>
                <w:rFonts w:asciiTheme="minorHAnsi" w:hAnsiTheme="minorHAnsi"/>
                <w:lang w:val="en-US"/>
              </w:rPr>
              <w:t>.</w:t>
            </w:r>
            <w:r w:rsidRPr="002B3D4C">
              <w:rPr>
                <w:rFonts w:asciiTheme="minorHAnsi" w:hAnsiTheme="minorHAnsi"/>
                <w:lang w:val="en-US"/>
              </w:rPr>
              <w:t>N</w:t>
            </w:r>
            <w:r>
              <w:rPr>
                <w:rFonts w:asciiTheme="minorHAnsi" w:hAnsiTheme="minorHAnsi"/>
                <w:lang w:val="en-US"/>
              </w:rPr>
              <w:t>.</w:t>
            </w:r>
            <w:r w:rsidRPr="002B3D4C">
              <w:rPr>
                <w:rFonts w:asciiTheme="minorHAnsi" w:hAnsiTheme="minorHAnsi"/>
                <w:lang w:val="en-US"/>
              </w:rPr>
              <w:t>AC</w:t>
            </w:r>
            <w:r>
              <w:rPr>
                <w:rFonts w:asciiTheme="minorHAnsi" w:hAnsiTheme="minorHAnsi"/>
                <w:lang w:val="en-US"/>
              </w:rPr>
              <w:t>.</w:t>
            </w:r>
            <w:r w:rsidRPr="002B3D4C">
              <w:rPr>
                <w:rFonts w:asciiTheme="minorHAnsi" w:hAnsiTheme="minorHAnsi"/>
                <w:lang w:val="en-US"/>
              </w:rPr>
              <w:t xml:space="preserve"> system. If so, a verification process of their possible use in the </w:t>
            </w:r>
            <w:r w:rsidR="00175F93">
              <w:rPr>
                <w:rFonts w:asciiTheme="minorHAnsi" w:hAnsiTheme="minorHAnsi"/>
                <w:lang w:val="en-US"/>
              </w:rPr>
              <w:t>tenders i</w:t>
            </w:r>
            <w:r w:rsidRPr="002B3D4C">
              <w:rPr>
                <w:rFonts w:asciiTheme="minorHAnsi" w:hAnsiTheme="minorHAnsi"/>
                <w:lang w:val="en-US"/>
              </w:rPr>
              <w:t xml:space="preserve">s </w:t>
            </w:r>
            <w:r w:rsidR="00175F93">
              <w:rPr>
                <w:rFonts w:asciiTheme="minorHAnsi" w:hAnsiTheme="minorHAnsi"/>
                <w:lang w:val="en-US"/>
              </w:rPr>
              <w:t xml:space="preserve">started and </w:t>
            </w:r>
            <w:r w:rsidRPr="002B3D4C">
              <w:rPr>
                <w:rFonts w:asciiTheme="minorHAnsi" w:hAnsiTheme="minorHAnsi"/>
                <w:lang w:val="en-US"/>
              </w:rPr>
              <w:t xml:space="preserve">subsequent notification </w:t>
            </w:r>
            <w:r w:rsidR="00175F93">
              <w:rPr>
                <w:rFonts w:asciiTheme="minorHAnsi" w:hAnsiTheme="minorHAnsi"/>
                <w:lang w:val="en-US"/>
              </w:rPr>
              <w:t xml:space="preserve">is sent </w:t>
            </w:r>
            <w:r w:rsidRPr="002B3D4C">
              <w:rPr>
                <w:rFonts w:asciiTheme="minorHAnsi" w:hAnsiTheme="minorHAnsi"/>
                <w:lang w:val="en-US"/>
              </w:rPr>
              <w:t xml:space="preserve">to </w:t>
            </w:r>
            <w:r w:rsidR="00175F93">
              <w:rPr>
                <w:rFonts w:asciiTheme="minorHAnsi" w:hAnsiTheme="minorHAnsi"/>
                <w:lang w:val="en-US"/>
              </w:rPr>
              <w:t>the responsible</w:t>
            </w:r>
            <w:r w:rsidRPr="002B3D4C">
              <w:rPr>
                <w:rFonts w:asciiTheme="minorHAnsi" w:hAnsiTheme="minorHAnsi"/>
                <w:lang w:val="en-US"/>
              </w:rPr>
              <w:t xml:space="preserve"> users who </w:t>
            </w:r>
            <w:r w:rsidR="00175F93">
              <w:rPr>
                <w:rFonts w:asciiTheme="minorHAnsi" w:hAnsiTheme="minorHAnsi"/>
                <w:lang w:val="en-US"/>
              </w:rPr>
              <w:t>are in charge</w:t>
            </w:r>
            <w:r w:rsidRPr="002B3D4C">
              <w:rPr>
                <w:rFonts w:asciiTheme="minorHAnsi" w:hAnsiTheme="minorHAnsi"/>
                <w:lang w:val="en-US"/>
              </w:rPr>
              <w:t xml:space="preserve"> to make the necessary adjustments to </w:t>
            </w:r>
            <w:r w:rsidR="00175F93">
              <w:rPr>
                <w:rFonts w:asciiTheme="minorHAnsi" w:hAnsiTheme="minorHAnsi"/>
                <w:lang w:val="en-US"/>
              </w:rPr>
              <w:t xml:space="preserve">“conform” again </w:t>
            </w:r>
            <w:r w:rsidRPr="002B3D4C">
              <w:rPr>
                <w:rFonts w:asciiTheme="minorHAnsi" w:hAnsiTheme="minorHAnsi"/>
                <w:lang w:val="en-US"/>
              </w:rPr>
              <w:t xml:space="preserve">the </w:t>
            </w:r>
            <w:r w:rsidR="00175F93">
              <w:rPr>
                <w:rFonts w:asciiTheme="minorHAnsi" w:hAnsiTheme="minorHAnsi"/>
                <w:lang w:val="en-US"/>
              </w:rPr>
              <w:t>ESPD schema t</w:t>
            </w:r>
            <w:r w:rsidRPr="002B3D4C">
              <w:rPr>
                <w:rFonts w:asciiTheme="minorHAnsi" w:hAnsiTheme="minorHAnsi"/>
                <w:lang w:val="en-US"/>
              </w:rPr>
              <w:t>o the rules</w:t>
            </w:r>
            <w:r w:rsidR="00175F93">
              <w:rPr>
                <w:rFonts w:asciiTheme="minorHAnsi" w:hAnsiTheme="minorHAnsi"/>
                <w:lang w:val="en-US"/>
              </w:rPr>
              <w:t xml:space="preserve"> defined</w:t>
            </w:r>
            <w:r w:rsidRPr="002B3D4C">
              <w:rPr>
                <w:rFonts w:asciiTheme="minorHAnsi" w:hAnsiTheme="minorHAnsi"/>
                <w:lang w:val="en-US"/>
              </w:rPr>
              <w:t>.</w:t>
            </w:r>
          </w:p>
        </w:tc>
        <w:tc>
          <w:tcPr>
            <w:tcW w:w="4814" w:type="dxa"/>
            <w:tcBorders>
              <w:top w:val="single" w:sz="6" w:space="0" w:color="A6A6A6" w:themeColor="background1" w:themeShade="A6"/>
              <w:left w:val="single" w:sz="6" w:space="0" w:color="A6A6A6" w:themeColor="background1" w:themeShade="A6"/>
              <w:bottom w:val="single" w:sz="6" w:space="0" w:color="A6A6A6" w:themeColor="background1" w:themeShade="A6"/>
            </w:tcBorders>
          </w:tcPr>
          <w:p w:rsidR="000445A3" w:rsidRPr="000445A3" w:rsidRDefault="003807E4" w:rsidP="003807E4">
            <w:pPr>
              <w:rPr>
                <w:rFonts w:asciiTheme="minorHAnsi" w:hAnsiTheme="minorHAnsi"/>
              </w:rPr>
            </w:pPr>
            <w:r>
              <w:rPr>
                <w:rFonts w:asciiTheme="minorHAnsi" w:hAnsiTheme="minorHAnsi"/>
              </w:rPr>
              <w:t xml:space="preserve">On </w:t>
            </w:r>
            <w:r w:rsidR="00175F93" w:rsidRPr="00175F93">
              <w:rPr>
                <w:rFonts w:asciiTheme="minorHAnsi" w:hAnsiTheme="minorHAnsi"/>
              </w:rPr>
              <w:t xml:space="preserve">SATER platform, available 24x7, there </w:t>
            </w:r>
            <w:r w:rsidR="00175F93">
              <w:rPr>
                <w:rFonts w:asciiTheme="minorHAnsi" w:hAnsiTheme="minorHAnsi"/>
              </w:rPr>
              <w:t>will be</w:t>
            </w:r>
            <w:r w:rsidR="00175F93" w:rsidRPr="00175F93">
              <w:rPr>
                <w:rFonts w:asciiTheme="minorHAnsi" w:hAnsiTheme="minorHAnsi"/>
              </w:rPr>
              <w:t xml:space="preserve"> a service </w:t>
            </w:r>
            <w:r w:rsidR="00175F93">
              <w:rPr>
                <w:rFonts w:asciiTheme="minorHAnsi" w:hAnsiTheme="minorHAnsi"/>
              </w:rPr>
              <w:t xml:space="preserve">– executed </w:t>
            </w:r>
            <w:r w:rsidR="00175F93" w:rsidRPr="00175F93">
              <w:rPr>
                <w:rFonts w:asciiTheme="minorHAnsi" w:hAnsiTheme="minorHAnsi"/>
              </w:rPr>
              <w:t xml:space="preserve">with a daily frequency </w:t>
            </w:r>
            <w:r w:rsidR="00175F93">
              <w:rPr>
                <w:rFonts w:asciiTheme="minorHAnsi" w:hAnsiTheme="minorHAnsi"/>
              </w:rPr>
              <w:t xml:space="preserve">- </w:t>
            </w:r>
            <w:r w:rsidR="00175F93" w:rsidRPr="00175F93">
              <w:rPr>
                <w:rFonts w:asciiTheme="minorHAnsi" w:hAnsiTheme="minorHAnsi"/>
              </w:rPr>
              <w:t>that constantly queries the A</w:t>
            </w:r>
            <w:r w:rsidR="00175F93">
              <w:rPr>
                <w:rFonts w:asciiTheme="minorHAnsi" w:hAnsiTheme="minorHAnsi"/>
              </w:rPr>
              <w:t>.</w:t>
            </w:r>
            <w:r w:rsidR="00175F93" w:rsidRPr="00175F93">
              <w:rPr>
                <w:rFonts w:asciiTheme="minorHAnsi" w:hAnsiTheme="minorHAnsi"/>
              </w:rPr>
              <w:t>N</w:t>
            </w:r>
            <w:r w:rsidR="00175F93">
              <w:rPr>
                <w:rFonts w:asciiTheme="minorHAnsi" w:hAnsiTheme="minorHAnsi"/>
              </w:rPr>
              <w:t>.</w:t>
            </w:r>
            <w:r w:rsidR="00175F93" w:rsidRPr="00175F93">
              <w:rPr>
                <w:rFonts w:asciiTheme="minorHAnsi" w:hAnsiTheme="minorHAnsi"/>
              </w:rPr>
              <w:t>AC</w:t>
            </w:r>
            <w:r w:rsidR="00175F93">
              <w:rPr>
                <w:rFonts w:asciiTheme="minorHAnsi" w:hAnsiTheme="minorHAnsi"/>
              </w:rPr>
              <w:t>.</w:t>
            </w:r>
            <w:r w:rsidR="00175F93" w:rsidRPr="00175F93">
              <w:rPr>
                <w:rFonts w:asciiTheme="minorHAnsi" w:hAnsiTheme="minorHAnsi"/>
              </w:rPr>
              <w:t xml:space="preserve"> system to</w:t>
            </w:r>
            <w:r w:rsidR="00175F93">
              <w:rPr>
                <w:rFonts w:asciiTheme="minorHAnsi" w:hAnsiTheme="minorHAnsi"/>
              </w:rPr>
              <w:t xml:space="preserve"> check</w:t>
            </w:r>
            <w:r w:rsidR="00175F93" w:rsidRPr="00175F93">
              <w:rPr>
                <w:rFonts w:asciiTheme="minorHAnsi" w:hAnsiTheme="minorHAnsi"/>
              </w:rPr>
              <w:t xml:space="preserve"> if there are any changes to the quantity and quality of the criteria recorded on it. If so, in addition to updating t</w:t>
            </w:r>
            <w:r w:rsidR="00175F93">
              <w:rPr>
                <w:rFonts w:asciiTheme="minorHAnsi" w:hAnsiTheme="minorHAnsi"/>
              </w:rPr>
              <w:t>he criteria description tables</w:t>
            </w:r>
            <w:r w:rsidR="00175F93" w:rsidRPr="00175F93">
              <w:rPr>
                <w:rFonts w:asciiTheme="minorHAnsi" w:hAnsiTheme="minorHAnsi"/>
              </w:rPr>
              <w:t xml:space="preserve">, the </w:t>
            </w:r>
            <w:r>
              <w:rPr>
                <w:rFonts w:asciiTheme="minorHAnsi" w:hAnsiTheme="minorHAnsi"/>
              </w:rPr>
              <w:t xml:space="preserve">system also checks the </w:t>
            </w:r>
            <w:r w:rsidR="00175F93" w:rsidRPr="00175F93">
              <w:rPr>
                <w:rFonts w:asciiTheme="minorHAnsi" w:hAnsiTheme="minorHAnsi"/>
              </w:rPr>
              <w:t xml:space="preserve">presence of unpublished </w:t>
            </w:r>
            <w:r w:rsidR="00175F93">
              <w:rPr>
                <w:rFonts w:asciiTheme="minorHAnsi" w:hAnsiTheme="minorHAnsi"/>
              </w:rPr>
              <w:t>tenders</w:t>
            </w:r>
            <w:r w:rsidR="00175F93" w:rsidRPr="00175F93">
              <w:rPr>
                <w:rFonts w:asciiTheme="minorHAnsi" w:hAnsiTheme="minorHAnsi"/>
              </w:rPr>
              <w:t xml:space="preserve"> </w:t>
            </w:r>
            <w:r w:rsidR="00175F93">
              <w:rPr>
                <w:rFonts w:asciiTheme="minorHAnsi" w:hAnsiTheme="minorHAnsi"/>
              </w:rPr>
              <w:t xml:space="preserve">that make use of </w:t>
            </w:r>
            <w:r>
              <w:rPr>
                <w:rFonts w:asciiTheme="minorHAnsi" w:hAnsiTheme="minorHAnsi"/>
              </w:rPr>
              <w:t>changed</w:t>
            </w:r>
            <w:r w:rsidR="00175F93">
              <w:rPr>
                <w:rFonts w:asciiTheme="minorHAnsi" w:hAnsiTheme="minorHAnsi"/>
              </w:rPr>
              <w:t xml:space="preserve"> criteria, </w:t>
            </w:r>
            <w:r>
              <w:rPr>
                <w:rFonts w:asciiTheme="minorHAnsi" w:hAnsiTheme="minorHAnsi"/>
              </w:rPr>
              <w:t>in order to</w:t>
            </w:r>
            <w:r w:rsidR="00175F93" w:rsidRPr="00175F93">
              <w:rPr>
                <w:rFonts w:asciiTheme="minorHAnsi" w:hAnsiTheme="minorHAnsi"/>
              </w:rPr>
              <w:t xml:space="preserve"> </w:t>
            </w:r>
            <w:r>
              <w:rPr>
                <w:rFonts w:asciiTheme="minorHAnsi" w:hAnsiTheme="minorHAnsi"/>
              </w:rPr>
              <w:t xml:space="preserve">ensure a strict compliance with </w:t>
            </w:r>
            <w:r w:rsidR="00175F93" w:rsidRPr="00175F93">
              <w:rPr>
                <w:rFonts w:asciiTheme="minorHAnsi" w:hAnsiTheme="minorHAnsi"/>
              </w:rPr>
              <w:t>A</w:t>
            </w:r>
            <w:r w:rsidR="00175F93">
              <w:rPr>
                <w:rFonts w:asciiTheme="minorHAnsi" w:hAnsiTheme="minorHAnsi"/>
              </w:rPr>
              <w:t>.</w:t>
            </w:r>
            <w:r w:rsidR="00175F93" w:rsidRPr="00175F93">
              <w:rPr>
                <w:rFonts w:asciiTheme="minorHAnsi" w:hAnsiTheme="minorHAnsi"/>
              </w:rPr>
              <w:t>N</w:t>
            </w:r>
            <w:r w:rsidR="00175F93">
              <w:rPr>
                <w:rFonts w:asciiTheme="minorHAnsi" w:hAnsiTheme="minorHAnsi"/>
              </w:rPr>
              <w:t>.</w:t>
            </w:r>
            <w:r w:rsidR="00175F93" w:rsidRPr="00175F93">
              <w:rPr>
                <w:rFonts w:asciiTheme="minorHAnsi" w:hAnsiTheme="minorHAnsi"/>
              </w:rPr>
              <w:t>AC</w:t>
            </w:r>
            <w:r w:rsidR="00175F93">
              <w:rPr>
                <w:rFonts w:asciiTheme="minorHAnsi" w:hAnsiTheme="minorHAnsi"/>
              </w:rPr>
              <w:t>.</w:t>
            </w:r>
            <w:r w:rsidR="00175F93" w:rsidRPr="00175F93">
              <w:rPr>
                <w:rFonts w:asciiTheme="minorHAnsi" w:hAnsiTheme="minorHAnsi"/>
              </w:rPr>
              <w:t xml:space="preserve"> guidelines. In the latter case</w:t>
            </w:r>
            <w:r>
              <w:rPr>
                <w:rFonts w:asciiTheme="minorHAnsi" w:hAnsiTheme="minorHAnsi"/>
              </w:rPr>
              <w:t>,</w:t>
            </w:r>
            <w:r w:rsidR="00175F93" w:rsidRPr="00175F93">
              <w:rPr>
                <w:rFonts w:asciiTheme="minorHAnsi" w:hAnsiTheme="minorHAnsi"/>
              </w:rPr>
              <w:t xml:space="preserve"> a notification is sent to the user in charge of the </w:t>
            </w:r>
            <w:r w:rsidR="00175F93">
              <w:rPr>
                <w:rFonts w:asciiTheme="minorHAnsi" w:hAnsiTheme="minorHAnsi"/>
              </w:rPr>
              <w:t>tender</w:t>
            </w:r>
            <w:r w:rsidR="00175F93" w:rsidRPr="00175F93">
              <w:rPr>
                <w:rFonts w:asciiTheme="minorHAnsi" w:hAnsiTheme="minorHAnsi"/>
              </w:rPr>
              <w:t xml:space="preserve"> in order to inform him of the action and give him the opportunity to take the appropriate corrective action.</w:t>
            </w:r>
          </w:p>
        </w:tc>
      </w:tr>
    </w:tbl>
    <w:p w:rsidR="000445A3" w:rsidRDefault="00E65967" w:rsidP="00E65967">
      <w:pPr>
        <w:pStyle w:val="Caption"/>
        <w:spacing w:before="240"/>
      </w:pPr>
      <w:bookmarkStart w:id="19" w:name="_Toc489278371"/>
      <w:r>
        <w:t xml:space="preserve">Table </w:t>
      </w:r>
      <w:r>
        <w:fldChar w:fldCharType="begin"/>
      </w:r>
      <w:r>
        <w:instrText xml:space="preserve"> SEQ Table \* ARABIC </w:instrText>
      </w:r>
      <w:r>
        <w:fldChar w:fldCharType="separate"/>
      </w:r>
      <w:r w:rsidR="003807E4">
        <w:rPr>
          <w:noProof/>
        </w:rPr>
        <w:t>1</w:t>
      </w:r>
      <w:r>
        <w:fldChar w:fldCharType="end"/>
      </w:r>
      <w:r>
        <w:t xml:space="preserve"> Tender process steps - Gap analysis</w:t>
      </w:r>
      <w:bookmarkEnd w:id="19"/>
    </w:p>
    <w:p w:rsidR="003807E4" w:rsidRDefault="003807E4">
      <w:pPr>
        <w:jc w:val="left"/>
      </w:pPr>
      <w:r>
        <w:br w:type="page"/>
      </w:r>
    </w:p>
    <w:p w:rsidR="001C1406" w:rsidRPr="00B61F90" w:rsidRDefault="00E25D1F" w:rsidP="001C1406">
      <w:pPr>
        <w:pStyle w:val="Heading1"/>
        <w:ind w:left="431" w:hanging="431"/>
      </w:pPr>
      <w:bookmarkStart w:id="20" w:name="_Toc489278369"/>
      <w:r>
        <w:lastRenderedPageBreak/>
        <w:t>Data Model Design</w:t>
      </w:r>
      <w:bookmarkEnd w:id="20"/>
    </w:p>
    <w:p w:rsidR="001C1406" w:rsidRDefault="00E25D1F" w:rsidP="001C1406">
      <w:r>
        <w:t>AAAAAA</w:t>
      </w:r>
    </w:p>
    <w:p w:rsidR="00E25D1F" w:rsidRDefault="00E25D1F">
      <w:pPr>
        <w:jc w:val="left"/>
        <w:rPr>
          <w:iCs/>
          <w:color w:val="000000" w:themeColor="text1"/>
          <w:sz w:val="18"/>
          <w:szCs w:val="18"/>
        </w:rPr>
      </w:pPr>
      <w:r>
        <w:br w:type="page"/>
      </w:r>
    </w:p>
    <w:p w:rsidR="00E25D1F" w:rsidRPr="00B61F90" w:rsidRDefault="00E25D1F" w:rsidP="00E25D1F">
      <w:pPr>
        <w:pStyle w:val="Heading1"/>
        <w:ind w:left="431" w:hanging="431"/>
      </w:pPr>
      <w:bookmarkStart w:id="21" w:name="_Toc489278370"/>
      <w:r>
        <w:lastRenderedPageBreak/>
        <w:t>Integration Services Design</w:t>
      </w:r>
      <w:bookmarkEnd w:id="21"/>
    </w:p>
    <w:p w:rsidR="00E25D1F" w:rsidRDefault="00E25D1F" w:rsidP="00E25D1F">
      <w:r>
        <w:t>AAAAAA</w:t>
      </w:r>
    </w:p>
    <w:p w:rsidR="000445A3" w:rsidRPr="00B61F90" w:rsidRDefault="000445A3" w:rsidP="001C1406">
      <w:pPr>
        <w:pStyle w:val="Caption"/>
        <w:jc w:val="both"/>
      </w:pPr>
    </w:p>
    <w:sectPr w:rsidR="000445A3" w:rsidRPr="00B61F90" w:rsidSect="000445A3">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56F" w:rsidRDefault="000D756F" w:rsidP="00401B11">
      <w:pPr>
        <w:spacing w:after="0" w:line="240" w:lineRule="auto"/>
      </w:pPr>
      <w:r>
        <w:separator/>
      </w:r>
    </w:p>
  </w:endnote>
  <w:endnote w:type="continuationSeparator" w:id="0">
    <w:p w:rsidR="000D756F" w:rsidRDefault="000D756F" w:rsidP="0040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9E" w:rsidRPr="00A94FA5" w:rsidRDefault="003807E4" w:rsidP="005D4B3E">
    <w:pPr>
      <w:pStyle w:val="Footer"/>
      <w:pBdr>
        <w:top w:val="single" w:sz="8" w:space="1" w:color="auto"/>
      </w:pBdr>
      <w:rPr>
        <w:i/>
      </w:rPr>
    </w:pPr>
    <w:r w:rsidRPr="00B94704">
      <w:t>ESPD Interoperability and Diffusion</w:t>
    </w:r>
    <w:r w:rsidRPr="00A94FA5">
      <w:rPr>
        <w:i/>
      </w:rPr>
      <w:t xml:space="preserve"> </w:t>
    </w:r>
    <w:r w:rsidR="0098589E" w:rsidRPr="00A94FA5">
      <w:rPr>
        <w:i/>
      </w:rPr>
      <w:ptab w:relativeTo="margin" w:alignment="center" w:leader="none"/>
    </w:r>
    <w:r w:rsidR="0098589E" w:rsidRPr="00A94FA5">
      <w:rPr>
        <w:i/>
      </w:rPr>
      <w:ptab w:relativeTo="margin" w:alignment="right" w:leader="none"/>
    </w:r>
    <w:r w:rsidR="0098589E" w:rsidRPr="00A94FA5">
      <w:rPr>
        <w:i/>
      </w:rPr>
      <w:fldChar w:fldCharType="begin"/>
    </w:r>
    <w:r w:rsidR="0098589E" w:rsidRPr="00A94FA5">
      <w:rPr>
        <w:i/>
      </w:rPr>
      <w:instrText xml:space="preserve"> PAGE   \* MERGEFORMAT </w:instrText>
    </w:r>
    <w:r w:rsidR="0098589E" w:rsidRPr="00A94FA5">
      <w:rPr>
        <w:i/>
      </w:rPr>
      <w:fldChar w:fldCharType="separate"/>
    </w:r>
    <w:r w:rsidR="00911289">
      <w:rPr>
        <w:i/>
        <w:noProof/>
      </w:rPr>
      <w:t>4</w:t>
    </w:r>
    <w:r w:rsidR="0098589E" w:rsidRPr="00A94FA5">
      <w:rPr>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56F" w:rsidRDefault="000D756F" w:rsidP="00401B11">
      <w:pPr>
        <w:spacing w:after="0" w:line="240" w:lineRule="auto"/>
      </w:pPr>
      <w:r>
        <w:separator/>
      </w:r>
    </w:p>
  </w:footnote>
  <w:footnote w:type="continuationSeparator" w:id="0">
    <w:p w:rsidR="000D756F" w:rsidRDefault="000D756F" w:rsidP="00401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9E" w:rsidRPr="00010001" w:rsidRDefault="0098589E" w:rsidP="005D4B3E">
    <w:pPr>
      <w:pStyle w:val="Header"/>
      <w:pBdr>
        <w:bottom w:val="single" w:sz="8" w:space="1" w:color="auto"/>
      </w:pBdr>
      <w:jc w:val="right"/>
      <w:rPr>
        <w:i/>
      </w:rPr>
    </w:pPr>
    <w:r>
      <w:rPr>
        <w:i/>
      </w:rPr>
      <w:t>D2.1 - Gap Analysis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7" w15:restartNumberingAfterBreak="0">
    <w:nsid w:val="05FC5560"/>
    <w:multiLevelType w:val="hybridMultilevel"/>
    <w:tmpl w:val="3BC8B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621305F"/>
    <w:multiLevelType w:val="hybridMultilevel"/>
    <w:tmpl w:val="DE58883A"/>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74F558C"/>
    <w:multiLevelType w:val="hybridMultilevel"/>
    <w:tmpl w:val="4210EE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81480E"/>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5FF700F"/>
    <w:multiLevelType w:val="hybridMultilevel"/>
    <w:tmpl w:val="7610E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051D63"/>
    <w:multiLevelType w:val="hybridMultilevel"/>
    <w:tmpl w:val="E3085380"/>
    <w:lvl w:ilvl="0" w:tplc="74A2EC18">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5" w15:restartNumberingAfterBreak="0">
    <w:nsid w:val="3155483D"/>
    <w:multiLevelType w:val="hybridMultilevel"/>
    <w:tmpl w:val="12BC16EE"/>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19" w15:restartNumberingAfterBreak="0">
    <w:nsid w:val="4F106774"/>
    <w:multiLevelType w:val="hybridMultilevel"/>
    <w:tmpl w:val="3D7E7F42"/>
    <w:lvl w:ilvl="0" w:tplc="04100003">
      <w:start w:val="1"/>
      <w:numFmt w:val="bullet"/>
      <w:lvlText w:val="o"/>
      <w:lvlJc w:val="left"/>
      <w:pPr>
        <w:ind w:left="1386" w:hanging="360"/>
      </w:pPr>
      <w:rPr>
        <w:rFonts w:ascii="Courier New" w:hAnsi="Courier New" w:cs="Courier New" w:hint="default"/>
      </w:rPr>
    </w:lvl>
    <w:lvl w:ilvl="1" w:tplc="04100003">
      <w:start w:val="1"/>
      <w:numFmt w:val="bullet"/>
      <w:lvlText w:val="o"/>
      <w:lvlJc w:val="left"/>
      <w:pPr>
        <w:ind w:left="2106" w:hanging="360"/>
      </w:pPr>
      <w:rPr>
        <w:rFonts w:ascii="Courier New" w:hAnsi="Courier New" w:cs="Courier New" w:hint="default"/>
      </w:rPr>
    </w:lvl>
    <w:lvl w:ilvl="2" w:tplc="04100005" w:tentative="1">
      <w:start w:val="1"/>
      <w:numFmt w:val="bullet"/>
      <w:lvlText w:val=""/>
      <w:lvlJc w:val="left"/>
      <w:pPr>
        <w:ind w:left="2826" w:hanging="360"/>
      </w:pPr>
      <w:rPr>
        <w:rFonts w:ascii="Wingdings" w:hAnsi="Wingdings" w:hint="default"/>
      </w:rPr>
    </w:lvl>
    <w:lvl w:ilvl="3" w:tplc="04100001" w:tentative="1">
      <w:start w:val="1"/>
      <w:numFmt w:val="bullet"/>
      <w:lvlText w:val=""/>
      <w:lvlJc w:val="left"/>
      <w:pPr>
        <w:ind w:left="3546" w:hanging="360"/>
      </w:pPr>
      <w:rPr>
        <w:rFonts w:ascii="Symbol" w:hAnsi="Symbol" w:hint="default"/>
      </w:rPr>
    </w:lvl>
    <w:lvl w:ilvl="4" w:tplc="04100003" w:tentative="1">
      <w:start w:val="1"/>
      <w:numFmt w:val="bullet"/>
      <w:lvlText w:val="o"/>
      <w:lvlJc w:val="left"/>
      <w:pPr>
        <w:ind w:left="4266" w:hanging="360"/>
      </w:pPr>
      <w:rPr>
        <w:rFonts w:ascii="Courier New" w:hAnsi="Courier New" w:cs="Courier New" w:hint="default"/>
      </w:rPr>
    </w:lvl>
    <w:lvl w:ilvl="5" w:tplc="04100005" w:tentative="1">
      <w:start w:val="1"/>
      <w:numFmt w:val="bullet"/>
      <w:lvlText w:val=""/>
      <w:lvlJc w:val="left"/>
      <w:pPr>
        <w:ind w:left="4986" w:hanging="360"/>
      </w:pPr>
      <w:rPr>
        <w:rFonts w:ascii="Wingdings" w:hAnsi="Wingdings" w:hint="default"/>
      </w:rPr>
    </w:lvl>
    <w:lvl w:ilvl="6" w:tplc="04100001" w:tentative="1">
      <w:start w:val="1"/>
      <w:numFmt w:val="bullet"/>
      <w:lvlText w:val=""/>
      <w:lvlJc w:val="left"/>
      <w:pPr>
        <w:ind w:left="5706" w:hanging="360"/>
      </w:pPr>
      <w:rPr>
        <w:rFonts w:ascii="Symbol" w:hAnsi="Symbol" w:hint="default"/>
      </w:rPr>
    </w:lvl>
    <w:lvl w:ilvl="7" w:tplc="04100003" w:tentative="1">
      <w:start w:val="1"/>
      <w:numFmt w:val="bullet"/>
      <w:lvlText w:val="o"/>
      <w:lvlJc w:val="left"/>
      <w:pPr>
        <w:ind w:left="6426" w:hanging="360"/>
      </w:pPr>
      <w:rPr>
        <w:rFonts w:ascii="Courier New" w:hAnsi="Courier New" w:cs="Courier New" w:hint="default"/>
      </w:rPr>
    </w:lvl>
    <w:lvl w:ilvl="8" w:tplc="04100005" w:tentative="1">
      <w:start w:val="1"/>
      <w:numFmt w:val="bullet"/>
      <w:lvlText w:val=""/>
      <w:lvlJc w:val="left"/>
      <w:pPr>
        <w:ind w:left="7146" w:hanging="360"/>
      </w:pPr>
      <w:rPr>
        <w:rFonts w:ascii="Wingdings" w:hAnsi="Wingdings" w:hint="default"/>
      </w:rPr>
    </w:lvl>
  </w:abstractNum>
  <w:abstractNum w:abstractNumId="20" w15:restartNumberingAfterBreak="0">
    <w:nsid w:val="559455DD"/>
    <w:multiLevelType w:val="hybridMultilevel"/>
    <w:tmpl w:val="A4AE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A000285"/>
    <w:multiLevelType w:val="hybridMultilevel"/>
    <w:tmpl w:val="BB589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4"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26" w15:restartNumberingAfterBreak="0">
    <w:nsid w:val="73D44F2D"/>
    <w:multiLevelType w:val="hybridMultilevel"/>
    <w:tmpl w:val="E8908748"/>
    <w:lvl w:ilvl="0" w:tplc="601EDB2E">
      <w:start w:val="1"/>
      <w:numFmt w:val="bullet"/>
      <w:lvlText w:val="o"/>
      <w:lvlJc w:val="left"/>
      <w:pPr>
        <w:ind w:left="1068" w:hanging="360"/>
      </w:pPr>
      <w:rPr>
        <w:rFonts w:ascii="Courier New" w:hAnsi="Courier New" w:cs="Courier New" w:hint="default"/>
        <w:lang w:val="en-US"/>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78E35CAC"/>
    <w:multiLevelType w:val="hybridMultilevel"/>
    <w:tmpl w:val="E446EB2C"/>
    <w:lvl w:ilvl="0" w:tplc="0410000D">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8" w15:restartNumberingAfterBreak="0">
    <w:nsid w:val="7B722430"/>
    <w:multiLevelType w:val="hybridMultilevel"/>
    <w:tmpl w:val="C92643E0"/>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3CF02164">
      <w:start w:val="4"/>
      <w:numFmt w:val="bullet"/>
      <w:lvlText w:val="•"/>
      <w:lvlJc w:val="left"/>
      <w:pPr>
        <w:ind w:left="2160" w:hanging="360"/>
      </w:pPr>
      <w:rPr>
        <w:rFonts w:ascii="Calibri" w:eastAsia="Cambria" w:hAnsi="Calibri" w:cs="Cambria"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6"/>
  </w:num>
  <w:num w:numId="4">
    <w:abstractNumId w:val="25"/>
  </w:num>
  <w:num w:numId="5">
    <w:abstractNumId w:val="0"/>
  </w:num>
  <w:num w:numId="6">
    <w:abstractNumId w:val="5"/>
  </w:num>
  <w:num w:numId="7">
    <w:abstractNumId w:val="4"/>
  </w:num>
  <w:num w:numId="8">
    <w:abstractNumId w:val="3"/>
  </w:num>
  <w:num w:numId="9">
    <w:abstractNumId w:val="2"/>
  </w:num>
  <w:num w:numId="10">
    <w:abstractNumId w:val="1"/>
  </w:num>
  <w:num w:numId="11">
    <w:abstractNumId w:val="17"/>
  </w:num>
  <w:num w:numId="12">
    <w:abstractNumId w:val="16"/>
  </w:num>
  <w:num w:numId="13">
    <w:abstractNumId w:val="24"/>
  </w:num>
  <w:num w:numId="14">
    <w:abstractNumId w:val="18"/>
  </w:num>
  <w:num w:numId="15">
    <w:abstractNumId w:val="9"/>
  </w:num>
  <w:num w:numId="16">
    <w:abstractNumId w:val="12"/>
  </w:num>
  <w:num w:numId="17">
    <w:abstractNumId w:val="28"/>
  </w:num>
  <w:num w:numId="18">
    <w:abstractNumId w:val="14"/>
  </w:num>
  <w:num w:numId="19">
    <w:abstractNumId w:val="11"/>
  </w:num>
  <w:num w:numId="20">
    <w:abstractNumId w:val="21"/>
  </w:num>
  <w:num w:numId="21">
    <w:abstractNumId w:val="22"/>
  </w:num>
  <w:num w:numId="22">
    <w:abstractNumId w:val="26"/>
  </w:num>
  <w:num w:numId="23">
    <w:abstractNumId w:val="19"/>
  </w:num>
  <w:num w:numId="24">
    <w:abstractNumId w:val="15"/>
  </w:num>
  <w:num w:numId="25">
    <w:abstractNumId w:val="7"/>
  </w:num>
  <w:num w:numId="26">
    <w:abstractNumId w:val="20"/>
  </w:num>
  <w:num w:numId="27">
    <w:abstractNumId w:val="10"/>
  </w:num>
  <w:num w:numId="28">
    <w:abstractNumId w:val="27"/>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334A"/>
    <w:rsid w:val="00003CCA"/>
    <w:rsid w:val="00004512"/>
    <w:rsid w:val="00010001"/>
    <w:rsid w:val="0001105A"/>
    <w:rsid w:val="000114CF"/>
    <w:rsid w:val="000126CA"/>
    <w:rsid w:val="00013E36"/>
    <w:rsid w:val="00023211"/>
    <w:rsid w:val="00030D05"/>
    <w:rsid w:val="00031A7C"/>
    <w:rsid w:val="00031B2B"/>
    <w:rsid w:val="000329D7"/>
    <w:rsid w:val="000445A3"/>
    <w:rsid w:val="00050393"/>
    <w:rsid w:val="00050524"/>
    <w:rsid w:val="00052D32"/>
    <w:rsid w:val="00057355"/>
    <w:rsid w:val="00072CA0"/>
    <w:rsid w:val="0007682B"/>
    <w:rsid w:val="000867B4"/>
    <w:rsid w:val="00091DDF"/>
    <w:rsid w:val="000947E8"/>
    <w:rsid w:val="00095712"/>
    <w:rsid w:val="000A7D2B"/>
    <w:rsid w:val="000B0F9F"/>
    <w:rsid w:val="000C3CEE"/>
    <w:rsid w:val="000C4415"/>
    <w:rsid w:val="000C60A1"/>
    <w:rsid w:val="000C65F2"/>
    <w:rsid w:val="000D2591"/>
    <w:rsid w:val="000D27FD"/>
    <w:rsid w:val="000D41E1"/>
    <w:rsid w:val="000D6B7F"/>
    <w:rsid w:val="000D756F"/>
    <w:rsid w:val="000E1B28"/>
    <w:rsid w:val="000E50EB"/>
    <w:rsid w:val="000E632E"/>
    <w:rsid w:val="000F41D3"/>
    <w:rsid w:val="000F48C9"/>
    <w:rsid w:val="000F790B"/>
    <w:rsid w:val="000F7B10"/>
    <w:rsid w:val="00102851"/>
    <w:rsid w:val="00102863"/>
    <w:rsid w:val="0010470C"/>
    <w:rsid w:val="00111130"/>
    <w:rsid w:val="00115F20"/>
    <w:rsid w:val="0012054A"/>
    <w:rsid w:val="00122578"/>
    <w:rsid w:val="00127CAE"/>
    <w:rsid w:val="00133E51"/>
    <w:rsid w:val="001352E7"/>
    <w:rsid w:val="0013683D"/>
    <w:rsid w:val="00137C4A"/>
    <w:rsid w:val="00150FD9"/>
    <w:rsid w:val="0015650F"/>
    <w:rsid w:val="00160B18"/>
    <w:rsid w:val="00163EF0"/>
    <w:rsid w:val="00167936"/>
    <w:rsid w:val="00170D57"/>
    <w:rsid w:val="00173D20"/>
    <w:rsid w:val="001745D5"/>
    <w:rsid w:val="0017565A"/>
    <w:rsid w:val="00175F93"/>
    <w:rsid w:val="00181A27"/>
    <w:rsid w:val="00181FAB"/>
    <w:rsid w:val="00185D52"/>
    <w:rsid w:val="00191505"/>
    <w:rsid w:val="00194580"/>
    <w:rsid w:val="001967A2"/>
    <w:rsid w:val="001A12B6"/>
    <w:rsid w:val="001A1DD3"/>
    <w:rsid w:val="001A522A"/>
    <w:rsid w:val="001B2B1E"/>
    <w:rsid w:val="001B4B0D"/>
    <w:rsid w:val="001B6FE7"/>
    <w:rsid w:val="001C0D99"/>
    <w:rsid w:val="001C1406"/>
    <w:rsid w:val="001D33E5"/>
    <w:rsid w:val="001D5CD6"/>
    <w:rsid w:val="001D674C"/>
    <w:rsid w:val="001E36E7"/>
    <w:rsid w:val="001E5206"/>
    <w:rsid w:val="001E68AB"/>
    <w:rsid w:val="001F267C"/>
    <w:rsid w:val="00201342"/>
    <w:rsid w:val="002028C8"/>
    <w:rsid w:val="002056C1"/>
    <w:rsid w:val="00205994"/>
    <w:rsid w:val="00206562"/>
    <w:rsid w:val="00212A11"/>
    <w:rsid w:val="00212A85"/>
    <w:rsid w:val="002248F1"/>
    <w:rsid w:val="00224CFA"/>
    <w:rsid w:val="0022563D"/>
    <w:rsid w:val="00226928"/>
    <w:rsid w:val="00240E76"/>
    <w:rsid w:val="00246994"/>
    <w:rsid w:val="0024726B"/>
    <w:rsid w:val="002501C2"/>
    <w:rsid w:val="002564A2"/>
    <w:rsid w:val="00261A90"/>
    <w:rsid w:val="002742F3"/>
    <w:rsid w:val="002745D2"/>
    <w:rsid w:val="00280689"/>
    <w:rsid w:val="00281DC8"/>
    <w:rsid w:val="0029155B"/>
    <w:rsid w:val="002916B3"/>
    <w:rsid w:val="00296B88"/>
    <w:rsid w:val="0029768E"/>
    <w:rsid w:val="002A1F19"/>
    <w:rsid w:val="002A1FD5"/>
    <w:rsid w:val="002A59A9"/>
    <w:rsid w:val="002B3D4C"/>
    <w:rsid w:val="002B4EA4"/>
    <w:rsid w:val="002B572F"/>
    <w:rsid w:val="002B69EF"/>
    <w:rsid w:val="002C4727"/>
    <w:rsid w:val="002C73A9"/>
    <w:rsid w:val="002D3FE3"/>
    <w:rsid w:val="002D64FF"/>
    <w:rsid w:val="002D6677"/>
    <w:rsid w:val="002D7869"/>
    <w:rsid w:val="002E1FEC"/>
    <w:rsid w:val="002E255E"/>
    <w:rsid w:val="002E5D71"/>
    <w:rsid w:val="002F454A"/>
    <w:rsid w:val="002F63D2"/>
    <w:rsid w:val="00304218"/>
    <w:rsid w:val="003049A6"/>
    <w:rsid w:val="003136C0"/>
    <w:rsid w:val="003165F3"/>
    <w:rsid w:val="00320304"/>
    <w:rsid w:val="00325F19"/>
    <w:rsid w:val="00330548"/>
    <w:rsid w:val="0033502D"/>
    <w:rsid w:val="003355C4"/>
    <w:rsid w:val="003356E6"/>
    <w:rsid w:val="003437E9"/>
    <w:rsid w:val="0035121D"/>
    <w:rsid w:val="003523C2"/>
    <w:rsid w:val="00356AD0"/>
    <w:rsid w:val="00357EA5"/>
    <w:rsid w:val="00363159"/>
    <w:rsid w:val="003664BB"/>
    <w:rsid w:val="003711BA"/>
    <w:rsid w:val="00373FC7"/>
    <w:rsid w:val="003807E4"/>
    <w:rsid w:val="00386742"/>
    <w:rsid w:val="003869D7"/>
    <w:rsid w:val="003937BA"/>
    <w:rsid w:val="003A03B1"/>
    <w:rsid w:val="003A5581"/>
    <w:rsid w:val="003A6559"/>
    <w:rsid w:val="003B43D1"/>
    <w:rsid w:val="003B5AA0"/>
    <w:rsid w:val="003B7BCB"/>
    <w:rsid w:val="003C009C"/>
    <w:rsid w:val="003C6BFF"/>
    <w:rsid w:val="003D05E1"/>
    <w:rsid w:val="003D1123"/>
    <w:rsid w:val="003D1163"/>
    <w:rsid w:val="003D1405"/>
    <w:rsid w:val="003D1C34"/>
    <w:rsid w:val="003D381A"/>
    <w:rsid w:val="003D4278"/>
    <w:rsid w:val="003F156B"/>
    <w:rsid w:val="003F35B7"/>
    <w:rsid w:val="003F4127"/>
    <w:rsid w:val="003F59E4"/>
    <w:rsid w:val="004006EF"/>
    <w:rsid w:val="004014A1"/>
    <w:rsid w:val="00401B11"/>
    <w:rsid w:val="00401CE5"/>
    <w:rsid w:val="004032E3"/>
    <w:rsid w:val="00403EEE"/>
    <w:rsid w:val="00404342"/>
    <w:rsid w:val="004071D5"/>
    <w:rsid w:val="00417E24"/>
    <w:rsid w:val="00422DE5"/>
    <w:rsid w:val="00427AA0"/>
    <w:rsid w:val="004311D2"/>
    <w:rsid w:val="00431F6F"/>
    <w:rsid w:val="0043447A"/>
    <w:rsid w:val="004408E1"/>
    <w:rsid w:val="00452932"/>
    <w:rsid w:val="00460366"/>
    <w:rsid w:val="004644F0"/>
    <w:rsid w:val="004675FD"/>
    <w:rsid w:val="004703DE"/>
    <w:rsid w:val="004764A4"/>
    <w:rsid w:val="00486096"/>
    <w:rsid w:val="004940BE"/>
    <w:rsid w:val="004A3EE4"/>
    <w:rsid w:val="004A5C0B"/>
    <w:rsid w:val="004C52E1"/>
    <w:rsid w:val="004C6976"/>
    <w:rsid w:val="004D23DB"/>
    <w:rsid w:val="004E3258"/>
    <w:rsid w:val="004E337B"/>
    <w:rsid w:val="004E43FB"/>
    <w:rsid w:val="004F0107"/>
    <w:rsid w:val="004F3DA8"/>
    <w:rsid w:val="004F7610"/>
    <w:rsid w:val="00504842"/>
    <w:rsid w:val="00504B71"/>
    <w:rsid w:val="00506C60"/>
    <w:rsid w:val="00524FFF"/>
    <w:rsid w:val="0052535C"/>
    <w:rsid w:val="00527277"/>
    <w:rsid w:val="005337EA"/>
    <w:rsid w:val="00537767"/>
    <w:rsid w:val="0054143F"/>
    <w:rsid w:val="00550A35"/>
    <w:rsid w:val="00552740"/>
    <w:rsid w:val="00552B36"/>
    <w:rsid w:val="005546E5"/>
    <w:rsid w:val="005547CF"/>
    <w:rsid w:val="00557BC8"/>
    <w:rsid w:val="00560903"/>
    <w:rsid w:val="00561FFF"/>
    <w:rsid w:val="00563BA0"/>
    <w:rsid w:val="00563C83"/>
    <w:rsid w:val="00572B2B"/>
    <w:rsid w:val="0057341E"/>
    <w:rsid w:val="005801EF"/>
    <w:rsid w:val="0058296A"/>
    <w:rsid w:val="00590263"/>
    <w:rsid w:val="00596070"/>
    <w:rsid w:val="005A283D"/>
    <w:rsid w:val="005A4360"/>
    <w:rsid w:val="005A763E"/>
    <w:rsid w:val="005C2145"/>
    <w:rsid w:val="005C38F5"/>
    <w:rsid w:val="005C3CEE"/>
    <w:rsid w:val="005C51F3"/>
    <w:rsid w:val="005C53CC"/>
    <w:rsid w:val="005C6717"/>
    <w:rsid w:val="005C7BFC"/>
    <w:rsid w:val="005D4B3E"/>
    <w:rsid w:val="005D64CC"/>
    <w:rsid w:val="005E771F"/>
    <w:rsid w:val="0060743A"/>
    <w:rsid w:val="00607A37"/>
    <w:rsid w:val="006103F9"/>
    <w:rsid w:val="00614056"/>
    <w:rsid w:val="00621E56"/>
    <w:rsid w:val="0062273E"/>
    <w:rsid w:val="0062299C"/>
    <w:rsid w:val="00623D86"/>
    <w:rsid w:val="00624243"/>
    <w:rsid w:val="00626846"/>
    <w:rsid w:val="006278C3"/>
    <w:rsid w:val="0063563E"/>
    <w:rsid w:val="00637B0A"/>
    <w:rsid w:val="00637B26"/>
    <w:rsid w:val="006433D3"/>
    <w:rsid w:val="006463F4"/>
    <w:rsid w:val="00657E0A"/>
    <w:rsid w:val="0066167A"/>
    <w:rsid w:val="00667336"/>
    <w:rsid w:val="00676963"/>
    <w:rsid w:val="00681AC2"/>
    <w:rsid w:val="00684CF8"/>
    <w:rsid w:val="006937EC"/>
    <w:rsid w:val="00696214"/>
    <w:rsid w:val="006A3A43"/>
    <w:rsid w:val="006B1575"/>
    <w:rsid w:val="006B17D9"/>
    <w:rsid w:val="006B2FE5"/>
    <w:rsid w:val="006B3D01"/>
    <w:rsid w:val="006B6D71"/>
    <w:rsid w:val="006B6E48"/>
    <w:rsid w:val="006C141E"/>
    <w:rsid w:val="006C1AE4"/>
    <w:rsid w:val="006C252C"/>
    <w:rsid w:val="006C3BCF"/>
    <w:rsid w:val="006D0883"/>
    <w:rsid w:val="006D1012"/>
    <w:rsid w:val="006D513B"/>
    <w:rsid w:val="006E1595"/>
    <w:rsid w:val="006E1D93"/>
    <w:rsid w:val="006F25FA"/>
    <w:rsid w:val="006F3572"/>
    <w:rsid w:val="006F38CC"/>
    <w:rsid w:val="006F41C2"/>
    <w:rsid w:val="006F482F"/>
    <w:rsid w:val="00702E89"/>
    <w:rsid w:val="007065D5"/>
    <w:rsid w:val="00706B69"/>
    <w:rsid w:val="0071092B"/>
    <w:rsid w:val="00713B08"/>
    <w:rsid w:val="007179BC"/>
    <w:rsid w:val="007214DF"/>
    <w:rsid w:val="00723DDB"/>
    <w:rsid w:val="00730277"/>
    <w:rsid w:val="00741892"/>
    <w:rsid w:val="00745B47"/>
    <w:rsid w:val="00747610"/>
    <w:rsid w:val="00747C1E"/>
    <w:rsid w:val="0075463D"/>
    <w:rsid w:val="00754EC0"/>
    <w:rsid w:val="0076009F"/>
    <w:rsid w:val="00765038"/>
    <w:rsid w:val="007658E1"/>
    <w:rsid w:val="00766236"/>
    <w:rsid w:val="00770C27"/>
    <w:rsid w:val="0077355E"/>
    <w:rsid w:val="00775883"/>
    <w:rsid w:val="00780E6A"/>
    <w:rsid w:val="0079228F"/>
    <w:rsid w:val="007937F7"/>
    <w:rsid w:val="0079580C"/>
    <w:rsid w:val="00796F60"/>
    <w:rsid w:val="007A09B5"/>
    <w:rsid w:val="007A2DB7"/>
    <w:rsid w:val="007A5FFE"/>
    <w:rsid w:val="007A7E43"/>
    <w:rsid w:val="007B18FA"/>
    <w:rsid w:val="007B3CA5"/>
    <w:rsid w:val="007C1BF0"/>
    <w:rsid w:val="007C1DAC"/>
    <w:rsid w:val="007C6217"/>
    <w:rsid w:val="007C74FB"/>
    <w:rsid w:val="007C7541"/>
    <w:rsid w:val="007D053D"/>
    <w:rsid w:val="007D0A07"/>
    <w:rsid w:val="007D46F7"/>
    <w:rsid w:val="007D5659"/>
    <w:rsid w:val="007E0473"/>
    <w:rsid w:val="007E335F"/>
    <w:rsid w:val="007E6BCC"/>
    <w:rsid w:val="007F023F"/>
    <w:rsid w:val="007F120D"/>
    <w:rsid w:val="007F36FA"/>
    <w:rsid w:val="0080111C"/>
    <w:rsid w:val="00804590"/>
    <w:rsid w:val="00806536"/>
    <w:rsid w:val="008069A3"/>
    <w:rsid w:val="00811AEC"/>
    <w:rsid w:val="00816759"/>
    <w:rsid w:val="008174D8"/>
    <w:rsid w:val="00822C37"/>
    <w:rsid w:val="008236AD"/>
    <w:rsid w:val="00824AD6"/>
    <w:rsid w:val="008314A2"/>
    <w:rsid w:val="00834175"/>
    <w:rsid w:val="00840C47"/>
    <w:rsid w:val="00843643"/>
    <w:rsid w:val="00847B62"/>
    <w:rsid w:val="00850E0F"/>
    <w:rsid w:val="00852981"/>
    <w:rsid w:val="00852DDE"/>
    <w:rsid w:val="008536C4"/>
    <w:rsid w:val="008568C1"/>
    <w:rsid w:val="00857A5F"/>
    <w:rsid w:val="00857AD3"/>
    <w:rsid w:val="0086052C"/>
    <w:rsid w:val="00862395"/>
    <w:rsid w:val="00864FAB"/>
    <w:rsid w:val="00870384"/>
    <w:rsid w:val="0087498F"/>
    <w:rsid w:val="00876C1E"/>
    <w:rsid w:val="008776C9"/>
    <w:rsid w:val="00883E2F"/>
    <w:rsid w:val="00885558"/>
    <w:rsid w:val="00895B81"/>
    <w:rsid w:val="00895CA5"/>
    <w:rsid w:val="0089698A"/>
    <w:rsid w:val="008B7704"/>
    <w:rsid w:val="008C0491"/>
    <w:rsid w:val="008C28A5"/>
    <w:rsid w:val="008D1D31"/>
    <w:rsid w:val="008D5552"/>
    <w:rsid w:val="008D703D"/>
    <w:rsid w:val="008E79FD"/>
    <w:rsid w:val="008E7AEB"/>
    <w:rsid w:val="00905588"/>
    <w:rsid w:val="00911289"/>
    <w:rsid w:val="0091189D"/>
    <w:rsid w:val="009165B4"/>
    <w:rsid w:val="00921671"/>
    <w:rsid w:val="0092172E"/>
    <w:rsid w:val="00923166"/>
    <w:rsid w:val="009351FD"/>
    <w:rsid w:val="00943BDE"/>
    <w:rsid w:val="009502EA"/>
    <w:rsid w:val="00950768"/>
    <w:rsid w:val="00950A8F"/>
    <w:rsid w:val="00964247"/>
    <w:rsid w:val="009733F9"/>
    <w:rsid w:val="0098055C"/>
    <w:rsid w:val="00984DC1"/>
    <w:rsid w:val="00985567"/>
    <w:rsid w:val="0098589E"/>
    <w:rsid w:val="00986BAC"/>
    <w:rsid w:val="00990030"/>
    <w:rsid w:val="009A6BDF"/>
    <w:rsid w:val="009B658A"/>
    <w:rsid w:val="009B738F"/>
    <w:rsid w:val="009B7764"/>
    <w:rsid w:val="009C36DF"/>
    <w:rsid w:val="009D1945"/>
    <w:rsid w:val="009D1E3F"/>
    <w:rsid w:val="009D4DD6"/>
    <w:rsid w:val="009E23E1"/>
    <w:rsid w:val="009E26C4"/>
    <w:rsid w:val="009E37F5"/>
    <w:rsid w:val="009E566C"/>
    <w:rsid w:val="009F16AE"/>
    <w:rsid w:val="009F2385"/>
    <w:rsid w:val="009F374B"/>
    <w:rsid w:val="009F7369"/>
    <w:rsid w:val="00A01937"/>
    <w:rsid w:val="00A02061"/>
    <w:rsid w:val="00A03251"/>
    <w:rsid w:val="00A14B7D"/>
    <w:rsid w:val="00A16717"/>
    <w:rsid w:val="00A2192F"/>
    <w:rsid w:val="00A23C5C"/>
    <w:rsid w:val="00A248A0"/>
    <w:rsid w:val="00A26DBA"/>
    <w:rsid w:val="00A3013E"/>
    <w:rsid w:val="00A3481A"/>
    <w:rsid w:val="00A36D0F"/>
    <w:rsid w:val="00A44395"/>
    <w:rsid w:val="00A502A1"/>
    <w:rsid w:val="00A56528"/>
    <w:rsid w:val="00A60386"/>
    <w:rsid w:val="00A64D1F"/>
    <w:rsid w:val="00A67DEA"/>
    <w:rsid w:val="00A72230"/>
    <w:rsid w:val="00A73BD2"/>
    <w:rsid w:val="00A7536F"/>
    <w:rsid w:val="00A83E3A"/>
    <w:rsid w:val="00A8616E"/>
    <w:rsid w:val="00A94FA5"/>
    <w:rsid w:val="00A96A72"/>
    <w:rsid w:val="00A97593"/>
    <w:rsid w:val="00A975E9"/>
    <w:rsid w:val="00A97885"/>
    <w:rsid w:val="00AA2792"/>
    <w:rsid w:val="00AB3AA1"/>
    <w:rsid w:val="00AB42DC"/>
    <w:rsid w:val="00AB7182"/>
    <w:rsid w:val="00AB7B63"/>
    <w:rsid w:val="00AB7D14"/>
    <w:rsid w:val="00AC4140"/>
    <w:rsid w:val="00AC7B37"/>
    <w:rsid w:val="00AE513B"/>
    <w:rsid w:val="00AE60A9"/>
    <w:rsid w:val="00AE619B"/>
    <w:rsid w:val="00AE7372"/>
    <w:rsid w:val="00AF12BF"/>
    <w:rsid w:val="00AF1F7A"/>
    <w:rsid w:val="00B2166E"/>
    <w:rsid w:val="00B23D9A"/>
    <w:rsid w:val="00B24C8E"/>
    <w:rsid w:val="00B27DB9"/>
    <w:rsid w:val="00B3116E"/>
    <w:rsid w:val="00B343D6"/>
    <w:rsid w:val="00B370E3"/>
    <w:rsid w:val="00B418C4"/>
    <w:rsid w:val="00B4773D"/>
    <w:rsid w:val="00B52353"/>
    <w:rsid w:val="00B5295D"/>
    <w:rsid w:val="00B5484A"/>
    <w:rsid w:val="00B60BB4"/>
    <w:rsid w:val="00B611B8"/>
    <w:rsid w:val="00B61D8D"/>
    <w:rsid w:val="00B61F90"/>
    <w:rsid w:val="00B63457"/>
    <w:rsid w:val="00B6373B"/>
    <w:rsid w:val="00B63E3F"/>
    <w:rsid w:val="00B64235"/>
    <w:rsid w:val="00B67EF7"/>
    <w:rsid w:val="00B70A1D"/>
    <w:rsid w:val="00B71778"/>
    <w:rsid w:val="00B723B8"/>
    <w:rsid w:val="00B73DE9"/>
    <w:rsid w:val="00B76E4F"/>
    <w:rsid w:val="00B87D48"/>
    <w:rsid w:val="00B94704"/>
    <w:rsid w:val="00B95D61"/>
    <w:rsid w:val="00B96B2E"/>
    <w:rsid w:val="00B972BF"/>
    <w:rsid w:val="00BA4CE8"/>
    <w:rsid w:val="00BA6B56"/>
    <w:rsid w:val="00BA7B70"/>
    <w:rsid w:val="00BB5992"/>
    <w:rsid w:val="00BB6AAA"/>
    <w:rsid w:val="00BC4501"/>
    <w:rsid w:val="00BD52EF"/>
    <w:rsid w:val="00BE533D"/>
    <w:rsid w:val="00BE6C73"/>
    <w:rsid w:val="00BE7A96"/>
    <w:rsid w:val="00BF3C49"/>
    <w:rsid w:val="00BF5547"/>
    <w:rsid w:val="00BF6E28"/>
    <w:rsid w:val="00BF774D"/>
    <w:rsid w:val="00C036FC"/>
    <w:rsid w:val="00C03793"/>
    <w:rsid w:val="00C07C75"/>
    <w:rsid w:val="00C13C58"/>
    <w:rsid w:val="00C14C36"/>
    <w:rsid w:val="00C176BA"/>
    <w:rsid w:val="00C224F9"/>
    <w:rsid w:val="00C275D6"/>
    <w:rsid w:val="00C474B5"/>
    <w:rsid w:val="00C50F45"/>
    <w:rsid w:val="00C52D21"/>
    <w:rsid w:val="00C5323D"/>
    <w:rsid w:val="00C53AF6"/>
    <w:rsid w:val="00C53C64"/>
    <w:rsid w:val="00C543B5"/>
    <w:rsid w:val="00C55BBF"/>
    <w:rsid w:val="00C57B68"/>
    <w:rsid w:val="00C60358"/>
    <w:rsid w:val="00C707E6"/>
    <w:rsid w:val="00C7424E"/>
    <w:rsid w:val="00C744CC"/>
    <w:rsid w:val="00C864D0"/>
    <w:rsid w:val="00C94E75"/>
    <w:rsid w:val="00CA1BEB"/>
    <w:rsid w:val="00CA4611"/>
    <w:rsid w:val="00CB5D69"/>
    <w:rsid w:val="00CD1382"/>
    <w:rsid w:val="00CD27DB"/>
    <w:rsid w:val="00CE23B3"/>
    <w:rsid w:val="00CF088F"/>
    <w:rsid w:val="00CF2136"/>
    <w:rsid w:val="00D0031E"/>
    <w:rsid w:val="00D01535"/>
    <w:rsid w:val="00D01FF5"/>
    <w:rsid w:val="00D04A5A"/>
    <w:rsid w:val="00D11B1F"/>
    <w:rsid w:val="00D17433"/>
    <w:rsid w:val="00D26A72"/>
    <w:rsid w:val="00D321F8"/>
    <w:rsid w:val="00D32636"/>
    <w:rsid w:val="00D34603"/>
    <w:rsid w:val="00D4382A"/>
    <w:rsid w:val="00D5174B"/>
    <w:rsid w:val="00D522B9"/>
    <w:rsid w:val="00D52389"/>
    <w:rsid w:val="00D53C1E"/>
    <w:rsid w:val="00D54C88"/>
    <w:rsid w:val="00D550BA"/>
    <w:rsid w:val="00D55981"/>
    <w:rsid w:val="00D564B0"/>
    <w:rsid w:val="00D64482"/>
    <w:rsid w:val="00D665C6"/>
    <w:rsid w:val="00D66F7C"/>
    <w:rsid w:val="00D87967"/>
    <w:rsid w:val="00D91E86"/>
    <w:rsid w:val="00D9328D"/>
    <w:rsid w:val="00D94D8A"/>
    <w:rsid w:val="00D96517"/>
    <w:rsid w:val="00D97320"/>
    <w:rsid w:val="00DA09BB"/>
    <w:rsid w:val="00DB35C0"/>
    <w:rsid w:val="00DC00A7"/>
    <w:rsid w:val="00DC2BC9"/>
    <w:rsid w:val="00DC4880"/>
    <w:rsid w:val="00DD182B"/>
    <w:rsid w:val="00DD4A4C"/>
    <w:rsid w:val="00DD66C4"/>
    <w:rsid w:val="00DD6AC9"/>
    <w:rsid w:val="00DE03C6"/>
    <w:rsid w:val="00DE4695"/>
    <w:rsid w:val="00DE63BE"/>
    <w:rsid w:val="00DF0EB2"/>
    <w:rsid w:val="00DF51D8"/>
    <w:rsid w:val="00DF60C5"/>
    <w:rsid w:val="00DF645C"/>
    <w:rsid w:val="00E005D3"/>
    <w:rsid w:val="00E12997"/>
    <w:rsid w:val="00E16E28"/>
    <w:rsid w:val="00E17F9F"/>
    <w:rsid w:val="00E21124"/>
    <w:rsid w:val="00E25D1F"/>
    <w:rsid w:val="00E276BF"/>
    <w:rsid w:val="00E358FA"/>
    <w:rsid w:val="00E35E52"/>
    <w:rsid w:val="00E410E2"/>
    <w:rsid w:val="00E41384"/>
    <w:rsid w:val="00E431DC"/>
    <w:rsid w:val="00E50325"/>
    <w:rsid w:val="00E50B1D"/>
    <w:rsid w:val="00E52EF1"/>
    <w:rsid w:val="00E554C4"/>
    <w:rsid w:val="00E5596A"/>
    <w:rsid w:val="00E563E2"/>
    <w:rsid w:val="00E61531"/>
    <w:rsid w:val="00E62C9B"/>
    <w:rsid w:val="00E65967"/>
    <w:rsid w:val="00E7336D"/>
    <w:rsid w:val="00E73987"/>
    <w:rsid w:val="00E81680"/>
    <w:rsid w:val="00E8197E"/>
    <w:rsid w:val="00E85ECA"/>
    <w:rsid w:val="00E86CA5"/>
    <w:rsid w:val="00E86CF1"/>
    <w:rsid w:val="00E9711E"/>
    <w:rsid w:val="00E974C4"/>
    <w:rsid w:val="00E9782D"/>
    <w:rsid w:val="00EA5043"/>
    <w:rsid w:val="00EB0D3C"/>
    <w:rsid w:val="00EB10E1"/>
    <w:rsid w:val="00EB26E8"/>
    <w:rsid w:val="00EC55D1"/>
    <w:rsid w:val="00EC591F"/>
    <w:rsid w:val="00ED0738"/>
    <w:rsid w:val="00ED0B70"/>
    <w:rsid w:val="00ED11ED"/>
    <w:rsid w:val="00ED3E8C"/>
    <w:rsid w:val="00ED53EE"/>
    <w:rsid w:val="00ED6CFA"/>
    <w:rsid w:val="00EE2A88"/>
    <w:rsid w:val="00EE2CA3"/>
    <w:rsid w:val="00EE3509"/>
    <w:rsid w:val="00EE5075"/>
    <w:rsid w:val="00EF016B"/>
    <w:rsid w:val="00EF0B65"/>
    <w:rsid w:val="00EF7882"/>
    <w:rsid w:val="00F006E9"/>
    <w:rsid w:val="00F046E5"/>
    <w:rsid w:val="00F04710"/>
    <w:rsid w:val="00F117DE"/>
    <w:rsid w:val="00F2703E"/>
    <w:rsid w:val="00F27B45"/>
    <w:rsid w:val="00F32D2B"/>
    <w:rsid w:val="00F33D1B"/>
    <w:rsid w:val="00F40416"/>
    <w:rsid w:val="00F453EE"/>
    <w:rsid w:val="00F52BDC"/>
    <w:rsid w:val="00F67B8F"/>
    <w:rsid w:val="00F7191F"/>
    <w:rsid w:val="00F77D67"/>
    <w:rsid w:val="00F8305A"/>
    <w:rsid w:val="00F83423"/>
    <w:rsid w:val="00F84485"/>
    <w:rsid w:val="00F87927"/>
    <w:rsid w:val="00F94AE9"/>
    <w:rsid w:val="00FA0C07"/>
    <w:rsid w:val="00FA53F2"/>
    <w:rsid w:val="00FA6173"/>
    <w:rsid w:val="00FB0305"/>
    <w:rsid w:val="00FB0417"/>
    <w:rsid w:val="00FB2B41"/>
    <w:rsid w:val="00FB37DD"/>
    <w:rsid w:val="00FB7C24"/>
    <w:rsid w:val="00FC515A"/>
    <w:rsid w:val="00FC5DB9"/>
    <w:rsid w:val="00FD327E"/>
    <w:rsid w:val="00FD4791"/>
    <w:rsid w:val="00FD47C8"/>
    <w:rsid w:val="00FE357E"/>
    <w:rsid w:val="00FF005C"/>
    <w:rsid w:val="00FF67AC"/>
    <w:rsid w:val="00FF6C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8CA4AA-BF75-4518-94DC-ED309968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45"/>
    <w:pPr>
      <w:jc w:val="both"/>
    </w:pPr>
    <w:rPr>
      <w:lang w:val="en-GB"/>
    </w:rPr>
  </w:style>
  <w:style w:type="paragraph" w:styleId="Heading1">
    <w:name w:val="heading 1"/>
    <w:basedOn w:val="Normal"/>
    <w:next w:val="Normal"/>
    <w:link w:val="Heading1Char"/>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uiPriority w:val="9"/>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uiPriority w:val="9"/>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uiPriority w:val="9"/>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nhideWhenUsed/>
    <w:rsid w:val="00401B11"/>
    <w:pPr>
      <w:tabs>
        <w:tab w:val="center" w:pos="4819"/>
        <w:tab w:val="right" w:pos="9638"/>
      </w:tabs>
      <w:spacing w:after="0" w:line="240" w:lineRule="auto"/>
    </w:pPr>
  </w:style>
  <w:style w:type="character" w:customStyle="1" w:styleId="HeaderChar">
    <w:name w:val="Header Char"/>
    <w:basedOn w:val="DefaultParagraphFont"/>
    <w:link w:val="Header"/>
    <w:rsid w:val="00401B11"/>
    <w:rPr>
      <w:lang w:val="en-GB"/>
    </w:r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50F45"/>
    <w:pPr>
      <w:spacing w:after="200" w:line="240" w:lineRule="auto"/>
      <w:jc w:val="center"/>
    </w:pPr>
    <w:rPr>
      <w:iCs/>
      <w:color w:val="000000" w:themeColor="text1"/>
      <w:sz w:val="18"/>
      <w:szCs w:val="18"/>
    </w:rPr>
  </w:style>
  <w:style w:type="character" w:customStyle="1" w:styleId="CaptionChar">
    <w:name w:val="Caption Char"/>
    <w:basedOn w:val="DefaultParagraphFont"/>
    <w:link w:val="Caption"/>
    <w:uiPriority w:val="35"/>
    <w:rsid w:val="00CA1BEB"/>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pPr>
    <w:rPr>
      <w:b/>
    </w:rPr>
  </w:style>
  <w:style w:type="paragraph" w:styleId="TOC2">
    <w:name w:val="toc 2"/>
    <w:basedOn w:val="Normal"/>
    <w:next w:val="Normal"/>
    <w:autoRedefine/>
    <w:uiPriority w:val="39"/>
    <w:unhideWhenUsed/>
    <w:qFormat/>
    <w:rsid w:val="00A96A72"/>
    <w:pPr>
      <w:spacing w:after="100"/>
      <w:ind w:left="220"/>
    </w:pPr>
  </w:style>
  <w:style w:type="paragraph" w:styleId="TOC3">
    <w:name w:val="toc 3"/>
    <w:basedOn w:val="Normal"/>
    <w:next w:val="Normal"/>
    <w:autoRedefine/>
    <w:uiPriority w:val="39"/>
    <w:unhideWhenUsed/>
    <w:rsid w:val="00A96A72"/>
    <w:pPr>
      <w:spacing w:after="100"/>
      <w:ind w:left="440"/>
    </w:p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after="0"/>
    </w:p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style>
  <w:style w:type="paragraph" w:styleId="ListParagraph">
    <w:name w:val="List Paragraph"/>
    <w:basedOn w:val="Normal"/>
    <w:uiPriority w:val="34"/>
    <w:qFormat/>
    <w:rsid w:val="00C50F45"/>
    <w:pPr>
      <w:ind w:left="720"/>
      <w:contextualSpacing/>
    </w:p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line="240" w:lineRule="auto"/>
    </w:pPr>
    <w:rPr>
      <w:sz w:val="20"/>
      <w:szCs w:val="20"/>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rPr>
      <w:i/>
      <w:iCs/>
      <w:color w:val="000000" w:themeColor="text1"/>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ind w:left="2835"/>
      <w:jc w:val="left"/>
    </w:pPr>
    <w:rPr>
      <w:sz w:val="26"/>
      <w:lang w:val="it-IT"/>
    </w:rPr>
  </w:style>
  <w:style w:type="paragraph" w:styleId="EnvelopeReturn">
    <w:name w:val="envelope return"/>
    <w:basedOn w:val="Normal"/>
    <w:semiHidden/>
    <w:rsid w:val="00CA1BEB"/>
    <w:pPr>
      <w:jc w:val="left"/>
    </w:pPr>
    <w:rPr>
      <w:lang w:val="it-IT"/>
    </w:rPr>
  </w:style>
  <w:style w:type="paragraph" w:customStyle="1" w:styleId="ANNEX">
    <w:name w:val="ANNEX"/>
    <w:basedOn w:val="Normal"/>
    <w:next w:val="Normal"/>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jc w:val="left"/>
    </w:pPr>
    <w:rPr>
      <w:lang w:val="it-IT"/>
    </w:rPr>
  </w:style>
  <w:style w:type="paragraph" w:styleId="BodyText">
    <w:name w:val="Body Text"/>
    <w:basedOn w:val="Normal"/>
    <w:link w:val="BodyTextChar"/>
    <w:uiPriority w:val="99"/>
    <w:semiHidden/>
    <w:rsid w:val="00CA1BEB"/>
    <w:pPr>
      <w:spacing w:before="60" w:after="60" w:line="210" w:lineRule="atLeast"/>
      <w:jc w:val="left"/>
    </w:pPr>
    <w:rPr>
      <w:sz w:val="20"/>
      <w:lang w:val="it-IT"/>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jc w:val="left"/>
    </w:pPr>
    <w:rPr>
      <w:sz w:val="18"/>
      <w:lang w:val="it-IT"/>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jc w:val="left"/>
    </w:pPr>
    <w:rPr>
      <w:sz w:val="16"/>
      <w:lang w:val="it-IT"/>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jc w:val="left"/>
    </w:pPr>
    <w:rPr>
      <w:lang w:val="it-IT"/>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jc w:val="left"/>
    </w:pPr>
    <w:rPr>
      <w:lang w:val="it-IT"/>
    </w:rPr>
  </w:style>
  <w:style w:type="paragraph" w:customStyle="1" w:styleId="dl">
    <w:name w:val="dl"/>
    <w:basedOn w:val="Normal"/>
    <w:semiHidden/>
    <w:locked/>
    <w:rsid w:val="00CA1BEB"/>
    <w:pPr>
      <w:ind w:left="800" w:hanging="400"/>
      <w:jc w:val="left"/>
    </w:pPr>
    <w:rPr>
      <w:lang w:val="it-IT"/>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line="210" w:lineRule="atLeast"/>
      <w:jc w:val="left"/>
    </w:pPr>
    <w:rPr>
      <w:sz w:val="20"/>
      <w:lang w:val="it-IT"/>
    </w:rPr>
  </w:style>
  <w:style w:type="paragraph" w:styleId="DocumentMap">
    <w:name w:val="Document Map"/>
    <w:basedOn w:val="Normal"/>
    <w:link w:val="DocumentMapChar"/>
    <w:uiPriority w:val="99"/>
    <w:semiHidden/>
    <w:rsid w:val="00CA1BEB"/>
    <w:pPr>
      <w:shd w:val="clear" w:color="auto" w:fill="000080"/>
      <w:jc w:val="left"/>
    </w:pPr>
    <w:rPr>
      <w:lang w:val="it-IT"/>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jc w:val="left"/>
    </w:pPr>
    <w:rPr>
      <w:sz w:val="20"/>
      <w:lang w:val="it-IT"/>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jc w:val="left"/>
    </w:pPr>
    <w:rPr>
      <w:color w:val="0000FF"/>
      <w:lang w:val="it-IT"/>
    </w:rPr>
  </w:style>
  <w:style w:type="paragraph" w:customStyle="1" w:styleId="Formula">
    <w:name w:val="Formula"/>
    <w:basedOn w:val="Normal"/>
    <w:next w:val="Normal"/>
    <w:rsid w:val="00CA1BEB"/>
    <w:pPr>
      <w:tabs>
        <w:tab w:val="right" w:pos="9752"/>
      </w:tabs>
      <w:spacing w:after="220"/>
      <w:ind w:left="403"/>
      <w:jc w:val="left"/>
    </w:pPr>
    <w:rPr>
      <w:lang w:val="it-IT"/>
    </w:rPr>
  </w:style>
  <w:style w:type="paragraph" w:styleId="Closing">
    <w:name w:val="Closing"/>
    <w:basedOn w:val="Normal"/>
    <w:link w:val="ClosingChar"/>
    <w:semiHidden/>
    <w:rsid w:val="00CA1BEB"/>
    <w:pPr>
      <w:ind w:left="4252"/>
      <w:jc w:val="left"/>
    </w:pPr>
    <w:rPr>
      <w:lang w:val="it-IT"/>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after="0" w:line="210" w:lineRule="atLeast"/>
      <w:ind w:left="142" w:hanging="142"/>
      <w:jc w:val="left"/>
    </w:pPr>
    <w:rPr>
      <w:b/>
      <w:sz w:val="20"/>
      <w:lang w:val="it-IT"/>
    </w:rPr>
  </w:style>
  <w:style w:type="paragraph" w:styleId="Index2">
    <w:name w:val="index 2"/>
    <w:basedOn w:val="Normal"/>
    <w:next w:val="Normal"/>
    <w:autoRedefine/>
    <w:uiPriority w:val="99"/>
    <w:semiHidden/>
    <w:rsid w:val="00CA1BEB"/>
    <w:pPr>
      <w:spacing w:line="210" w:lineRule="atLeast"/>
      <w:ind w:left="600" w:hanging="200"/>
      <w:jc w:val="left"/>
    </w:pPr>
    <w:rPr>
      <w:b/>
      <w:sz w:val="20"/>
      <w:lang w:val="it-IT"/>
    </w:rPr>
  </w:style>
  <w:style w:type="paragraph" w:styleId="Index3">
    <w:name w:val="index 3"/>
    <w:basedOn w:val="Normal"/>
    <w:next w:val="Normal"/>
    <w:autoRedefine/>
    <w:uiPriority w:val="99"/>
    <w:semiHidden/>
    <w:rsid w:val="00CA1BEB"/>
    <w:pPr>
      <w:spacing w:line="220" w:lineRule="atLeast"/>
      <w:ind w:left="600" w:hanging="200"/>
      <w:jc w:val="left"/>
    </w:pPr>
    <w:rPr>
      <w:b/>
      <w:lang w:val="it-IT"/>
    </w:rPr>
  </w:style>
  <w:style w:type="paragraph" w:styleId="Index4">
    <w:name w:val="index 4"/>
    <w:basedOn w:val="Normal"/>
    <w:next w:val="Normal"/>
    <w:autoRedefine/>
    <w:uiPriority w:val="99"/>
    <w:semiHidden/>
    <w:rsid w:val="00CA1BEB"/>
    <w:pPr>
      <w:spacing w:line="220" w:lineRule="atLeast"/>
      <w:ind w:left="800" w:hanging="200"/>
      <w:jc w:val="left"/>
    </w:pPr>
    <w:rPr>
      <w:b/>
      <w:lang w:val="it-IT"/>
    </w:rPr>
  </w:style>
  <w:style w:type="paragraph" w:styleId="Index5">
    <w:name w:val="index 5"/>
    <w:basedOn w:val="Normal"/>
    <w:next w:val="Normal"/>
    <w:autoRedefine/>
    <w:uiPriority w:val="99"/>
    <w:semiHidden/>
    <w:rsid w:val="00CA1BEB"/>
    <w:pPr>
      <w:spacing w:line="220" w:lineRule="atLeast"/>
      <w:ind w:left="1000" w:hanging="200"/>
      <w:jc w:val="left"/>
    </w:pPr>
    <w:rPr>
      <w:b/>
      <w:lang w:val="it-IT"/>
    </w:rPr>
  </w:style>
  <w:style w:type="paragraph" w:styleId="Index6">
    <w:name w:val="index 6"/>
    <w:basedOn w:val="Normal"/>
    <w:next w:val="Normal"/>
    <w:autoRedefine/>
    <w:uiPriority w:val="99"/>
    <w:semiHidden/>
    <w:rsid w:val="00CA1BEB"/>
    <w:pPr>
      <w:spacing w:line="220" w:lineRule="atLeast"/>
      <w:ind w:left="1200" w:hanging="200"/>
      <w:jc w:val="left"/>
    </w:pPr>
    <w:rPr>
      <w:b/>
      <w:lang w:val="it-IT"/>
    </w:rPr>
  </w:style>
  <w:style w:type="paragraph" w:styleId="Index7">
    <w:name w:val="index 7"/>
    <w:basedOn w:val="Normal"/>
    <w:next w:val="Normal"/>
    <w:autoRedefine/>
    <w:uiPriority w:val="99"/>
    <w:semiHidden/>
    <w:rsid w:val="00CA1BEB"/>
    <w:pPr>
      <w:spacing w:line="220" w:lineRule="atLeast"/>
      <w:ind w:left="1400" w:hanging="200"/>
      <w:jc w:val="left"/>
    </w:pPr>
    <w:rPr>
      <w:b/>
      <w:lang w:val="it-IT"/>
    </w:rPr>
  </w:style>
  <w:style w:type="paragraph" w:styleId="Index8">
    <w:name w:val="index 8"/>
    <w:basedOn w:val="Normal"/>
    <w:next w:val="Normal"/>
    <w:autoRedefine/>
    <w:uiPriority w:val="99"/>
    <w:semiHidden/>
    <w:rsid w:val="00CA1BEB"/>
    <w:pPr>
      <w:spacing w:line="220" w:lineRule="atLeast"/>
      <w:ind w:left="1600" w:hanging="200"/>
      <w:jc w:val="left"/>
    </w:pPr>
    <w:rPr>
      <w:b/>
      <w:lang w:val="it-IT"/>
    </w:rPr>
  </w:style>
  <w:style w:type="paragraph" w:styleId="Index9">
    <w:name w:val="index 9"/>
    <w:basedOn w:val="Normal"/>
    <w:next w:val="Normal"/>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jc w:val="left"/>
    </w:pPr>
    <w:rPr>
      <w:b/>
      <w:sz w:val="30"/>
      <w:lang w:val="it-IT"/>
    </w:rPr>
  </w:style>
  <w:style w:type="paragraph" w:styleId="List">
    <w:name w:val="List"/>
    <w:basedOn w:val="Normal"/>
    <w:semiHidden/>
    <w:rsid w:val="00CA1BEB"/>
    <w:pPr>
      <w:ind w:left="283" w:hanging="283"/>
      <w:jc w:val="left"/>
    </w:pPr>
    <w:rPr>
      <w:lang w:val="it-IT"/>
    </w:rPr>
  </w:style>
  <w:style w:type="paragraph" w:styleId="List2">
    <w:name w:val="List 2"/>
    <w:basedOn w:val="Normal"/>
    <w:semiHidden/>
    <w:rsid w:val="00CA1BEB"/>
    <w:pPr>
      <w:ind w:left="566" w:hanging="283"/>
      <w:jc w:val="left"/>
    </w:pPr>
    <w:rPr>
      <w:lang w:val="it-IT"/>
    </w:rPr>
  </w:style>
  <w:style w:type="paragraph" w:styleId="List3">
    <w:name w:val="List 3"/>
    <w:basedOn w:val="Normal"/>
    <w:semiHidden/>
    <w:rsid w:val="00CA1BEB"/>
    <w:pPr>
      <w:ind w:left="849" w:hanging="283"/>
      <w:jc w:val="left"/>
    </w:pPr>
    <w:rPr>
      <w:lang w:val="it-IT"/>
    </w:rPr>
  </w:style>
  <w:style w:type="paragraph" w:styleId="List4">
    <w:name w:val="List 4"/>
    <w:basedOn w:val="Normal"/>
    <w:semiHidden/>
    <w:rsid w:val="00CA1BEB"/>
    <w:pPr>
      <w:ind w:left="1132" w:hanging="283"/>
      <w:jc w:val="left"/>
    </w:pPr>
    <w:rPr>
      <w:lang w:val="it-IT"/>
    </w:rPr>
  </w:style>
  <w:style w:type="paragraph" w:styleId="List5">
    <w:name w:val="List 5"/>
    <w:basedOn w:val="Normal"/>
    <w:semiHidden/>
    <w:rsid w:val="00CA1BEB"/>
    <w:pPr>
      <w:ind w:left="1415" w:hanging="283"/>
      <w:jc w:val="left"/>
    </w:pPr>
    <w:rPr>
      <w:lang w:val="it-IT"/>
    </w:rPr>
  </w:style>
  <w:style w:type="paragraph" w:styleId="ListNumber">
    <w:name w:val="List Number"/>
    <w:basedOn w:val="Normal"/>
    <w:uiPriority w:val="99"/>
    <w:rsid w:val="00CA1BEB"/>
    <w:pPr>
      <w:numPr>
        <w:numId w:val="4"/>
      </w:numPr>
      <w:tabs>
        <w:tab w:val="left" w:pos="400"/>
      </w:tabs>
      <w:spacing w:after="0"/>
      <w:ind w:left="403" w:hanging="403"/>
      <w:jc w:val="left"/>
    </w:pPr>
    <w:rPr>
      <w:lang w:val="it-IT"/>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jc w:val="left"/>
    </w:pPr>
    <w:rPr>
      <w:lang w:val="it-IT"/>
    </w:rPr>
  </w:style>
  <w:style w:type="paragraph" w:styleId="ListBullet2">
    <w:name w:val="List Bullet 2"/>
    <w:basedOn w:val="Normal"/>
    <w:autoRedefine/>
    <w:semiHidden/>
    <w:rsid w:val="00CA1BEB"/>
    <w:pPr>
      <w:numPr>
        <w:numId w:val="7"/>
      </w:numPr>
      <w:jc w:val="left"/>
    </w:pPr>
    <w:rPr>
      <w:lang w:val="it-IT"/>
    </w:rPr>
  </w:style>
  <w:style w:type="paragraph" w:styleId="ListBullet3">
    <w:name w:val="List Bullet 3"/>
    <w:basedOn w:val="Normal"/>
    <w:autoRedefine/>
    <w:semiHidden/>
    <w:rsid w:val="00CA1BEB"/>
    <w:pPr>
      <w:numPr>
        <w:numId w:val="8"/>
      </w:numPr>
      <w:jc w:val="left"/>
    </w:pPr>
    <w:rPr>
      <w:lang w:val="it-IT"/>
    </w:rPr>
  </w:style>
  <w:style w:type="paragraph" w:styleId="ListBullet4">
    <w:name w:val="List Bullet 4"/>
    <w:basedOn w:val="Normal"/>
    <w:autoRedefine/>
    <w:semiHidden/>
    <w:rsid w:val="00CA1BEB"/>
    <w:pPr>
      <w:numPr>
        <w:numId w:val="9"/>
      </w:numPr>
      <w:jc w:val="left"/>
    </w:pPr>
    <w:rPr>
      <w:lang w:val="it-IT"/>
    </w:rPr>
  </w:style>
  <w:style w:type="paragraph" w:styleId="ListBullet5">
    <w:name w:val="List Bullet 5"/>
    <w:basedOn w:val="Normal"/>
    <w:autoRedefine/>
    <w:semiHidden/>
    <w:rsid w:val="00CA1BEB"/>
    <w:pPr>
      <w:numPr>
        <w:numId w:val="10"/>
      </w:numPr>
      <w:jc w:val="left"/>
    </w:pPr>
    <w:rPr>
      <w:lang w:val="it-IT"/>
    </w:rPr>
  </w:style>
  <w:style w:type="paragraph" w:styleId="ListContinue">
    <w:name w:val="List Continue"/>
    <w:basedOn w:val="Normal"/>
    <w:uiPriority w:val="99"/>
    <w:qFormat/>
    <w:rsid w:val="00CA1BEB"/>
    <w:pPr>
      <w:numPr>
        <w:numId w:val="11"/>
      </w:numPr>
      <w:tabs>
        <w:tab w:val="left" w:pos="400"/>
      </w:tabs>
      <w:spacing w:after="0"/>
      <w:ind w:left="403" w:hanging="403"/>
      <w:jc w:val="left"/>
    </w:pPr>
    <w:rPr>
      <w:lang w:val="it-IT"/>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ind w:left="1950" w:hanging="357"/>
      <w:jc w:val="left"/>
    </w:pPr>
    <w:rPr>
      <w:lang w:val="it-IT"/>
    </w:rPr>
  </w:style>
  <w:style w:type="paragraph" w:customStyle="1" w:styleId="MSDNFR">
    <w:name w:val="MSDNFR"/>
    <w:basedOn w:val="Normal"/>
    <w:next w:val="Normal"/>
    <w:semiHidden/>
    <w:locked/>
    <w:rsid w:val="00CA1BEB"/>
    <w:pPr>
      <w:spacing w:line="220" w:lineRule="atLeast"/>
      <w:jc w:val="left"/>
    </w:pPr>
    <w:rPr>
      <w:color w:val="0000FF"/>
      <w:lang w:val="it-IT"/>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ind w:left="1440" w:right="1440"/>
      <w:jc w:val="left"/>
    </w:pPr>
    <w:rPr>
      <w:lang w:val="it-IT"/>
    </w:rPr>
  </w:style>
  <w:style w:type="paragraph" w:customStyle="1" w:styleId="Note">
    <w:name w:val="Note"/>
    <w:basedOn w:val="Normal"/>
    <w:next w:val="Normal"/>
    <w:rsid w:val="00CA1BEB"/>
    <w:pPr>
      <w:tabs>
        <w:tab w:val="left" w:pos="960"/>
      </w:tabs>
      <w:spacing w:line="210" w:lineRule="atLeast"/>
      <w:jc w:val="left"/>
    </w:pPr>
    <w:rPr>
      <w:sz w:val="20"/>
      <w:lang w:val="it-IT"/>
    </w:rPr>
  </w:style>
  <w:style w:type="paragraph" w:styleId="FootnoteText">
    <w:name w:val="footnote text"/>
    <w:basedOn w:val="Normal"/>
    <w:link w:val="FootnoteTextChar"/>
    <w:uiPriority w:val="99"/>
    <w:rsid w:val="00CA1BEB"/>
    <w:pPr>
      <w:tabs>
        <w:tab w:val="left" w:pos="340"/>
      </w:tabs>
      <w:spacing w:after="120" w:line="210" w:lineRule="atLeast"/>
      <w:jc w:val="left"/>
    </w:pPr>
    <w:rPr>
      <w:sz w:val="20"/>
      <w:lang w:val="it-IT"/>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jc w:val="left"/>
    </w:pPr>
    <w:rPr>
      <w:lang w:val="it-IT"/>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jc w:val="left"/>
    </w:pPr>
    <w:rPr>
      <w:lang w:val="it-IT"/>
    </w:rPr>
  </w:style>
  <w:style w:type="paragraph" w:customStyle="1" w:styleId="p3">
    <w:name w:val="p3"/>
    <w:basedOn w:val="Normal"/>
    <w:next w:val="Normal"/>
    <w:semiHidden/>
    <w:locked/>
    <w:rsid w:val="00CA1BEB"/>
    <w:pPr>
      <w:tabs>
        <w:tab w:val="left" w:pos="658"/>
      </w:tabs>
      <w:jc w:val="left"/>
    </w:pPr>
    <w:rPr>
      <w:lang w:val="it-IT"/>
    </w:rPr>
  </w:style>
  <w:style w:type="paragraph" w:customStyle="1" w:styleId="p4">
    <w:name w:val="p4"/>
    <w:basedOn w:val="Normal"/>
    <w:next w:val="Normal"/>
    <w:semiHidden/>
    <w:locked/>
    <w:rsid w:val="00CA1BEB"/>
    <w:pPr>
      <w:tabs>
        <w:tab w:val="left" w:pos="941"/>
      </w:tabs>
      <w:jc w:val="left"/>
    </w:pPr>
    <w:rPr>
      <w:lang w:val="it-IT"/>
    </w:rPr>
  </w:style>
  <w:style w:type="paragraph" w:customStyle="1" w:styleId="p5">
    <w:name w:val="p5"/>
    <w:basedOn w:val="Normal"/>
    <w:next w:val="Normal"/>
    <w:semiHidden/>
    <w:locked/>
    <w:rsid w:val="00CA1BEB"/>
    <w:pPr>
      <w:tabs>
        <w:tab w:val="left" w:pos="1077"/>
      </w:tabs>
      <w:jc w:val="left"/>
    </w:pPr>
    <w:rPr>
      <w:lang w:val="it-IT"/>
    </w:rPr>
  </w:style>
  <w:style w:type="paragraph" w:customStyle="1" w:styleId="p6">
    <w:name w:val="p6"/>
    <w:basedOn w:val="Normal"/>
    <w:next w:val="Normal"/>
    <w:semiHidden/>
    <w:locked/>
    <w:rsid w:val="00CA1BEB"/>
    <w:pPr>
      <w:tabs>
        <w:tab w:val="left" w:pos="1191"/>
      </w:tabs>
      <w:jc w:val="left"/>
    </w:pPr>
    <w:rPr>
      <w:lang w:val="it-IT"/>
    </w:rPr>
  </w:style>
  <w:style w:type="paragraph" w:customStyle="1" w:styleId="RefNorm">
    <w:name w:val="RefNorm"/>
    <w:basedOn w:val="Normal"/>
    <w:next w:val="Normal"/>
    <w:locked/>
    <w:rsid w:val="00CA1BEB"/>
    <w:pPr>
      <w:jc w:val="left"/>
    </w:pPr>
    <w:rPr>
      <w:lang w:val="it-IT"/>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ind w:left="283"/>
      <w:jc w:val="left"/>
    </w:pPr>
    <w:rPr>
      <w:lang w:val="it-IT"/>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jc w:val="left"/>
    </w:pPr>
    <w:rPr>
      <w:lang w:val="it-IT"/>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ind w:left="283"/>
      <w:jc w:val="left"/>
    </w:pPr>
    <w:rPr>
      <w:sz w:val="18"/>
      <w:lang w:val="it-IT"/>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ind w:firstLine="210"/>
      <w:jc w:val="left"/>
    </w:pPr>
    <w:rPr>
      <w:lang w:val="it-IT"/>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ind w:left="708"/>
      <w:jc w:val="left"/>
    </w:pPr>
    <w:rPr>
      <w:lang w:val="it-IT"/>
    </w:rPr>
  </w:style>
  <w:style w:type="paragraph" w:styleId="Salutation">
    <w:name w:val="Salutation"/>
    <w:basedOn w:val="Normal"/>
    <w:next w:val="Normal"/>
    <w:link w:val="SalutationChar"/>
    <w:semiHidden/>
    <w:rsid w:val="00CA1BEB"/>
    <w:pPr>
      <w:jc w:val="left"/>
    </w:pPr>
    <w:rPr>
      <w:lang w:val="it-IT"/>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ind w:left="4252"/>
      <w:jc w:val="left"/>
    </w:pPr>
    <w:rPr>
      <w:lang w:val="it-IT"/>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jc w:val="left"/>
    </w:pPr>
    <w:rPr>
      <w:lang w:val="it-IT"/>
    </w:rPr>
  </w:style>
  <w:style w:type="paragraph" w:styleId="TableofAuthorities">
    <w:name w:val="table of authorities"/>
    <w:basedOn w:val="Normal"/>
    <w:next w:val="Normal"/>
    <w:uiPriority w:val="99"/>
    <w:semiHidden/>
    <w:rsid w:val="00CA1BEB"/>
    <w:pPr>
      <w:ind w:left="200" w:hanging="200"/>
      <w:jc w:val="left"/>
    </w:pPr>
    <w:rPr>
      <w:lang w:val="it-IT"/>
    </w:rPr>
  </w:style>
  <w:style w:type="paragraph" w:customStyle="1" w:styleId="Tablefootnote">
    <w:name w:val="Table footnote"/>
    <w:basedOn w:val="Normal"/>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after="0"/>
      <w:jc w:val="left"/>
    </w:pPr>
    <w:rPr>
      <w:b/>
      <w:lang w:val="it-IT"/>
    </w:rPr>
  </w:style>
  <w:style w:type="paragraph" w:customStyle="1" w:styleId="TermNum">
    <w:name w:val="TermNum"/>
    <w:basedOn w:val="Normal"/>
    <w:next w:val="Terms"/>
    <w:rsid w:val="00CA1BEB"/>
    <w:pPr>
      <w:keepNext/>
      <w:numPr>
        <w:numId w:val="15"/>
      </w:numPr>
      <w:spacing w:after="0"/>
      <w:jc w:val="left"/>
    </w:pPr>
    <w:rPr>
      <w:b/>
      <w:lang w:val="it-IT"/>
    </w:rPr>
  </w:style>
  <w:style w:type="paragraph" w:styleId="PlainText">
    <w:name w:val="Plain Text"/>
    <w:basedOn w:val="Normal"/>
    <w:link w:val="PlainTextChar"/>
    <w:semiHidden/>
    <w:rsid w:val="00CA1BEB"/>
    <w:pPr>
      <w:jc w:val="left"/>
    </w:pPr>
    <w:rPr>
      <w:rFonts w:ascii="Courier New" w:hAnsi="Courier New"/>
      <w:lang w:val="it-IT"/>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jc w:val="left"/>
    </w:pPr>
    <w:rPr>
      <w:lang w:val="it-IT"/>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jc w:val="center"/>
    </w:pPr>
    <w:rPr>
      <w:lang w:val="it-IT"/>
    </w:rPr>
  </w:style>
  <w:style w:type="paragraph" w:styleId="TOAHeading">
    <w:name w:val="toa heading"/>
    <w:basedOn w:val="Normal"/>
    <w:next w:val="Normal"/>
    <w:uiPriority w:val="99"/>
    <w:semiHidden/>
    <w:rsid w:val="00CA1BEB"/>
    <w:pPr>
      <w:spacing w:before="120"/>
      <w:jc w:val="left"/>
    </w:pPr>
    <w:rPr>
      <w:b/>
      <w:sz w:val="26"/>
      <w:lang w:val="it-IT"/>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
    <w:semiHidden/>
    <w:locked/>
    <w:rsid w:val="00CA1BEB"/>
    <w:pPr>
      <w:spacing w:after="220"/>
      <w:jc w:val="right"/>
    </w:pPr>
    <w:rPr>
      <w:b/>
      <w:color w:val="000000"/>
      <w:sz w:val="26"/>
      <w:lang w:val="it-IT"/>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jc w:val="left"/>
    </w:pPr>
    <w:rPr>
      <w:color w:val="008000"/>
      <w:lang w:val="it-IT"/>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jc w:val="left"/>
    </w:pPr>
    <w:rPr>
      <w:lang w:val="it-IT"/>
    </w:rPr>
  </w:style>
  <w:style w:type="paragraph" w:customStyle="1" w:styleId="zzLc6">
    <w:name w:val="zzLc6"/>
    <w:basedOn w:val="Normal"/>
    <w:next w:val="Normal"/>
    <w:semiHidden/>
    <w:locked/>
    <w:rsid w:val="00CA1BEB"/>
    <w:pPr>
      <w:jc w:val="left"/>
    </w:pPr>
    <w:rPr>
      <w:lang w:val="it-IT"/>
    </w:rPr>
  </w:style>
  <w:style w:type="paragraph" w:customStyle="1" w:styleId="zzLn5">
    <w:name w:val="zzLn5"/>
    <w:basedOn w:val="Normal"/>
    <w:next w:val="Normal"/>
    <w:semiHidden/>
    <w:locked/>
    <w:rsid w:val="00CA1BEB"/>
    <w:pPr>
      <w:jc w:val="left"/>
    </w:pPr>
    <w:rPr>
      <w:lang w:val="it-IT"/>
    </w:rPr>
  </w:style>
  <w:style w:type="paragraph" w:customStyle="1" w:styleId="zzLn6">
    <w:name w:val="zzLn6"/>
    <w:basedOn w:val="Normal"/>
    <w:next w:val="Normal"/>
    <w:semiHidden/>
    <w:locked/>
    <w:rsid w:val="00CA1BEB"/>
    <w:pPr>
      <w:jc w:val="left"/>
    </w:pPr>
    <w:rPr>
      <w:lang w:val="it-IT"/>
    </w:rPr>
  </w:style>
  <w:style w:type="paragraph" w:customStyle="1" w:styleId="zzSTDTitle">
    <w:name w:val="zzSTDTitle"/>
    <w:basedOn w:val="Normal"/>
    <w:next w:val="Normal"/>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jc w:val="left"/>
    </w:pPr>
    <w:rPr>
      <w:color w:val="0000FF"/>
      <w:lang w:val="it-IT"/>
    </w:rPr>
  </w:style>
  <w:style w:type="paragraph" w:customStyle="1" w:styleId="titreannexe">
    <w:name w:val="titre annexe"/>
    <w:basedOn w:val="Normal"/>
    <w:semiHidden/>
    <w:locked/>
    <w:rsid w:val="00CA1BEB"/>
    <w:pPr>
      <w:jc w:val="center"/>
    </w:pPr>
    <w:rPr>
      <w:rFonts w:eastAsia="Cambria"/>
      <w:b/>
      <w:sz w:val="26"/>
      <w:lang w:val="it-IT"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after="0"/>
      <w:jc w:val="left"/>
    </w:pPr>
    <w:rPr>
      <w:lang w:val="it-IT"/>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after="0"/>
      <w:jc w:val="left"/>
    </w:pPr>
    <w:rPr>
      <w:i/>
      <w:iCs/>
      <w:lang w:val="it-IT"/>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line="240" w:lineRule="atLeast"/>
      <w:jc w:val="left"/>
    </w:pPr>
    <w:rPr>
      <w:rFonts w:eastAsia="Calibri" w:cs="Times New Roman"/>
      <w:szCs w:val="23"/>
      <w:lang w:val="it-IT"/>
    </w:rPr>
  </w:style>
  <w:style w:type="paragraph" w:customStyle="1" w:styleId="ForewordTitle">
    <w:name w:val="Foreword Title"/>
    <w:basedOn w:val="Normal"/>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rPr>
      <w:sz w:val="20"/>
      <w:lang w:val="it-IT"/>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2886624">
      <w:bodyDiv w:val="1"/>
      <w:marLeft w:val="0"/>
      <w:marRight w:val="0"/>
      <w:marTop w:val="0"/>
      <w:marBottom w:val="0"/>
      <w:divBdr>
        <w:top w:val="none" w:sz="0" w:space="0" w:color="auto"/>
        <w:left w:val="none" w:sz="0" w:space="0" w:color="auto"/>
        <w:bottom w:val="none" w:sz="0" w:space="0" w:color="auto"/>
        <w:right w:val="none" w:sz="0" w:space="0" w:color="auto"/>
      </w:divBdr>
      <w:divsChild>
        <w:div w:id="1837067714">
          <w:marLeft w:val="605"/>
          <w:marRight w:val="0"/>
          <w:marTop w:val="40"/>
          <w:marBottom w:val="80"/>
          <w:divBdr>
            <w:top w:val="none" w:sz="0" w:space="0" w:color="auto"/>
            <w:left w:val="none" w:sz="0" w:space="0" w:color="auto"/>
            <w:bottom w:val="none" w:sz="0" w:space="0" w:color="auto"/>
            <w:right w:val="none" w:sz="0" w:space="0" w:color="auto"/>
          </w:divBdr>
        </w:div>
        <w:div w:id="1858226415">
          <w:marLeft w:val="893"/>
          <w:marRight w:val="0"/>
          <w:marTop w:val="40"/>
          <w:marBottom w:val="80"/>
          <w:divBdr>
            <w:top w:val="none" w:sz="0" w:space="0" w:color="auto"/>
            <w:left w:val="none" w:sz="0" w:space="0" w:color="auto"/>
            <w:bottom w:val="none" w:sz="0" w:space="0" w:color="auto"/>
            <w:right w:val="none" w:sz="0" w:space="0" w:color="auto"/>
          </w:divBdr>
        </w:div>
        <w:div w:id="1116800860">
          <w:marLeft w:val="605"/>
          <w:marRight w:val="0"/>
          <w:marTop w:val="40"/>
          <w:marBottom w:val="80"/>
          <w:divBdr>
            <w:top w:val="none" w:sz="0" w:space="0" w:color="auto"/>
            <w:left w:val="none" w:sz="0" w:space="0" w:color="auto"/>
            <w:bottom w:val="none" w:sz="0" w:space="0" w:color="auto"/>
            <w:right w:val="none" w:sz="0" w:space="0" w:color="auto"/>
          </w:divBdr>
        </w:div>
        <w:div w:id="123161872">
          <w:marLeft w:val="893"/>
          <w:marRight w:val="0"/>
          <w:marTop w:val="40"/>
          <w:marBottom w:val="80"/>
          <w:divBdr>
            <w:top w:val="none" w:sz="0" w:space="0" w:color="auto"/>
            <w:left w:val="none" w:sz="0" w:space="0" w:color="auto"/>
            <w:bottom w:val="none" w:sz="0" w:space="0" w:color="auto"/>
            <w:right w:val="none" w:sz="0" w:space="0" w:color="auto"/>
          </w:divBdr>
        </w:div>
      </w:divsChild>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04175484">
      <w:bodyDiv w:val="1"/>
      <w:marLeft w:val="0"/>
      <w:marRight w:val="0"/>
      <w:marTop w:val="0"/>
      <w:marBottom w:val="0"/>
      <w:divBdr>
        <w:top w:val="none" w:sz="0" w:space="0" w:color="auto"/>
        <w:left w:val="none" w:sz="0" w:space="0" w:color="auto"/>
        <w:bottom w:val="none" w:sz="0" w:space="0" w:color="auto"/>
        <w:right w:val="none" w:sz="0" w:space="0" w:color="auto"/>
      </w:divBdr>
      <w:divsChild>
        <w:div w:id="1489052086">
          <w:marLeft w:val="144"/>
          <w:marRight w:val="0"/>
          <w:marTop w:val="240"/>
          <w:marBottom w:val="40"/>
          <w:divBdr>
            <w:top w:val="none" w:sz="0" w:space="0" w:color="auto"/>
            <w:left w:val="none" w:sz="0" w:space="0" w:color="auto"/>
            <w:bottom w:val="none" w:sz="0" w:space="0" w:color="auto"/>
            <w:right w:val="none" w:sz="0" w:space="0" w:color="auto"/>
          </w:divBdr>
        </w:div>
        <w:div w:id="153760576">
          <w:marLeft w:val="605"/>
          <w:marRight w:val="0"/>
          <w:marTop w:val="40"/>
          <w:marBottom w:val="80"/>
          <w:divBdr>
            <w:top w:val="none" w:sz="0" w:space="0" w:color="auto"/>
            <w:left w:val="none" w:sz="0" w:space="0" w:color="auto"/>
            <w:bottom w:val="none" w:sz="0" w:space="0" w:color="auto"/>
            <w:right w:val="none" w:sz="0" w:space="0" w:color="auto"/>
          </w:divBdr>
        </w:div>
        <w:div w:id="199822134">
          <w:marLeft w:val="605"/>
          <w:marRight w:val="0"/>
          <w:marTop w:val="40"/>
          <w:marBottom w:val="80"/>
          <w:divBdr>
            <w:top w:val="none" w:sz="0" w:space="0" w:color="auto"/>
            <w:left w:val="none" w:sz="0" w:space="0" w:color="auto"/>
            <w:bottom w:val="none" w:sz="0" w:space="0" w:color="auto"/>
            <w:right w:val="none" w:sz="0" w:space="0" w:color="auto"/>
          </w:divBdr>
        </w:div>
      </w:divsChild>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159994">
      <w:bodyDiv w:val="1"/>
      <w:marLeft w:val="0"/>
      <w:marRight w:val="0"/>
      <w:marTop w:val="0"/>
      <w:marBottom w:val="0"/>
      <w:divBdr>
        <w:top w:val="none" w:sz="0" w:space="0" w:color="auto"/>
        <w:left w:val="none" w:sz="0" w:space="0" w:color="auto"/>
        <w:bottom w:val="none" w:sz="0" w:space="0" w:color="auto"/>
        <w:right w:val="none" w:sz="0" w:space="0" w:color="auto"/>
      </w:divBdr>
      <w:divsChild>
        <w:div w:id="1645427216">
          <w:marLeft w:val="605"/>
          <w:marRight w:val="0"/>
          <w:marTop w:val="40"/>
          <w:marBottom w:val="80"/>
          <w:divBdr>
            <w:top w:val="none" w:sz="0" w:space="0" w:color="auto"/>
            <w:left w:val="none" w:sz="0" w:space="0" w:color="auto"/>
            <w:bottom w:val="none" w:sz="0" w:space="0" w:color="auto"/>
            <w:right w:val="none" w:sz="0" w:space="0" w:color="auto"/>
          </w:divBdr>
        </w:div>
        <w:div w:id="810442215">
          <w:marLeft w:val="893"/>
          <w:marRight w:val="0"/>
          <w:marTop w:val="40"/>
          <w:marBottom w:val="80"/>
          <w:divBdr>
            <w:top w:val="none" w:sz="0" w:space="0" w:color="auto"/>
            <w:left w:val="none" w:sz="0" w:space="0" w:color="auto"/>
            <w:bottom w:val="none" w:sz="0" w:space="0" w:color="auto"/>
            <w:right w:val="none" w:sz="0" w:space="0" w:color="auto"/>
          </w:divBdr>
        </w:div>
        <w:div w:id="418452279">
          <w:marLeft w:val="605"/>
          <w:marRight w:val="0"/>
          <w:marTop w:val="40"/>
          <w:marBottom w:val="80"/>
          <w:divBdr>
            <w:top w:val="none" w:sz="0" w:space="0" w:color="auto"/>
            <w:left w:val="none" w:sz="0" w:space="0" w:color="auto"/>
            <w:bottom w:val="none" w:sz="0" w:space="0" w:color="auto"/>
            <w:right w:val="none" w:sz="0" w:space="0" w:color="auto"/>
          </w:divBdr>
        </w:div>
        <w:div w:id="570585063">
          <w:marLeft w:val="893"/>
          <w:marRight w:val="0"/>
          <w:marTop w:val="40"/>
          <w:marBottom w:val="80"/>
          <w:divBdr>
            <w:top w:val="none" w:sz="0" w:space="0" w:color="auto"/>
            <w:left w:val="none" w:sz="0" w:space="0" w:color="auto"/>
            <w:bottom w:val="none" w:sz="0" w:space="0" w:color="auto"/>
            <w:right w:val="none" w:sz="0" w:space="0" w:color="auto"/>
          </w:divBdr>
        </w:div>
      </w:divsChild>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growth/tools-databases/ecerti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spd.github.io/ESPD-ED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europa.eu/tools/esp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641EBE18-17B6-407A-8067-F901DCD6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18</Pages>
  <Words>4172</Words>
  <Characters>23783</Characters>
  <Application>Microsoft Office Word</Application>
  <DocSecurity>0</DocSecurity>
  <Lines>198</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eProcurement platform analysis, guideline &amp; design document</vt:lpstr>
      <vt:lpstr>Gap Analysis Document</vt:lpstr>
    </vt:vector>
  </TitlesOfParts>
  <Company>Telecom Italia S.p.A.</Company>
  <LinksUpToDate>false</LinksUpToDate>
  <CharactersWithSpaces>27900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eProcurement platform analysis, guideline &amp; design document</dc:title>
  <dc:creator>D'Alessio, Pierluigi (IT - Milano)</dc:creator>
  <cp:lastModifiedBy>D'Alessio, Pierluigi (IT - Milano)</cp:lastModifiedBy>
  <cp:revision>13</cp:revision>
  <dcterms:created xsi:type="dcterms:W3CDTF">2017-07-27T12:25:00Z</dcterms:created>
  <dcterms:modified xsi:type="dcterms:W3CDTF">2017-07-31T13:30:00Z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