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A4C47" w14:textId="77777777" w:rsidR="00AD4481" w:rsidRDefault="00AD4481"/>
    <w:p w14:paraId="426CFF1C" w14:textId="77777777" w:rsidR="00AD4481" w:rsidRDefault="00384D03">
      <w:pPr>
        <w:jc w:val="right"/>
      </w:pPr>
      <w:r>
        <w:rPr>
          <w:lang w:val="en-GB"/>
        </w:rPr>
        <w:drawing>
          <wp:inline distT="0" distB="0" distL="0" distR="0" wp14:anchorId="22A94241" wp14:editId="525F7C06">
            <wp:extent cx="2595957" cy="549621"/>
            <wp:effectExtent l="0" t="0" r="0" b="0"/>
            <wp:docPr id="1258111217" name="image3.png" descr="AGID - Agenzia per l'Italia Digitale"/>
            <wp:cNvGraphicFramePr/>
            <a:graphic xmlns:a="http://schemas.openxmlformats.org/drawingml/2006/main">
              <a:graphicData uri="http://schemas.openxmlformats.org/drawingml/2006/picture">
                <pic:pic xmlns:pic="http://schemas.openxmlformats.org/drawingml/2006/picture">
                  <pic:nvPicPr>
                    <pic:cNvPr id="0" name="image3.png" descr="AGID - Agenzia per l'Italia Digitale"/>
                    <pic:cNvPicPr preferRelativeResize="0"/>
                  </pic:nvPicPr>
                  <pic:blipFill>
                    <a:blip r:embed="rId8"/>
                    <a:srcRect/>
                    <a:stretch>
                      <a:fillRect/>
                    </a:stretch>
                  </pic:blipFill>
                  <pic:spPr>
                    <a:xfrm>
                      <a:off x="0" y="0"/>
                      <a:ext cx="2595957" cy="549621"/>
                    </a:xfrm>
                    <a:prstGeom prst="rect">
                      <a:avLst/>
                    </a:prstGeom>
                    <a:ln/>
                  </pic:spPr>
                </pic:pic>
              </a:graphicData>
            </a:graphic>
          </wp:inline>
        </w:drawing>
      </w:r>
    </w:p>
    <w:p w14:paraId="6A839B4D" w14:textId="77777777" w:rsidR="00AD4481" w:rsidRDefault="00384D03">
      <w:pPr>
        <w:pBdr>
          <w:top w:val="nil"/>
          <w:left w:val="nil"/>
          <w:bottom w:val="nil"/>
          <w:right w:val="nil"/>
          <w:between w:val="nil"/>
        </w:pBdr>
        <w:spacing w:before="1920" w:after="180" w:line="240" w:lineRule="auto"/>
        <w:ind w:firstLine="0"/>
        <w:jc w:val="both"/>
        <w:rPr>
          <w:rFonts w:ascii="Titillium" w:eastAsia="Titillium" w:hAnsi="Titillium" w:cs="Titillium"/>
          <w:b/>
          <w:smallCaps/>
          <w:color w:val="961E5A"/>
        </w:rPr>
      </w:pPr>
      <w:r>
        <w:rPr>
          <w:rFonts w:ascii="Titillium" w:eastAsia="Titillium" w:hAnsi="Titillium" w:cs="Titillium"/>
          <w:b/>
          <w:smallCaps/>
          <w:color w:val="961E5A"/>
        </w:rPr>
        <w:t>Linee Guida contenenti le</w:t>
      </w:r>
    </w:p>
    <w:p w14:paraId="55E9D9C6" w14:textId="77777777" w:rsidR="00AD4481" w:rsidRDefault="00AD4481"/>
    <w:p w14:paraId="075463FD" w14:textId="77777777" w:rsidR="00AD4481" w:rsidRDefault="00384D03" w:rsidP="00736F11">
      <w:pPr>
        <w:pStyle w:val="Titolo"/>
        <w:ind w:firstLine="0"/>
        <w:jc w:val="both"/>
        <w:rPr>
          <w:sz w:val="40"/>
          <w:szCs w:val="40"/>
        </w:rPr>
      </w:pPr>
      <w:r>
        <w:rPr>
          <w:sz w:val="40"/>
          <w:szCs w:val="40"/>
        </w:rPr>
        <w:t>Regole tecniche dei gestori di attributi qualificati ex art.1, comma 1, lettera m) del DPCM 24 ottobre 2014 (GU n.285 del 9­12­2014)</w:t>
      </w:r>
    </w:p>
    <w:p w14:paraId="4B8C9955" w14:textId="77777777" w:rsidR="00AD4481" w:rsidRDefault="00AD4481">
      <w:pPr>
        <w:pBdr>
          <w:top w:val="nil"/>
          <w:left w:val="nil"/>
          <w:bottom w:val="nil"/>
          <w:right w:val="nil"/>
          <w:between w:val="nil"/>
        </w:pBdr>
        <w:ind w:firstLine="0"/>
        <w:jc w:val="center"/>
        <w:rPr>
          <w:rFonts w:ascii="Arial" w:eastAsia="Arial" w:hAnsi="Arial" w:cs="Arial"/>
          <w:color w:val="595959"/>
        </w:rPr>
      </w:pPr>
    </w:p>
    <w:p w14:paraId="6BE32319" w14:textId="77777777" w:rsidR="00AD4481" w:rsidRDefault="00AD4481">
      <w:pPr>
        <w:pBdr>
          <w:top w:val="nil"/>
          <w:left w:val="nil"/>
          <w:bottom w:val="nil"/>
          <w:right w:val="nil"/>
          <w:between w:val="nil"/>
        </w:pBdr>
        <w:ind w:firstLine="0"/>
        <w:jc w:val="right"/>
        <w:rPr>
          <w:rFonts w:ascii="Arial" w:eastAsia="Arial" w:hAnsi="Arial" w:cs="Arial"/>
          <w:b/>
          <w:color w:val="000000"/>
        </w:rPr>
      </w:pPr>
    </w:p>
    <w:p w14:paraId="03C67264" w14:textId="77777777" w:rsidR="00AD4481" w:rsidRDefault="00AD4481">
      <w:pPr>
        <w:pBdr>
          <w:top w:val="nil"/>
          <w:left w:val="nil"/>
          <w:bottom w:val="nil"/>
          <w:right w:val="nil"/>
          <w:between w:val="nil"/>
        </w:pBdr>
        <w:ind w:firstLine="0"/>
        <w:jc w:val="right"/>
        <w:rPr>
          <w:rFonts w:ascii="Arial" w:eastAsia="Arial" w:hAnsi="Arial" w:cs="Arial"/>
          <w:b/>
          <w:color w:val="000000"/>
        </w:rPr>
      </w:pPr>
    </w:p>
    <w:p w14:paraId="6F1F26FD" w14:textId="77777777" w:rsidR="00AD4481" w:rsidRDefault="00AD4481">
      <w:pPr>
        <w:pBdr>
          <w:top w:val="nil"/>
          <w:left w:val="nil"/>
          <w:bottom w:val="nil"/>
          <w:right w:val="nil"/>
          <w:between w:val="nil"/>
        </w:pBdr>
        <w:ind w:firstLine="0"/>
        <w:jc w:val="right"/>
        <w:rPr>
          <w:rFonts w:ascii="Arial" w:eastAsia="Arial" w:hAnsi="Arial" w:cs="Arial"/>
          <w:b/>
          <w:color w:val="000000"/>
        </w:rPr>
      </w:pPr>
    </w:p>
    <w:p w14:paraId="1927AEC0" w14:textId="77777777" w:rsidR="00AD4481" w:rsidRDefault="00AD4481">
      <w:pPr>
        <w:pBdr>
          <w:top w:val="nil"/>
          <w:left w:val="nil"/>
          <w:bottom w:val="nil"/>
          <w:right w:val="nil"/>
          <w:between w:val="nil"/>
        </w:pBdr>
        <w:ind w:firstLine="0"/>
        <w:jc w:val="right"/>
        <w:rPr>
          <w:rFonts w:ascii="Arial" w:eastAsia="Arial" w:hAnsi="Arial" w:cs="Arial"/>
          <w:b/>
          <w:color w:val="000000"/>
        </w:rPr>
      </w:pPr>
    </w:p>
    <w:p w14:paraId="2267B286" w14:textId="77777777" w:rsidR="00AD4481" w:rsidRDefault="00AD4481">
      <w:pPr>
        <w:pBdr>
          <w:top w:val="nil"/>
          <w:left w:val="nil"/>
          <w:bottom w:val="nil"/>
          <w:right w:val="nil"/>
          <w:between w:val="nil"/>
        </w:pBdr>
        <w:ind w:firstLine="0"/>
        <w:jc w:val="right"/>
        <w:rPr>
          <w:rFonts w:ascii="Arial" w:eastAsia="Arial" w:hAnsi="Arial" w:cs="Arial"/>
          <w:b/>
          <w:color w:val="000000"/>
        </w:rPr>
      </w:pPr>
    </w:p>
    <w:p w14:paraId="7F38900C" w14:textId="77777777" w:rsidR="00AD4481" w:rsidRDefault="00AD4481">
      <w:pPr>
        <w:pBdr>
          <w:top w:val="nil"/>
          <w:left w:val="nil"/>
          <w:bottom w:val="nil"/>
          <w:right w:val="nil"/>
          <w:between w:val="nil"/>
        </w:pBdr>
        <w:ind w:firstLine="0"/>
        <w:jc w:val="right"/>
        <w:rPr>
          <w:rFonts w:ascii="Arial" w:eastAsia="Arial" w:hAnsi="Arial" w:cs="Arial"/>
          <w:b/>
          <w:color w:val="000000"/>
        </w:rPr>
      </w:pPr>
    </w:p>
    <w:p w14:paraId="37FB269A" w14:textId="77777777" w:rsidR="00AD4481" w:rsidRDefault="00AD4481">
      <w:pPr>
        <w:pBdr>
          <w:top w:val="nil"/>
          <w:left w:val="nil"/>
          <w:bottom w:val="nil"/>
          <w:right w:val="nil"/>
          <w:between w:val="nil"/>
        </w:pBdr>
        <w:ind w:firstLine="0"/>
        <w:jc w:val="right"/>
        <w:rPr>
          <w:rFonts w:ascii="Arial" w:eastAsia="Arial" w:hAnsi="Arial" w:cs="Arial"/>
          <w:b/>
          <w:color w:val="000000"/>
        </w:rPr>
      </w:pPr>
    </w:p>
    <w:p w14:paraId="3904C0BB" w14:textId="77777777" w:rsidR="00AD4481" w:rsidRDefault="00384D03">
      <w:pPr>
        <w:pBdr>
          <w:top w:val="nil"/>
          <w:left w:val="nil"/>
          <w:bottom w:val="nil"/>
          <w:right w:val="nil"/>
          <w:between w:val="nil"/>
        </w:pBdr>
        <w:ind w:firstLine="0"/>
        <w:jc w:val="right"/>
        <w:rPr>
          <w:rFonts w:ascii="Arial" w:eastAsia="Arial" w:hAnsi="Arial" w:cs="Arial"/>
          <w:b/>
          <w:color w:val="000000"/>
        </w:rPr>
      </w:pPr>
      <w:r>
        <w:rPr>
          <w:rFonts w:ascii="Arial" w:eastAsia="Arial" w:hAnsi="Arial" w:cs="Arial"/>
          <w:b/>
          <w:color w:val="000000"/>
        </w:rPr>
        <w:t>Versione 1.</w:t>
      </w:r>
      <w:r w:rsidR="00AA745D">
        <w:rPr>
          <w:rFonts w:ascii="Arial" w:eastAsia="Arial" w:hAnsi="Arial" w:cs="Arial"/>
          <w:b/>
          <w:color w:val="000000"/>
        </w:rPr>
        <w:t xml:space="preserve">0 </w:t>
      </w:r>
      <w:r>
        <w:rPr>
          <w:rFonts w:ascii="Arial" w:eastAsia="Arial" w:hAnsi="Arial" w:cs="Arial"/>
          <w:b/>
          <w:color w:val="000000"/>
        </w:rPr>
        <w:t>– maggio 2021</w:t>
      </w:r>
    </w:p>
    <w:p w14:paraId="06629729" w14:textId="77777777" w:rsidR="00AD4481" w:rsidRDefault="00AD4481"/>
    <w:p w14:paraId="0F4DAF7A" w14:textId="77777777" w:rsidR="00AD4481" w:rsidRDefault="00AD4481"/>
    <w:p w14:paraId="32519BE9" w14:textId="77777777" w:rsidR="00AD4481" w:rsidRDefault="00384D03">
      <w:pPr>
        <w:rPr>
          <w:sz w:val="40"/>
          <w:szCs w:val="40"/>
        </w:rPr>
      </w:pPr>
      <w:r>
        <w:br w:type="page"/>
      </w:r>
    </w:p>
    <w:p w14:paraId="7FD70325" w14:textId="77777777" w:rsidR="00AD4481" w:rsidRDefault="00AD4481"/>
    <w:tbl>
      <w:tblPr>
        <w:tblStyle w:val="a"/>
        <w:tblW w:w="9016"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54"/>
        <w:gridCol w:w="2254"/>
        <w:gridCol w:w="4508"/>
      </w:tblGrid>
      <w:tr w:rsidR="00AD4481" w14:paraId="304D945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76A0A9E9" w14:textId="77777777" w:rsidR="00AD4481" w:rsidRDefault="00384D03">
            <w:pPr>
              <w:ind w:firstLine="0"/>
            </w:pPr>
            <w:r>
              <w:t>Versione</w:t>
            </w:r>
          </w:p>
        </w:tc>
        <w:tc>
          <w:tcPr>
            <w:tcW w:w="2254" w:type="dxa"/>
            <w:vAlign w:val="center"/>
          </w:tcPr>
          <w:p w14:paraId="0CA33912" w14:textId="77777777" w:rsidR="00AD4481" w:rsidRDefault="00384D03">
            <w:pPr>
              <w:ind w:firstLine="0"/>
              <w:cnfStyle w:val="100000000000" w:firstRow="1" w:lastRow="0" w:firstColumn="0" w:lastColumn="0" w:oddVBand="0" w:evenVBand="0" w:oddHBand="0" w:evenHBand="0" w:firstRowFirstColumn="0" w:firstRowLastColumn="0" w:lastRowFirstColumn="0" w:lastRowLastColumn="0"/>
            </w:pPr>
            <w:r>
              <w:t>Data</w:t>
            </w:r>
          </w:p>
        </w:tc>
        <w:tc>
          <w:tcPr>
            <w:tcW w:w="4508" w:type="dxa"/>
            <w:vAlign w:val="center"/>
          </w:tcPr>
          <w:p w14:paraId="6CD130E4" w14:textId="77777777" w:rsidR="00AD4481" w:rsidRDefault="00384D03">
            <w:pPr>
              <w:ind w:firstLine="0"/>
              <w:cnfStyle w:val="100000000000" w:firstRow="1" w:lastRow="0" w:firstColumn="0" w:lastColumn="0" w:oddVBand="0" w:evenVBand="0" w:oddHBand="0" w:evenHBand="0" w:firstRowFirstColumn="0" w:firstRowLastColumn="0" w:lastRowFirstColumn="0" w:lastRowLastColumn="0"/>
            </w:pPr>
            <w:r>
              <w:t>Tipologia modifica</w:t>
            </w:r>
          </w:p>
        </w:tc>
      </w:tr>
      <w:tr w:rsidR="00AD4481" w14:paraId="26BDD8CC" w14:textId="77777777">
        <w:tc>
          <w:tcPr>
            <w:cnfStyle w:val="001000000000" w:firstRow="0" w:lastRow="0" w:firstColumn="1" w:lastColumn="0" w:oddVBand="0" w:evenVBand="0" w:oddHBand="0" w:evenHBand="0" w:firstRowFirstColumn="0" w:firstRowLastColumn="0" w:lastRowFirstColumn="0" w:lastRowLastColumn="0"/>
            <w:tcW w:w="2254" w:type="dxa"/>
            <w:vAlign w:val="center"/>
          </w:tcPr>
          <w:p w14:paraId="2B417F3D" w14:textId="77777777" w:rsidR="00AD4481" w:rsidRDefault="00384D03" w:rsidP="00384D03">
            <w:pPr>
              <w:ind w:firstLine="0"/>
              <w:jc w:val="center"/>
            </w:pPr>
            <w:r>
              <w:t>1.0</w:t>
            </w:r>
          </w:p>
        </w:tc>
        <w:tc>
          <w:tcPr>
            <w:tcW w:w="2254" w:type="dxa"/>
            <w:vAlign w:val="center"/>
          </w:tcPr>
          <w:p w14:paraId="0ABB1DA2" w14:textId="77777777" w:rsidR="00AD4481" w:rsidRDefault="00384D03" w:rsidP="00384D03">
            <w:pPr>
              <w:ind w:firstLine="0"/>
              <w:jc w:val="center"/>
              <w:cnfStyle w:val="000000000000" w:firstRow="0" w:lastRow="0" w:firstColumn="0" w:lastColumn="0" w:oddVBand="0" w:evenVBand="0" w:oddHBand="0" w:evenHBand="0" w:firstRowFirstColumn="0" w:firstRowLastColumn="0" w:lastRowFirstColumn="0" w:lastRowLastColumn="0"/>
            </w:pPr>
            <w:r>
              <w:t>Maggio 2021</w:t>
            </w:r>
          </w:p>
        </w:tc>
        <w:tc>
          <w:tcPr>
            <w:tcW w:w="4508" w:type="dxa"/>
            <w:vAlign w:val="center"/>
          </w:tcPr>
          <w:p w14:paraId="476C747E" w14:textId="77777777" w:rsidR="00AD4481" w:rsidRDefault="00384D03" w:rsidP="00384D03">
            <w:pPr>
              <w:ind w:firstLine="0"/>
              <w:jc w:val="center"/>
              <w:cnfStyle w:val="000000000000" w:firstRow="0" w:lastRow="0" w:firstColumn="0" w:lastColumn="0" w:oddVBand="0" w:evenVBand="0" w:oddHBand="0" w:evenHBand="0" w:firstRowFirstColumn="0" w:firstRowLastColumn="0" w:lastRowFirstColumn="0" w:lastRowLastColumn="0"/>
            </w:pPr>
            <w:r>
              <w:t>Prima emanazione</w:t>
            </w:r>
          </w:p>
        </w:tc>
      </w:tr>
    </w:tbl>
    <w:p w14:paraId="5C32C779" w14:textId="77777777" w:rsidR="00AD4481" w:rsidRDefault="00AD4481">
      <w:pPr>
        <w:ind w:firstLine="0"/>
      </w:pPr>
    </w:p>
    <w:p w14:paraId="231B6418" w14:textId="77777777" w:rsidR="00AD4481" w:rsidRDefault="00384D03">
      <w:pPr>
        <w:pBdr>
          <w:top w:val="nil"/>
          <w:left w:val="nil"/>
          <w:bottom w:val="single" w:sz="4" w:space="1" w:color="000000"/>
          <w:right w:val="nil"/>
          <w:between w:val="nil"/>
        </w:pBdr>
        <w:spacing w:before="840"/>
        <w:ind w:left="1077" w:hanging="720"/>
        <w:jc w:val="right"/>
        <w:rPr>
          <w:rFonts w:ascii="Arial" w:eastAsia="Arial" w:hAnsi="Arial" w:cs="Arial"/>
          <w:b/>
          <w:color w:val="000000"/>
          <w:sz w:val="32"/>
          <w:szCs w:val="32"/>
        </w:rPr>
      </w:pPr>
      <w:r>
        <w:br w:type="page"/>
      </w:r>
    </w:p>
    <w:sdt>
      <w:sdtPr>
        <w:rPr>
          <w:rFonts w:ascii="Garamond" w:hAnsi="Garamond"/>
          <w:b w:val="0"/>
          <w:sz w:val="24"/>
        </w:rPr>
        <w:id w:val="-1306771822"/>
        <w:docPartObj>
          <w:docPartGallery w:val="Table of Contents"/>
          <w:docPartUnique/>
        </w:docPartObj>
      </w:sdtPr>
      <w:sdtEndPr>
        <w:rPr>
          <w:bCs/>
        </w:rPr>
      </w:sdtEndPr>
      <w:sdtContent>
        <w:p w14:paraId="6CDBBF36" w14:textId="77777777" w:rsidR="00AA745D" w:rsidRDefault="00AA745D">
          <w:pPr>
            <w:pStyle w:val="Titolosommario"/>
          </w:pPr>
          <w:r>
            <w:t>Sommario</w:t>
          </w:r>
        </w:p>
        <w:p w14:paraId="643F7BFB" w14:textId="29040F8B" w:rsidR="00736F11" w:rsidRDefault="00AA745D">
          <w:pPr>
            <w:pStyle w:val="Sommario1"/>
            <w:tabs>
              <w:tab w:val="left" w:pos="1960"/>
            </w:tabs>
            <w:rPr>
              <w:rFonts w:asciiTheme="minorHAnsi" w:eastAsiaTheme="minorEastAsia" w:hAnsiTheme="minorHAnsi" w:cstheme="minorBidi"/>
              <w:b w:val="0"/>
              <w:color w:val="auto"/>
              <w:sz w:val="22"/>
              <w:szCs w:val="22"/>
              <w:lang w:eastAsia="it-IT"/>
            </w:rPr>
          </w:pPr>
          <w:r>
            <w:fldChar w:fldCharType="begin"/>
          </w:r>
          <w:r>
            <w:instrText xml:space="preserve"> TOC \o "1-3" \h \z \u </w:instrText>
          </w:r>
          <w:r>
            <w:fldChar w:fldCharType="separate"/>
          </w:r>
          <w:hyperlink w:anchor="_Toc73213577" w:history="1">
            <w:r w:rsidR="00736F11" w:rsidRPr="00344D8C">
              <w:rPr>
                <w:rStyle w:val="Collegamentoipertestuale"/>
                <w:rFonts w:eastAsia="Arial" w:cs="Arial"/>
              </w:rPr>
              <w:t>Capitolo 1</w:t>
            </w:r>
            <w:r w:rsidR="00736F11">
              <w:rPr>
                <w:rFonts w:asciiTheme="minorHAnsi" w:eastAsiaTheme="minorEastAsia" w:hAnsiTheme="minorHAnsi" w:cstheme="minorBidi"/>
                <w:b w:val="0"/>
                <w:color w:val="auto"/>
                <w:sz w:val="22"/>
                <w:szCs w:val="22"/>
                <w:lang w:eastAsia="it-IT"/>
              </w:rPr>
              <w:tab/>
            </w:r>
            <w:r w:rsidR="00736F11" w:rsidRPr="00344D8C">
              <w:rPr>
                <w:rStyle w:val="Collegamentoipertestuale"/>
              </w:rPr>
              <w:t>Prefazione</w:t>
            </w:r>
            <w:r w:rsidR="00736F11">
              <w:rPr>
                <w:webHidden/>
              </w:rPr>
              <w:tab/>
            </w:r>
            <w:r w:rsidR="00736F11">
              <w:rPr>
                <w:webHidden/>
              </w:rPr>
              <w:fldChar w:fldCharType="begin"/>
            </w:r>
            <w:r w:rsidR="00736F11">
              <w:rPr>
                <w:webHidden/>
              </w:rPr>
              <w:instrText xml:space="preserve"> PAGEREF _Toc73213577 \h </w:instrText>
            </w:r>
            <w:r w:rsidR="00736F11">
              <w:rPr>
                <w:webHidden/>
              </w:rPr>
            </w:r>
            <w:r w:rsidR="00736F11">
              <w:rPr>
                <w:webHidden/>
              </w:rPr>
              <w:fldChar w:fldCharType="separate"/>
            </w:r>
            <w:r w:rsidR="00736F11">
              <w:rPr>
                <w:webHidden/>
              </w:rPr>
              <w:t>4</w:t>
            </w:r>
            <w:r w:rsidR="00736F11">
              <w:rPr>
                <w:webHidden/>
              </w:rPr>
              <w:fldChar w:fldCharType="end"/>
            </w:r>
          </w:hyperlink>
        </w:p>
        <w:p w14:paraId="72844364" w14:textId="70087829" w:rsidR="00736F11" w:rsidRDefault="007435AB">
          <w:pPr>
            <w:pStyle w:val="Sommario1"/>
            <w:tabs>
              <w:tab w:val="left" w:pos="1978"/>
            </w:tabs>
            <w:rPr>
              <w:rFonts w:asciiTheme="minorHAnsi" w:eastAsiaTheme="minorEastAsia" w:hAnsiTheme="minorHAnsi" w:cstheme="minorBidi"/>
              <w:b w:val="0"/>
              <w:color w:val="auto"/>
              <w:sz w:val="22"/>
              <w:szCs w:val="22"/>
              <w:lang w:eastAsia="it-IT"/>
            </w:rPr>
          </w:pPr>
          <w:hyperlink w:anchor="_Toc73213578" w:history="1">
            <w:r w:rsidR="00736F11" w:rsidRPr="00344D8C">
              <w:rPr>
                <w:rStyle w:val="Collegamentoipertestuale"/>
                <w:rFonts w:eastAsia="Arial" w:cs="Arial"/>
              </w:rPr>
              <w:t>Capitolo 2</w:t>
            </w:r>
            <w:r w:rsidR="00736F11">
              <w:rPr>
                <w:rFonts w:asciiTheme="minorHAnsi" w:eastAsiaTheme="minorEastAsia" w:hAnsiTheme="minorHAnsi" w:cstheme="minorBidi"/>
                <w:b w:val="0"/>
                <w:color w:val="auto"/>
                <w:sz w:val="22"/>
                <w:szCs w:val="22"/>
                <w:lang w:eastAsia="it-IT"/>
              </w:rPr>
              <w:tab/>
            </w:r>
            <w:r w:rsidR="00736F11" w:rsidRPr="00344D8C">
              <w:rPr>
                <w:rStyle w:val="Collegamentoipertestuale"/>
              </w:rPr>
              <w:t>Introduzione</w:t>
            </w:r>
            <w:r w:rsidR="00736F11">
              <w:rPr>
                <w:webHidden/>
              </w:rPr>
              <w:tab/>
            </w:r>
            <w:r w:rsidR="00736F11">
              <w:rPr>
                <w:webHidden/>
              </w:rPr>
              <w:fldChar w:fldCharType="begin"/>
            </w:r>
            <w:r w:rsidR="00736F11">
              <w:rPr>
                <w:webHidden/>
              </w:rPr>
              <w:instrText xml:space="preserve"> PAGEREF _Toc73213578 \h </w:instrText>
            </w:r>
            <w:r w:rsidR="00736F11">
              <w:rPr>
                <w:webHidden/>
              </w:rPr>
            </w:r>
            <w:r w:rsidR="00736F11">
              <w:rPr>
                <w:webHidden/>
              </w:rPr>
              <w:fldChar w:fldCharType="separate"/>
            </w:r>
            <w:r w:rsidR="00736F11">
              <w:rPr>
                <w:webHidden/>
              </w:rPr>
              <w:t>5</w:t>
            </w:r>
            <w:r w:rsidR="00736F11">
              <w:rPr>
                <w:webHidden/>
              </w:rPr>
              <w:fldChar w:fldCharType="end"/>
            </w:r>
          </w:hyperlink>
        </w:p>
        <w:p w14:paraId="571A5328" w14:textId="06101142"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79" w:history="1">
            <w:r w:rsidR="00736F11" w:rsidRPr="00344D8C">
              <w:rPr>
                <w:rStyle w:val="Collegamentoipertestuale"/>
              </w:rPr>
              <w:t>2.1</w:t>
            </w:r>
            <w:r w:rsidR="00736F11">
              <w:rPr>
                <w:rFonts w:asciiTheme="minorHAnsi" w:eastAsiaTheme="minorEastAsia" w:hAnsiTheme="minorHAnsi" w:cstheme="minorBidi"/>
                <w:sz w:val="22"/>
                <w:szCs w:val="22"/>
                <w:lang w:eastAsia="it-IT"/>
              </w:rPr>
              <w:tab/>
            </w:r>
            <w:r w:rsidR="00736F11" w:rsidRPr="00344D8C">
              <w:rPr>
                <w:rStyle w:val="Collegamentoipertestuale"/>
              </w:rPr>
              <w:t>Scopo</w:t>
            </w:r>
            <w:r w:rsidR="00736F11">
              <w:rPr>
                <w:webHidden/>
              </w:rPr>
              <w:tab/>
            </w:r>
            <w:r w:rsidR="00736F11">
              <w:rPr>
                <w:webHidden/>
              </w:rPr>
              <w:fldChar w:fldCharType="begin"/>
            </w:r>
            <w:r w:rsidR="00736F11">
              <w:rPr>
                <w:webHidden/>
              </w:rPr>
              <w:instrText xml:space="preserve"> PAGEREF _Toc73213579 \h </w:instrText>
            </w:r>
            <w:r w:rsidR="00736F11">
              <w:rPr>
                <w:webHidden/>
              </w:rPr>
            </w:r>
            <w:r w:rsidR="00736F11">
              <w:rPr>
                <w:webHidden/>
              </w:rPr>
              <w:fldChar w:fldCharType="separate"/>
            </w:r>
            <w:r w:rsidR="00736F11">
              <w:rPr>
                <w:webHidden/>
              </w:rPr>
              <w:t>5</w:t>
            </w:r>
            <w:r w:rsidR="00736F11">
              <w:rPr>
                <w:webHidden/>
              </w:rPr>
              <w:fldChar w:fldCharType="end"/>
            </w:r>
          </w:hyperlink>
        </w:p>
        <w:p w14:paraId="27F4FAE0" w14:textId="00767199"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80" w:history="1">
            <w:r w:rsidR="00736F11" w:rsidRPr="00344D8C">
              <w:rPr>
                <w:rStyle w:val="Collegamentoipertestuale"/>
              </w:rPr>
              <w:t>2.2</w:t>
            </w:r>
            <w:r w:rsidR="00736F11">
              <w:rPr>
                <w:rFonts w:asciiTheme="minorHAnsi" w:eastAsiaTheme="minorEastAsia" w:hAnsiTheme="minorHAnsi" w:cstheme="minorBidi"/>
                <w:sz w:val="22"/>
                <w:szCs w:val="22"/>
                <w:lang w:eastAsia="it-IT"/>
              </w:rPr>
              <w:tab/>
            </w:r>
            <w:r w:rsidR="00736F11" w:rsidRPr="00344D8C">
              <w:rPr>
                <w:rStyle w:val="Collegamentoipertestuale"/>
              </w:rPr>
              <w:t>Struttura</w:t>
            </w:r>
            <w:r w:rsidR="00736F11">
              <w:rPr>
                <w:webHidden/>
              </w:rPr>
              <w:tab/>
            </w:r>
            <w:r w:rsidR="00736F11">
              <w:rPr>
                <w:webHidden/>
              </w:rPr>
              <w:fldChar w:fldCharType="begin"/>
            </w:r>
            <w:r w:rsidR="00736F11">
              <w:rPr>
                <w:webHidden/>
              </w:rPr>
              <w:instrText xml:space="preserve"> PAGEREF _Toc73213580 \h </w:instrText>
            </w:r>
            <w:r w:rsidR="00736F11">
              <w:rPr>
                <w:webHidden/>
              </w:rPr>
            </w:r>
            <w:r w:rsidR="00736F11">
              <w:rPr>
                <w:webHidden/>
              </w:rPr>
              <w:fldChar w:fldCharType="separate"/>
            </w:r>
            <w:r w:rsidR="00736F11">
              <w:rPr>
                <w:webHidden/>
              </w:rPr>
              <w:t>5</w:t>
            </w:r>
            <w:r w:rsidR="00736F11">
              <w:rPr>
                <w:webHidden/>
              </w:rPr>
              <w:fldChar w:fldCharType="end"/>
            </w:r>
          </w:hyperlink>
        </w:p>
        <w:p w14:paraId="7C4938F1" w14:textId="0064DB61"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81" w:history="1">
            <w:r w:rsidR="00736F11" w:rsidRPr="00344D8C">
              <w:rPr>
                <w:rStyle w:val="Collegamentoipertestuale"/>
              </w:rPr>
              <w:t>2.3</w:t>
            </w:r>
            <w:r w:rsidR="00736F11">
              <w:rPr>
                <w:rFonts w:asciiTheme="minorHAnsi" w:eastAsiaTheme="minorEastAsia" w:hAnsiTheme="minorHAnsi" w:cstheme="minorBidi"/>
                <w:sz w:val="22"/>
                <w:szCs w:val="22"/>
                <w:lang w:eastAsia="it-IT"/>
              </w:rPr>
              <w:tab/>
            </w:r>
            <w:r w:rsidR="00736F11" w:rsidRPr="00344D8C">
              <w:rPr>
                <w:rStyle w:val="Collegamentoipertestuale"/>
              </w:rPr>
              <w:t>Gruppo di lavoro</w:t>
            </w:r>
            <w:r w:rsidR="00736F11">
              <w:rPr>
                <w:webHidden/>
              </w:rPr>
              <w:tab/>
            </w:r>
            <w:r w:rsidR="00736F11">
              <w:rPr>
                <w:webHidden/>
              </w:rPr>
              <w:fldChar w:fldCharType="begin"/>
            </w:r>
            <w:r w:rsidR="00736F11">
              <w:rPr>
                <w:webHidden/>
              </w:rPr>
              <w:instrText xml:space="preserve"> PAGEREF _Toc73213581 \h </w:instrText>
            </w:r>
            <w:r w:rsidR="00736F11">
              <w:rPr>
                <w:webHidden/>
              </w:rPr>
            </w:r>
            <w:r w:rsidR="00736F11">
              <w:rPr>
                <w:webHidden/>
              </w:rPr>
              <w:fldChar w:fldCharType="separate"/>
            </w:r>
            <w:r w:rsidR="00736F11">
              <w:rPr>
                <w:webHidden/>
              </w:rPr>
              <w:t>5</w:t>
            </w:r>
            <w:r w:rsidR="00736F11">
              <w:rPr>
                <w:webHidden/>
              </w:rPr>
              <w:fldChar w:fldCharType="end"/>
            </w:r>
          </w:hyperlink>
        </w:p>
        <w:p w14:paraId="201A6007" w14:textId="73A4E7EE"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82" w:history="1">
            <w:r w:rsidR="00736F11" w:rsidRPr="00344D8C">
              <w:rPr>
                <w:rStyle w:val="Collegamentoipertestuale"/>
              </w:rPr>
              <w:t>2.4</w:t>
            </w:r>
            <w:r w:rsidR="00736F11">
              <w:rPr>
                <w:rFonts w:asciiTheme="minorHAnsi" w:eastAsiaTheme="minorEastAsia" w:hAnsiTheme="minorHAnsi" w:cstheme="minorBidi"/>
                <w:sz w:val="22"/>
                <w:szCs w:val="22"/>
                <w:lang w:eastAsia="it-IT"/>
              </w:rPr>
              <w:tab/>
            </w:r>
            <w:r w:rsidR="00736F11" w:rsidRPr="00344D8C">
              <w:rPr>
                <w:rStyle w:val="Collegamentoipertestuale"/>
              </w:rPr>
              <w:t>Soggetti destinatari</w:t>
            </w:r>
            <w:r w:rsidR="00736F11">
              <w:rPr>
                <w:webHidden/>
              </w:rPr>
              <w:tab/>
            </w:r>
            <w:r w:rsidR="00736F11">
              <w:rPr>
                <w:webHidden/>
              </w:rPr>
              <w:fldChar w:fldCharType="begin"/>
            </w:r>
            <w:r w:rsidR="00736F11">
              <w:rPr>
                <w:webHidden/>
              </w:rPr>
              <w:instrText xml:space="preserve"> PAGEREF _Toc73213582 \h </w:instrText>
            </w:r>
            <w:r w:rsidR="00736F11">
              <w:rPr>
                <w:webHidden/>
              </w:rPr>
            </w:r>
            <w:r w:rsidR="00736F11">
              <w:rPr>
                <w:webHidden/>
              </w:rPr>
              <w:fldChar w:fldCharType="separate"/>
            </w:r>
            <w:r w:rsidR="00736F11">
              <w:rPr>
                <w:webHidden/>
              </w:rPr>
              <w:t>6</w:t>
            </w:r>
            <w:r w:rsidR="00736F11">
              <w:rPr>
                <w:webHidden/>
              </w:rPr>
              <w:fldChar w:fldCharType="end"/>
            </w:r>
          </w:hyperlink>
        </w:p>
        <w:p w14:paraId="2EE2A45E" w14:textId="178C1AC9" w:rsidR="00736F11" w:rsidRDefault="007435AB">
          <w:pPr>
            <w:pStyle w:val="Sommario1"/>
            <w:tabs>
              <w:tab w:val="left" w:pos="1978"/>
            </w:tabs>
            <w:rPr>
              <w:rFonts w:asciiTheme="minorHAnsi" w:eastAsiaTheme="minorEastAsia" w:hAnsiTheme="minorHAnsi" w:cstheme="minorBidi"/>
              <w:b w:val="0"/>
              <w:color w:val="auto"/>
              <w:sz w:val="22"/>
              <w:szCs w:val="22"/>
              <w:lang w:eastAsia="it-IT"/>
            </w:rPr>
          </w:pPr>
          <w:hyperlink w:anchor="_Toc73213583" w:history="1">
            <w:r w:rsidR="00736F11" w:rsidRPr="00344D8C">
              <w:rPr>
                <w:rStyle w:val="Collegamentoipertestuale"/>
                <w:rFonts w:eastAsia="Arial" w:cs="Arial"/>
              </w:rPr>
              <w:t>Capitolo 3</w:t>
            </w:r>
            <w:r w:rsidR="00736F11">
              <w:rPr>
                <w:rFonts w:asciiTheme="minorHAnsi" w:eastAsiaTheme="minorEastAsia" w:hAnsiTheme="minorHAnsi" w:cstheme="minorBidi"/>
                <w:b w:val="0"/>
                <w:color w:val="auto"/>
                <w:sz w:val="22"/>
                <w:szCs w:val="22"/>
                <w:lang w:eastAsia="it-IT"/>
              </w:rPr>
              <w:tab/>
            </w:r>
            <w:r w:rsidR="00736F11" w:rsidRPr="00344D8C">
              <w:rPr>
                <w:rStyle w:val="Collegamentoipertestuale"/>
              </w:rPr>
              <w:t>Sigle e Riferimenti</w:t>
            </w:r>
            <w:r w:rsidR="00736F11">
              <w:rPr>
                <w:webHidden/>
              </w:rPr>
              <w:tab/>
            </w:r>
            <w:r w:rsidR="00736F11">
              <w:rPr>
                <w:webHidden/>
              </w:rPr>
              <w:fldChar w:fldCharType="begin"/>
            </w:r>
            <w:r w:rsidR="00736F11">
              <w:rPr>
                <w:webHidden/>
              </w:rPr>
              <w:instrText xml:space="preserve"> PAGEREF _Toc73213583 \h </w:instrText>
            </w:r>
            <w:r w:rsidR="00736F11">
              <w:rPr>
                <w:webHidden/>
              </w:rPr>
            </w:r>
            <w:r w:rsidR="00736F11">
              <w:rPr>
                <w:webHidden/>
              </w:rPr>
              <w:fldChar w:fldCharType="separate"/>
            </w:r>
            <w:r w:rsidR="00736F11">
              <w:rPr>
                <w:webHidden/>
              </w:rPr>
              <w:t>7</w:t>
            </w:r>
            <w:r w:rsidR="00736F11">
              <w:rPr>
                <w:webHidden/>
              </w:rPr>
              <w:fldChar w:fldCharType="end"/>
            </w:r>
          </w:hyperlink>
        </w:p>
        <w:p w14:paraId="47C869FD" w14:textId="1E6FBD39"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84" w:history="1">
            <w:r w:rsidR="00736F11" w:rsidRPr="00344D8C">
              <w:rPr>
                <w:rStyle w:val="Collegamentoipertestuale"/>
              </w:rPr>
              <w:t>3.1</w:t>
            </w:r>
            <w:r w:rsidR="00736F11">
              <w:rPr>
                <w:rFonts w:asciiTheme="minorHAnsi" w:eastAsiaTheme="minorEastAsia" w:hAnsiTheme="minorHAnsi" w:cstheme="minorBidi"/>
                <w:sz w:val="22"/>
                <w:szCs w:val="22"/>
                <w:lang w:eastAsia="it-IT"/>
              </w:rPr>
              <w:tab/>
            </w:r>
            <w:r w:rsidR="00736F11" w:rsidRPr="00344D8C">
              <w:rPr>
                <w:rStyle w:val="Collegamentoipertestuale"/>
              </w:rPr>
              <w:t>Riferimenti Normativi</w:t>
            </w:r>
            <w:r w:rsidR="00736F11">
              <w:rPr>
                <w:webHidden/>
              </w:rPr>
              <w:tab/>
            </w:r>
            <w:r w:rsidR="00736F11">
              <w:rPr>
                <w:webHidden/>
              </w:rPr>
              <w:fldChar w:fldCharType="begin"/>
            </w:r>
            <w:r w:rsidR="00736F11">
              <w:rPr>
                <w:webHidden/>
              </w:rPr>
              <w:instrText xml:space="preserve"> PAGEREF _Toc73213584 \h </w:instrText>
            </w:r>
            <w:r w:rsidR="00736F11">
              <w:rPr>
                <w:webHidden/>
              </w:rPr>
            </w:r>
            <w:r w:rsidR="00736F11">
              <w:rPr>
                <w:webHidden/>
              </w:rPr>
              <w:fldChar w:fldCharType="separate"/>
            </w:r>
            <w:r w:rsidR="00736F11">
              <w:rPr>
                <w:webHidden/>
              </w:rPr>
              <w:t>7</w:t>
            </w:r>
            <w:r w:rsidR="00736F11">
              <w:rPr>
                <w:webHidden/>
              </w:rPr>
              <w:fldChar w:fldCharType="end"/>
            </w:r>
          </w:hyperlink>
        </w:p>
        <w:p w14:paraId="6E96DF75" w14:textId="1D3EB142"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85" w:history="1">
            <w:r w:rsidR="00736F11" w:rsidRPr="00344D8C">
              <w:rPr>
                <w:rStyle w:val="Collegamentoipertestuale"/>
              </w:rPr>
              <w:t>3.2</w:t>
            </w:r>
            <w:r w:rsidR="00736F11">
              <w:rPr>
                <w:rFonts w:asciiTheme="minorHAnsi" w:eastAsiaTheme="minorEastAsia" w:hAnsiTheme="minorHAnsi" w:cstheme="minorBidi"/>
                <w:sz w:val="22"/>
                <w:szCs w:val="22"/>
                <w:lang w:eastAsia="it-IT"/>
              </w:rPr>
              <w:tab/>
            </w:r>
            <w:r w:rsidR="00736F11" w:rsidRPr="00344D8C">
              <w:rPr>
                <w:rStyle w:val="Collegamentoipertestuale"/>
              </w:rPr>
              <w:t>Standard di riferimento</w:t>
            </w:r>
            <w:r w:rsidR="00736F11">
              <w:rPr>
                <w:webHidden/>
              </w:rPr>
              <w:tab/>
            </w:r>
            <w:r w:rsidR="00736F11">
              <w:rPr>
                <w:webHidden/>
              </w:rPr>
              <w:fldChar w:fldCharType="begin"/>
            </w:r>
            <w:r w:rsidR="00736F11">
              <w:rPr>
                <w:webHidden/>
              </w:rPr>
              <w:instrText xml:space="preserve"> PAGEREF _Toc73213585 \h </w:instrText>
            </w:r>
            <w:r w:rsidR="00736F11">
              <w:rPr>
                <w:webHidden/>
              </w:rPr>
            </w:r>
            <w:r w:rsidR="00736F11">
              <w:rPr>
                <w:webHidden/>
              </w:rPr>
              <w:fldChar w:fldCharType="separate"/>
            </w:r>
            <w:r w:rsidR="00736F11">
              <w:rPr>
                <w:webHidden/>
              </w:rPr>
              <w:t>7</w:t>
            </w:r>
            <w:r w:rsidR="00736F11">
              <w:rPr>
                <w:webHidden/>
              </w:rPr>
              <w:fldChar w:fldCharType="end"/>
            </w:r>
          </w:hyperlink>
        </w:p>
        <w:p w14:paraId="2D076F76" w14:textId="41C14A6F"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86" w:history="1">
            <w:r w:rsidR="00736F11" w:rsidRPr="00344D8C">
              <w:rPr>
                <w:rStyle w:val="Collegamentoipertestuale"/>
              </w:rPr>
              <w:t>3.3</w:t>
            </w:r>
            <w:r w:rsidR="00736F11">
              <w:rPr>
                <w:rFonts w:asciiTheme="minorHAnsi" w:eastAsiaTheme="minorEastAsia" w:hAnsiTheme="minorHAnsi" w:cstheme="minorBidi"/>
                <w:sz w:val="22"/>
                <w:szCs w:val="22"/>
                <w:lang w:eastAsia="it-IT"/>
              </w:rPr>
              <w:tab/>
            </w:r>
            <w:r w:rsidR="00736F11" w:rsidRPr="00344D8C">
              <w:rPr>
                <w:rStyle w:val="Collegamentoipertestuale"/>
              </w:rPr>
              <w:t>Linee guida di riferimento</w:t>
            </w:r>
            <w:r w:rsidR="00736F11">
              <w:rPr>
                <w:webHidden/>
              </w:rPr>
              <w:tab/>
            </w:r>
            <w:r w:rsidR="00736F11">
              <w:rPr>
                <w:webHidden/>
              </w:rPr>
              <w:fldChar w:fldCharType="begin"/>
            </w:r>
            <w:r w:rsidR="00736F11">
              <w:rPr>
                <w:webHidden/>
              </w:rPr>
              <w:instrText xml:space="preserve"> PAGEREF _Toc73213586 \h </w:instrText>
            </w:r>
            <w:r w:rsidR="00736F11">
              <w:rPr>
                <w:webHidden/>
              </w:rPr>
            </w:r>
            <w:r w:rsidR="00736F11">
              <w:rPr>
                <w:webHidden/>
              </w:rPr>
              <w:fldChar w:fldCharType="separate"/>
            </w:r>
            <w:r w:rsidR="00736F11">
              <w:rPr>
                <w:webHidden/>
              </w:rPr>
              <w:t>7</w:t>
            </w:r>
            <w:r w:rsidR="00736F11">
              <w:rPr>
                <w:webHidden/>
              </w:rPr>
              <w:fldChar w:fldCharType="end"/>
            </w:r>
          </w:hyperlink>
        </w:p>
        <w:p w14:paraId="114BC156" w14:textId="7C28A254"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87" w:history="1">
            <w:r w:rsidR="00736F11" w:rsidRPr="00344D8C">
              <w:rPr>
                <w:rStyle w:val="Collegamentoipertestuale"/>
              </w:rPr>
              <w:t>3.4</w:t>
            </w:r>
            <w:r w:rsidR="00736F11">
              <w:rPr>
                <w:rFonts w:asciiTheme="minorHAnsi" w:eastAsiaTheme="minorEastAsia" w:hAnsiTheme="minorHAnsi" w:cstheme="minorBidi"/>
                <w:sz w:val="22"/>
                <w:szCs w:val="22"/>
                <w:lang w:eastAsia="it-IT"/>
              </w:rPr>
              <w:tab/>
            </w:r>
            <w:r w:rsidR="00736F11" w:rsidRPr="00344D8C">
              <w:rPr>
                <w:rStyle w:val="Collegamentoipertestuale"/>
              </w:rPr>
              <w:t>Termini e definizioni</w:t>
            </w:r>
            <w:r w:rsidR="00736F11">
              <w:rPr>
                <w:webHidden/>
              </w:rPr>
              <w:tab/>
            </w:r>
            <w:r w:rsidR="00736F11">
              <w:rPr>
                <w:webHidden/>
              </w:rPr>
              <w:fldChar w:fldCharType="begin"/>
            </w:r>
            <w:r w:rsidR="00736F11">
              <w:rPr>
                <w:webHidden/>
              </w:rPr>
              <w:instrText xml:space="preserve"> PAGEREF _Toc73213587 \h </w:instrText>
            </w:r>
            <w:r w:rsidR="00736F11">
              <w:rPr>
                <w:webHidden/>
              </w:rPr>
            </w:r>
            <w:r w:rsidR="00736F11">
              <w:rPr>
                <w:webHidden/>
              </w:rPr>
              <w:fldChar w:fldCharType="separate"/>
            </w:r>
            <w:r w:rsidR="00736F11">
              <w:rPr>
                <w:webHidden/>
              </w:rPr>
              <w:t>8</w:t>
            </w:r>
            <w:r w:rsidR="00736F11">
              <w:rPr>
                <w:webHidden/>
              </w:rPr>
              <w:fldChar w:fldCharType="end"/>
            </w:r>
          </w:hyperlink>
        </w:p>
        <w:p w14:paraId="2244ADF3" w14:textId="4455F52C"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88" w:history="1">
            <w:r w:rsidR="00736F11" w:rsidRPr="00344D8C">
              <w:rPr>
                <w:rStyle w:val="Collegamentoipertestuale"/>
              </w:rPr>
              <w:t>3.5</w:t>
            </w:r>
            <w:r w:rsidR="00736F11">
              <w:rPr>
                <w:rFonts w:asciiTheme="minorHAnsi" w:eastAsiaTheme="minorEastAsia" w:hAnsiTheme="minorHAnsi" w:cstheme="minorBidi"/>
                <w:sz w:val="22"/>
                <w:szCs w:val="22"/>
                <w:lang w:eastAsia="it-IT"/>
              </w:rPr>
              <w:tab/>
            </w:r>
            <w:r w:rsidR="00736F11" w:rsidRPr="00344D8C">
              <w:rPr>
                <w:rStyle w:val="Collegamentoipertestuale"/>
              </w:rPr>
              <w:t>Acronimi e abbreviazioni</w:t>
            </w:r>
            <w:r w:rsidR="00736F11">
              <w:rPr>
                <w:webHidden/>
              </w:rPr>
              <w:tab/>
            </w:r>
            <w:r w:rsidR="00736F11">
              <w:rPr>
                <w:webHidden/>
              </w:rPr>
              <w:fldChar w:fldCharType="begin"/>
            </w:r>
            <w:r w:rsidR="00736F11">
              <w:rPr>
                <w:webHidden/>
              </w:rPr>
              <w:instrText xml:space="preserve"> PAGEREF _Toc73213588 \h </w:instrText>
            </w:r>
            <w:r w:rsidR="00736F11">
              <w:rPr>
                <w:webHidden/>
              </w:rPr>
            </w:r>
            <w:r w:rsidR="00736F11">
              <w:rPr>
                <w:webHidden/>
              </w:rPr>
              <w:fldChar w:fldCharType="separate"/>
            </w:r>
            <w:r w:rsidR="00736F11">
              <w:rPr>
                <w:webHidden/>
              </w:rPr>
              <w:t>10</w:t>
            </w:r>
            <w:r w:rsidR="00736F11">
              <w:rPr>
                <w:webHidden/>
              </w:rPr>
              <w:fldChar w:fldCharType="end"/>
            </w:r>
          </w:hyperlink>
        </w:p>
        <w:p w14:paraId="3FD21579" w14:textId="3E1BB523"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89" w:history="1">
            <w:r w:rsidR="00736F11" w:rsidRPr="00344D8C">
              <w:rPr>
                <w:rStyle w:val="Collegamentoipertestuale"/>
              </w:rPr>
              <w:t>3.6</w:t>
            </w:r>
            <w:r w:rsidR="00736F11">
              <w:rPr>
                <w:rFonts w:asciiTheme="minorHAnsi" w:eastAsiaTheme="minorEastAsia" w:hAnsiTheme="minorHAnsi" w:cstheme="minorBidi"/>
                <w:sz w:val="22"/>
                <w:szCs w:val="22"/>
                <w:lang w:eastAsia="it-IT"/>
              </w:rPr>
              <w:tab/>
            </w:r>
            <w:r w:rsidR="00736F11" w:rsidRPr="00344D8C">
              <w:rPr>
                <w:rStyle w:val="Collegamentoipertestuale"/>
              </w:rPr>
              <w:t>Basi giuridiche</w:t>
            </w:r>
            <w:r w:rsidR="00736F11">
              <w:rPr>
                <w:webHidden/>
              </w:rPr>
              <w:tab/>
            </w:r>
            <w:r w:rsidR="00736F11">
              <w:rPr>
                <w:webHidden/>
              </w:rPr>
              <w:fldChar w:fldCharType="begin"/>
            </w:r>
            <w:r w:rsidR="00736F11">
              <w:rPr>
                <w:webHidden/>
              </w:rPr>
              <w:instrText xml:space="preserve"> PAGEREF _Toc73213589 \h </w:instrText>
            </w:r>
            <w:r w:rsidR="00736F11">
              <w:rPr>
                <w:webHidden/>
              </w:rPr>
            </w:r>
            <w:r w:rsidR="00736F11">
              <w:rPr>
                <w:webHidden/>
              </w:rPr>
              <w:fldChar w:fldCharType="separate"/>
            </w:r>
            <w:r w:rsidR="00736F11">
              <w:rPr>
                <w:webHidden/>
              </w:rPr>
              <w:t>11</w:t>
            </w:r>
            <w:r w:rsidR="00736F11">
              <w:rPr>
                <w:webHidden/>
              </w:rPr>
              <w:fldChar w:fldCharType="end"/>
            </w:r>
          </w:hyperlink>
        </w:p>
        <w:p w14:paraId="798EA6C2" w14:textId="65A90964" w:rsidR="00736F11" w:rsidRDefault="007435AB">
          <w:pPr>
            <w:pStyle w:val="Sommario1"/>
            <w:tabs>
              <w:tab w:val="left" w:pos="1978"/>
            </w:tabs>
            <w:rPr>
              <w:rFonts w:asciiTheme="minorHAnsi" w:eastAsiaTheme="minorEastAsia" w:hAnsiTheme="minorHAnsi" w:cstheme="minorBidi"/>
              <w:b w:val="0"/>
              <w:color w:val="auto"/>
              <w:sz w:val="22"/>
              <w:szCs w:val="22"/>
              <w:lang w:eastAsia="it-IT"/>
            </w:rPr>
          </w:pPr>
          <w:hyperlink w:anchor="_Toc73213590" w:history="1">
            <w:r w:rsidR="00736F11" w:rsidRPr="00344D8C">
              <w:rPr>
                <w:rStyle w:val="Collegamentoipertestuale"/>
                <w:rFonts w:eastAsia="Arial" w:cs="Arial"/>
              </w:rPr>
              <w:t>Capitolo 4</w:t>
            </w:r>
            <w:r w:rsidR="00736F11">
              <w:rPr>
                <w:rFonts w:asciiTheme="minorHAnsi" w:eastAsiaTheme="minorEastAsia" w:hAnsiTheme="minorHAnsi" w:cstheme="minorBidi"/>
                <w:b w:val="0"/>
                <w:color w:val="auto"/>
                <w:sz w:val="22"/>
                <w:szCs w:val="22"/>
                <w:lang w:eastAsia="it-IT"/>
              </w:rPr>
              <w:tab/>
            </w:r>
            <w:r w:rsidR="00736F11" w:rsidRPr="00344D8C">
              <w:rPr>
                <w:rStyle w:val="Collegamentoipertestuale"/>
              </w:rPr>
              <w:t>Descrizione d’insieme</w:t>
            </w:r>
            <w:r w:rsidR="00736F11">
              <w:rPr>
                <w:webHidden/>
              </w:rPr>
              <w:tab/>
            </w:r>
            <w:r w:rsidR="00736F11">
              <w:rPr>
                <w:webHidden/>
              </w:rPr>
              <w:fldChar w:fldCharType="begin"/>
            </w:r>
            <w:r w:rsidR="00736F11">
              <w:rPr>
                <w:webHidden/>
              </w:rPr>
              <w:instrText xml:space="preserve"> PAGEREF _Toc73213590 \h </w:instrText>
            </w:r>
            <w:r w:rsidR="00736F11">
              <w:rPr>
                <w:webHidden/>
              </w:rPr>
            </w:r>
            <w:r w:rsidR="00736F11">
              <w:rPr>
                <w:webHidden/>
              </w:rPr>
              <w:fldChar w:fldCharType="separate"/>
            </w:r>
            <w:r w:rsidR="00736F11">
              <w:rPr>
                <w:webHidden/>
              </w:rPr>
              <w:t>12</w:t>
            </w:r>
            <w:r w:rsidR="00736F11">
              <w:rPr>
                <w:webHidden/>
              </w:rPr>
              <w:fldChar w:fldCharType="end"/>
            </w:r>
          </w:hyperlink>
        </w:p>
        <w:p w14:paraId="70A05E94" w14:textId="4F87BA18"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91" w:history="1">
            <w:r w:rsidR="00736F11" w:rsidRPr="00344D8C">
              <w:rPr>
                <w:rStyle w:val="Collegamentoipertestuale"/>
              </w:rPr>
              <w:t>4.1</w:t>
            </w:r>
            <w:r w:rsidR="00736F11">
              <w:rPr>
                <w:rFonts w:asciiTheme="minorHAnsi" w:eastAsiaTheme="minorEastAsia" w:hAnsiTheme="minorHAnsi" w:cstheme="minorBidi"/>
                <w:sz w:val="22"/>
                <w:szCs w:val="22"/>
                <w:lang w:eastAsia="it-IT"/>
              </w:rPr>
              <w:tab/>
            </w:r>
            <w:r w:rsidR="00736F11" w:rsidRPr="00344D8C">
              <w:rPr>
                <w:rStyle w:val="Collegamentoipertestuale"/>
              </w:rPr>
              <w:t>Attributi qualificati</w:t>
            </w:r>
            <w:r w:rsidR="00736F11">
              <w:rPr>
                <w:webHidden/>
              </w:rPr>
              <w:tab/>
            </w:r>
            <w:r w:rsidR="00736F11">
              <w:rPr>
                <w:webHidden/>
              </w:rPr>
              <w:fldChar w:fldCharType="begin"/>
            </w:r>
            <w:r w:rsidR="00736F11">
              <w:rPr>
                <w:webHidden/>
              </w:rPr>
              <w:instrText xml:space="preserve"> PAGEREF _Toc73213591 \h </w:instrText>
            </w:r>
            <w:r w:rsidR="00736F11">
              <w:rPr>
                <w:webHidden/>
              </w:rPr>
            </w:r>
            <w:r w:rsidR="00736F11">
              <w:rPr>
                <w:webHidden/>
              </w:rPr>
              <w:fldChar w:fldCharType="separate"/>
            </w:r>
            <w:r w:rsidR="00736F11">
              <w:rPr>
                <w:webHidden/>
              </w:rPr>
              <w:t>12</w:t>
            </w:r>
            <w:r w:rsidR="00736F11">
              <w:rPr>
                <w:webHidden/>
              </w:rPr>
              <w:fldChar w:fldCharType="end"/>
            </w:r>
          </w:hyperlink>
        </w:p>
        <w:p w14:paraId="53594894" w14:textId="4F3026C1"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92" w:history="1">
            <w:r w:rsidR="00736F11" w:rsidRPr="00344D8C">
              <w:rPr>
                <w:rStyle w:val="Collegamentoipertestuale"/>
              </w:rPr>
              <w:t>4.2</w:t>
            </w:r>
            <w:r w:rsidR="00736F11">
              <w:rPr>
                <w:rFonts w:asciiTheme="minorHAnsi" w:eastAsiaTheme="minorEastAsia" w:hAnsiTheme="minorHAnsi" w:cstheme="minorBidi"/>
                <w:sz w:val="22"/>
                <w:szCs w:val="22"/>
                <w:lang w:eastAsia="it-IT"/>
              </w:rPr>
              <w:tab/>
            </w:r>
            <w:r w:rsidR="00736F11" w:rsidRPr="00344D8C">
              <w:rPr>
                <w:rStyle w:val="Collegamentoipertestuale"/>
              </w:rPr>
              <w:t>Convenzioni</w:t>
            </w:r>
            <w:r w:rsidR="00736F11">
              <w:rPr>
                <w:webHidden/>
              </w:rPr>
              <w:tab/>
            </w:r>
            <w:r w:rsidR="00736F11">
              <w:rPr>
                <w:webHidden/>
              </w:rPr>
              <w:fldChar w:fldCharType="begin"/>
            </w:r>
            <w:r w:rsidR="00736F11">
              <w:rPr>
                <w:webHidden/>
              </w:rPr>
              <w:instrText xml:space="preserve"> PAGEREF _Toc73213592 \h </w:instrText>
            </w:r>
            <w:r w:rsidR="00736F11">
              <w:rPr>
                <w:webHidden/>
              </w:rPr>
            </w:r>
            <w:r w:rsidR="00736F11">
              <w:rPr>
                <w:webHidden/>
              </w:rPr>
              <w:fldChar w:fldCharType="separate"/>
            </w:r>
            <w:r w:rsidR="00736F11">
              <w:rPr>
                <w:webHidden/>
              </w:rPr>
              <w:t>13</w:t>
            </w:r>
            <w:r w:rsidR="00736F11">
              <w:rPr>
                <w:webHidden/>
              </w:rPr>
              <w:fldChar w:fldCharType="end"/>
            </w:r>
          </w:hyperlink>
        </w:p>
        <w:p w14:paraId="23423680" w14:textId="5BD4511D"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93" w:history="1">
            <w:r w:rsidR="00736F11" w:rsidRPr="00344D8C">
              <w:rPr>
                <w:rStyle w:val="Collegamentoipertestuale"/>
              </w:rPr>
              <w:t>4.3</w:t>
            </w:r>
            <w:r w:rsidR="00736F11">
              <w:rPr>
                <w:rFonts w:asciiTheme="minorHAnsi" w:eastAsiaTheme="minorEastAsia" w:hAnsiTheme="minorHAnsi" w:cstheme="minorBidi"/>
                <w:sz w:val="22"/>
                <w:szCs w:val="22"/>
                <w:lang w:eastAsia="it-IT"/>
              </w:rPr>
              <w:tab/>
            </w:r>
            <w:r w:rsidR="00736F11" w:rsidRPr="00344D8C">
              <w:rPr>
                <w:rStyle w:val="Collegamentoipertestuale"/>
              </w:rPr>
              <w:t>Attestazione di attributo</w:t>
            </w:r>
            <w:r w:rsidR="00736F11">
              <w:rPr>
                <w:webHidden/>
              </w:rPr>
              <w:tab/>
            </w:r>
            <w:r w:rsidR="00736F11">
              <w:rPr>
                <w:webHidden/>
              </w:rPr>
              <w:fldChar w:fldCharType="begin"/>
            </w:r>
            <w:r w:rsidR="00736F11">
              <w:rPr>
                <w:webHidden/>
              </w:rPr>
              <w:instrText xml:space="preserve"> PAGEREF _Toc73213593 \h </w:instrText>
            </w:r>
            <w:r w:rsidR="00736F11">
              <w:rPr>
                <w:webHidden/>
              </w:rPr>
            </w:r>
            <w:r w:rsidR="00736F11">
              <w:rPr>
                <w:webHidden/>
              </w:rPr>
              <w:fldChar w:fldCharType="separate"/>
            </w:r>
            <w:r w:rsidR="00736F11">
              <w:rPr>
                <w:webHidden/>
              </w:rPr>
              <w:t>13</w:t>
            </w:r>
            <w:r w:rsidR="00736F11">
              <w:rPr>
                <w:webHidden/>
              </w:rPr>
              <w:fldChar w:fldCharType="end"/>
            </w:r>
          </w:hyperlink>
        </w:p>
        <w:p w14:paraId="3E319315" w14:textId="2822150A"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94" w:history="1">
            <w:r w:rsidR="00736F11" w:rsidRPr="00344D8C">
              <w:rPr>
                <w:rStyle w:val="Collegamentoipertestuale"/>
              </w:rPr>
              <w:t>4.4</w:t>
            </w:r>
            <w:r w:rsidR="00736F11">
              <w:rPr>
                <w:rFonts w:asciiTheme="minorHAnsi" w:eastAsiaTheme="minorEastAsia" w:hAnsiTheme="minorHAnsi" w:cstheme="minorBidi"/>
                <w:sz w:val="22"/>
                <w:szCs w:val="22"/>
                <w:lang w:eastAsia="it-IT"/>
              </w:rPr>
              <w:tab/>
            </w:r>
            <w:r w:rsidR="00736F11" w:rsidRPr="00344D8C">
              <w:rPr>
                <w:rStyle w:val="Collegamentoipertestuale"/>
              </w:rPr>
              <w:t>Tipologie di richiesta</w:t>
            </w:r>
            <w:r w:rsidR="00736F11">
              <w:rPr>
                <w:webHidden/>
              </w:rPr>
              <w:tab/>
            </w:r>
            <w:r w:rsidR="00736F11">
              <w:rPr>
                <w:webHidden/>
              </w:rPr>
              <w:fldChar w:fldCharType="begin"/>
            </w:r>
            <w:r w:rsidR="00736F11">
              <w:rPr>
                <w:webHidden/>
              </w:rPr>
              <w:instrText xml:space="preserve"> PAGEREF _Toc73213594 \h </w:instrText>
            </w:r>
            <w:r w:rsidR="00736F11">
              <w:rPr>
                <w:webHidden/>
              </w:rPr>
            </w:r>
            <w:r w:rsidR="00736F11">
              <w:rPr>
                <w:webHidden/>
              </w:rPr>
              <w:fldChar w:fldCharType="separate"/>
            </w:r>
            <w:r w:rsidR="00736F11">
              <w:rPr>
                <w:webHidden/>
              </w:rPr>
              <w:t>14</w:t>
            </w:r>
            <w:r w:rsidR="00736F11">
              <w:rPr>
                <w:webHidden/>
              </w:rPr>
              <w:fldChar w:fldCharType="end"/>
            </w:r>
          </w:hyperlink>
        </w:p>
        <w:p w14:paraId="0EE46A84" w14:textId="3242144A" w:rsidR="00736F11" w:rsidRDefault="007435AB">
          <w:pPr>
            <w:pStyle w:val="Sommario3"/>
            <w:tabs>
              <w:tab w:val="left" w:pos="1903"/>
              <w:tab w:val="right" w:leader="dot" w:pos="9016"/>
            </w:tabs>
            <w:rPr>
              <w:rFonts w:asciiTheme="minorHAnsi" w:eastAsiaTheme="minorEastAsia" w:hAnsiTheme="minorHAnsi" w:cstheme="minorBidi"/>
              <w:sz w:val="22"/>
              <w:szCs w:val="22"/>
              <w:lang w:eastAsia="it-IT"/>
            </w:rPr>
          </w:pPr>
          <w:hyperlink w:anchor="_Toc73213595" w:history="1">
            <w:r w:rsidR="00736F11" w:rsidRPr="00344D8C">
              <w:rPr>
                <w:rStyle w:val="Collegamentoipertestuale"/>
              </w:rPr>
              <w:t>4.4.1</w:t>
            </w:r>
            <w:r w:rsidR="00736F11">
              <w:rPr>
                <w:rFonts w:asciiTheme="minorHAnsi" w:eastAsiaTheme="minorEastAsia" w:hAnsiTheme="minorHAnsi" w:cstheme="minorBidi"/>
                <w:sz w:val="22"/>
                <w:szCs w:val="22"/>
                <w:lang w:eastAsia="it-IT"/>
              </w:rPr>
              <w:tab/>
            </w:r>
            <w:r w:rsidR="00736F11" w:rsidRPr="00344D8C">
              <w:rPr>
                <w:rStyle w:val="Collegamentoipertestuale"/>
              </w:rPr>
              <w:t>Richieste puntuali</w:t>
            </w:r>
            <w:r w:rsidR="00736F11">
              <w:rPr>
                <w:webHidden/>
              </w:rPr>
              <w:tab/>
            </w:r>
            <w:r w:rsidR="00736F11">
              <w:rPr>
                <w:webHidden/>
              </w:rPr>
              <w:fldChar w:fldCharType="begin"/>
            </w:r>
            <w:r w:rsidR="00736F11">
              <w:rPr>
                <w:webHidden/>
              </w:rPr>
              <w:instrText xml:space="preserve"> PAGEREF _Toc73213595 \h </w:instrText>
            </w:r>
            <w:r w:rsidR="00736F11">
              <w:rPr>
                <w:webHidden/>
              </w:rPr>
            </w:r>
            <w:r w:rsidR="00736F11">
              <w:rPr>
                <w:webHidden/>
              </w:rPr>
              <w:fldChar w:fldCharType="separate"/>
            </w:r>
            <w:r w:rsidR="00736F11">
              <w:rPr>
                <w:webHidden/>
              </w:rPr>
              <w:t>15</w:t>
            </w:r>
            <w:r w:rsidR="00736F11">
              <w:rPr>
                <w:webHidden/>
              </w:rPr>
              <w:fldChar w:fldCharType="end"/>
            </w:r>
          </w:hyperlink>
        </w:p>
        <w:p w14:paraId="6BD71448" w14:textId="5F07AC11" w:rsidR="00736F11" w:rsidRDefault="007435AB">
          <w:pPr>
            <w:pStyle w:val="Sommario3"/>
            <w:tabs>
              <w:tab w:val="left" w:pos="1903"/>
              <w:tab w:val="right" w:leader="dot" w:pos="9016"/>
            </w:tabs>
            <w:rPr>
              <w:rFonts w:asciiTheme="minorHAnsi" w:eastAsiaTheme="minorEastAsia" w:hAnsiTheme="minorHAnsi" w:cstheme="minorBidi"/>
              <w:sz w:val="22"/>
              <w:szCs w:val="22"/>
              <w:lang w:eastAsia="it-IT"/>
            </w:rPr>
          </w:pPr>
          <w:hyperlink w:anchor="_Toc73213596" w:history="1">
            <w:r w:rsidR="00736F11" w:rsidRPr="00344D8C">
              <w:rPr>
                <w:rStyle w:val="Collegamentoipertestuale"/>
              </w:rPr>
              <w:t>4.4.2</w:t>
            </w:r>
            <w:r w:rsidR="00736F11">
              <w:rPr>
                <w:rFonts w:asciiTheme="minorHAnsi" w:eastAsiaTheme="minorEastAsia" w:hAnsiTheme="minorHAnsi" w:cstheme="minorBidi"/>
                <w:sz w:val="22"/>
                <w:szCs w:val="22"/>
                <w:lang w:eastAsia="it-IT"/>
              </w:rPr>
              <w:tab/>
            </w:r>
            <w:r w:rsidR="00736F11" w:rsidRPr="00344D8C">
              <w:rPr>
                <w:rStyle w:val="Collegamentoipertestuale"/>
              </w:rPr>
              <w:t>Richieste continuative</w:t>
            </w:r>
            <w:r w:rsidR="00736F11">
              <w:rPr>
                <w:webHidden/>
              </w:rPr>
              <w:tab/>
            </w:r>
            <w:r w:rsidR="00736F11">
              <w:rPr>
                <w:webHidden/>
              </w:rPr>
              <w:fldChar w:fldCharType="begin"/>
            </w:r>
            <w:r w:rsidR="00736F11">
              <w:rPr>
                <w:webHidden/>
              </w:rPr>
              <w:instrText xml:space="preserve"> PAGEREF _Toc73213596 \h </w:instrText>
            </w:r>
            <w:r w:rsidR="00736F11">
              <w:rPr>
                <w:webHidden/>
              </w:rPr>
            </w:r>
            <w:r w:rsidR="00736F11">
              <w:rPr>
                <w:webHidden/>
              </w:rPr>
              <w:fldChar w:fldCharType="separate"/>
            </w:r>
            <w:r w:rsidR="00736F11">
              <w:rPr>
                <w:webHidden/>
              </w:rPr>
              <w:t>15</w:t>
            </w:r>
            <w:r w:rsidR="00736F11">
              <w:rPr>
                <w:webHidden/>
              </w:rPr>
              <w:fldChar w:fldCharType="end"/>
            </w:r>
          </w:hyperlink>
        </w:p>
        <w:p w14:paraId="3531EF30" w14:textId="11713063" w:rsidR="00736F11" w:rsidRDefault="007435AB">
          <w:pPr>
            <w:pStyle w:val="Sommario1"/>
            <w:tabs>
              <w:tab w:val="left" w:pos="1978"/>
            </w:tabs>
            <w:rPr>
              <w:rFonts w:asciiTheme="minorHAnsi" w:eastAsiaTheme="minorEastAsia" w:hAnsiTheme="minorHAnsi" w:cstheme="minorBidi"/>
              <w:b w:val="0"/>
              <w:color w:val="auto"/>
              <w:sz w:val="22"/>
              <w:szCs w:val="22"/>
              <w:lang w:eastAsia="it-IT"/>
            </w:rPr>
          </w:pPr>
          <w:hyperlink w:anchor="_Toc73213597" w:history="1">
            <w:r w:rsidR="00736F11" w:rsidRPr="00344D8C">
              <w:rPr>
                <w:rStyle w:val="Collegamentoipertestuale"/>
                <w:rFonts w:eastAsia="Arial" w:cs="Arial"/>
              </w:rPr>
              <w:t>Capitolo 5</w:t>
            </w:r>
            <w:r w:rsidR="00736F11">
              <w:rPr>
                <w:rFonts w:asciiTheme="minorHAnsi" w:eastAsiaTheme="minorEastAsia" w:hAnsiTheme="minorHAnsi" w:cstheme="minorBidi"/>
                <w:b w:val="0"/>
                <w:color w:val="auto"/>
                <w:sz w:val="22"/>
                <w:szCs w:val="22"/>
                <w:lang w:eastAsia="it-IT"/>
              </w:rPr>
              <w:tab/>
            </w:r>
            <w:r w:rsidR="00736F11" w:rsidRPr="00344D8C">
              <w:rPr>
                <w:rStyle w:val="Collegamentoipertestuale"/>
              </w:rPr>
              <w:t>Specifiche di funzionamento</w:t>
            </w:r>
            <w:r w:rsidR="00736F11">
              <w:rPr>
                <w:webHidden/>
              </w:rPr>
              <w:tab/>
            </w:r>
            <w:r w:rsidR="00736F11">
              <w:rPr>
                <w:webHidden/>
              </w:rPr>
              <w:fldChar w:fldCharType="begin"/>
            </w:r>
            <w:r w:rsidR="00736F11">
              <w:rPr>
                <w:webHidden/>
              </w:rPr>
              <w:instrText xml:space="preserve"> PAGEREF _Toc73213597 \h </w:instrText>
            </w:r>
            <w:r w:rsidR="00736F11">
              <w:rPr>
                <w:webHidden/>
              </w:rPr>
            </w:r>
            <w:r w:rsidR="00736F11">
              <w:rPr>
                <w:webHidden/>
              </w:rPr>
              <w:fldChar w:fldCharType="separate"/>
            </w:r>
            <w:r w:rsidR="00736F11">
              <w:rPr>
                <w:webHidden/>
              </w:rPr>
              <w:t>17</w:t>
            </w:r>
            <w:r w:rsidR="00736F11">
              <w:rPr>
                <w:webHidden/>
              </w:rPr>
              <w:fldChar w:fldCharType="end"/>
            </w:r>
          </w:hyperlink>
        </w:p>
        <w:p w14:paraId="57B1E6F8" w14:textId="1CE5331B"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98" w:history="1">
            <w:r w:rsidR="00736F11" w:rsidRPr="00344D8C">
              <w:rPr>
                <w:rStyle w:val="Collegamentoipertestuale"/>
              </w:rPr>
              <w:t>5.1</w:t>
            </w:r>
            <w:r w:rsidR="00736F11">
              <w:rPr>
                <w:rFonts w:asciiTheme="minorHAnsi" w:eastAsiaTheme="minorEastAsia" w:hAnsiTheme="minorHAnsi" w:cstheme="minorBidi"/>
                <w:sz w:val="22"/>
                <w:szCs w:val="22"/>
                <w:lang w:eastAsia="it-IT"/>
              </w:rPr>
              <w:tab/>
            </w:r>
            <w:r w:rsidR="00736F11" w:rsidRPr="00344D8C">
              <w:rPr>
                <w:rStyle w:val="Collegamentoipertestuale"/>
              </w:rPr>
              <w:t>Flusso applicativo senza necessità del consenso dell’utente</w:t>
            </w:r>
            <w:r w:rsidR="00736F11">
              <w:rPr>
                <w:webHidden/>
              </w:rPr>
              <w:tab/>
            </w:r>
            <w:r w:rsidR="00736F11">
              <w:rPr>
                <w:webHidden/>
              </w:rPr>
              <w:fldChar w:fldCharType="begin"/>
            </w:r>
            <w:r w:rsidR="00736F11">
              <w:rPr>
                <w:webHidden/>
              </w:rPr>
              <w:instrText xml:space="preserve"> PAGEREF _Toc73213598 \h </w:instrText>
            </w:r>
            <w:r w:rsidR="00736F11">
              <w:rPr>
                <w:webHidden/>
              </w:rPr>
            </w:r>
            <w:r w:rsidR="00736F11">
              <w:rPr>
                <w:webHidden/>
              </w:rPr>
              <w:fldChar w:fldCharType="separate"/>
            </w:r>
            <w:r w:rsidR="00736F11">
              <w:rPr>
                <w:webHidden/>
              </w:rPr>
              <w:t>17</w:t>
            </w:r>
            <w:r w:rsidR="00736F11">
              <w:rPr>
                <w:webHidden/>
              </w:rPr>
              <w:fldChar w:fldCharType="end"/>
            </w:r>
          </w:hyperlink>
        </w:p>
        <w:p w14:paraId="5EF68C76" w14:textId="4425AF50"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599" w:history="1">
            <w:r w:rsidR="00736F11" w:rsidRPr="00344D8C">
              <w:rPr>
                <w:rStyle w:val="Collegamentoipertestuale"/>
              </w:rPr>
              <w:t>5.2</w:t>
            </w:r>
            <w:r w:rsidR="00736F11">
              <w:rPr>
                <w:rFonts w:asciiTheme="minorHAnsi" w:eastAsiaTheme="minorEastAsia" w:hAnsiTheme="minorHAnsi" w:cstheme="minorBidi"/>
                <w:sz w:val="22"/>
                <w:szCs w:val="22"/>
                <w:lang w:eastAsia="it-IT"/>
              </w:rPr>
              <w:tab/>
            </w:r>
            <w:r w:rsidR="00736F11" w:rsidRPr="00344D8C">
              <w:rPr>
                <w:rStyle w:val="Collegamentoipertestuale"/>
              </w:rPr>
              <w:t>Flusso applicativo che richiede il consenso dell’utente</w:t>
            </w:r>
            <w:r w:rsidR="00736F11">
              <w:rPr>
                <w:webHidden/>
              </w:rPr>
              <w:tab/>
            </w:r>
            <w:r w:rsidR="00736F11">
              <w:rPr>
                <w:webHidden/>
              </w:rPr>
              <w:fldChar w:fldCharType="begin"/>
            </w:r>
            <w:r w:rsidR="00736F11">
              <w:rPr>
                <w:webHidden/>
              </w:rPr>
              <w:instrText xml:space="preserve"> PAGEREF _Toc73213599 \h </w:instrText>
            </w:r>
            <w:r w:rsidR="00736F11">
              <w:rPr>
                <w:webHidden/>
              </w:rPr>
            </w:r>
            <w:r w:rsidR="00736F11">
              <w:rPr>
                <w:webHidden/>
              </w:rPr>
              <w:fldChar w:fldCharType="separate"/>
            </w:r>
            <w:r w:rsidR="00736F11">
              <w:rPr>
                <w:webHidden/>
              </w:rPr>
              <w:t>18</w:t>
            </w:r>
            <w:r w:rsidR="00736F11">
              <w:rPr>
                <w:webHidden/>
              </w:rPr>
              <w:fldChar w:fldCharType="end"/>
            </w:r>
          </w:hyperlink>
        </w:p>
        <w:p w14:paraId="337778F0" w14:textId="6126B8F0"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600" w:history="1">
            <w:r w:rsidR="00736F11" w:rsidRPr="00344D8C">
              <w:rPr>
                <w:rStyle w:val="Collegamentoipertestuale"/>
              </w:rPr>
              <w:t>5.3</w:t>
            </w:r>
            <w:r w:rsidR="00736F11">
              <w:rPr>
                <w:rFonts w:asciiTheme="minorHAnsi" w:eastAsiaTheme="minorEastAsia" w:hAnsiTheme="minorHAnsi" w:cstheme="minorBidi"/>
                <w:sz w:val="22"/>
                <w:szCs w:val="22"/>
                <w:lang w:eastAsia="it-IT"/>
              </w:rPr>
              <w:tab/>
            </w:r>
            <w:r w:rsidR="00736F11" w:rsidRPr="00344D8C">
              <w:rPr>
                <w:rStyle w:val="Collegamentoipertestuale"/>
              </w:rPr>
              <w:t>Infrastruttura a chiave pubblica (pki) e trust model</w:t>
            </w:r>
            <w:r w:rsidR="00736F11">
              <w:rPr>
                <w:webHidden/>
              </w:rPr>
              <w:tab/>
            </w:r>
            <w:r w:rsidR="00736F11">
              <w:rPr>
                <w:webHidden/>
              </w:rPr>
              <w:fldChar w:fldCharType="begin"/>
            </w:r>
            <w:r w:rsidR="00736F11">
              <w:rPr>
                <w:webHidden/>
              </w:rPr>
              <w:instrText xml:space="preserve"> PAGEREF _Toc73213600 \h </w:instrText>
            </w:r>
            <w:r w:rsidR="00736F11">
              <w:rPr>
                <w:webHidden/>
              </w:rPr>
            </w:r>
            <w:r w:rsidR="00736F11">
              <w:rPr>
                <w:webHidden/>
              </w:rPr>
              <w:fldChar w:fldCharType="separate"/>
            </w:r>
            <w:r w:rsidR="00736F11">
              <w:rPr>
                <w:webHidden/>
              </w:rPr>
              <w:t>19</w:t>
            </w:r>
            <w:r w:rsidR="00736F11">
              <w:rPr>
                <w:webHidden/>
              </w:rPr>
              <w:fldChar w:fldCharType="end"/>
            </w:r>
          </w:hyperlink>
        </w:p>
        <w:p w14:paraId="09676283" w14:textId="4E95474A"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601" w:history="1">
            <w:r w:rsidR="00736F11" w:rsidRPr="00344D8C">
              <w:rPr>
                <w:rStyle w:val="Collegamentoipertestuale"/>
              </w:rPr>
              <w:t>5.4</w:t>
            </w:r>
            <w:r w:rsidR="00736F11">
              <w:rPr>
                <w:rFonts w:asciiTheme="minorHAnsi" w:eastAsiaTheme="minorEastAsia" w:hAnsiTheme="minorHAnsi" w:cstheme="minorBidi"/>
                <w:sz w:val="22"/>
                <w:szCs w:val="22"/>
                <w:lang w:eastAsia="it-IT"/>
              </w:rPr>
              <w:tab/>
            </w:r>
            <w:r w:rsidR="00736F11" w:rsidRPr="00344D8C">
              <w:rPr>
                <w:rStyle w:val="Collegamentoipertestuale"/>
              </w:rPr>
              <w:t>Servizio di consultazione per l’utente</w:t>
            </w:r>
            <w:r w:rsidR="00736F11">
              <w:rPr>
                <w:webHidden/>
              </w:rPr>
              <w:tab/>
            </w:r>
            <w:r w:rsidR="00736F11">
              <w:rPr>
                <w:webHidden/>
              </w:rPr>
              <w:fldChar w:fldCharType="begin"/>
            </w:r>
            <w:r w:rsidR="00736F11">
              <w:rPr>
                <w:webHidden/>
              </w:rPr>
              <w:instrText xml:space="preserve"> PAGEREF _Toc73213601 \h </w:instrText>
            </w:r>
            <w:r w:rsidR="00736F11">
              <w:rPr>
                <w:webHidden/>
              </w:rPr>
            </w:r>
            <w:r w:rsidR="00736F11">
              <w:rPr>
                <w:webHidden/>
              </w:rPr>
              <w:fldChar w:fldCharType="separate"/>
            </w:r>
            <w:r w:rsidR="00736F11">
              <w:rPr>
                <w:webHidden/>
              </w:rPr>
              <w:t>19</w:t>
            </w:r>
            <w:r w:rsidR="00736F11">
              <w:rPr>
                <w:webHidden/>
              </w:rPr>
              <w:fldChar w:fldCharType="end"/>
            </w:r>
          </w:hyperlink>
        </w:p>
        <w:p w14:paraId="5E3AEE77" w14:textId="49628A92" w:rsidR="00736F11" w:rsidRDefault="007435AB">
          <w:pPr>
            <w:pStyle w:val="Sommario2"/>
            <w:tabs>
              <w:tab w:val="left" w:pos="1540"/>
              <w:tab w:val="right" w:leader="dot" w:pos="9016"/>
            </w:tabs>
            <w:rPr>
              <w:rFonts w:asciiTheme="minorHAnsi" w:eastAsiaTheme="minorEastAsia" w:hAnsiTheme="minorHAnsi" w:cstheme="minorBidi"/>
              <w:sz w:val="22"/>
              <w:szCs w:val="22"/>
              <w:lang w:eastAsia="it-IT"/>
            </w:rPr>
          </w:pPr>
          <w:hyperlink w:anchor="_Toc73213602" w:history="1">
            <w:r w:rsidR="00736F11" w:rsidRPr="00344D8C">
              <w:rPr>
                <w:rStyle w:val="Collegamentoipertestuale"/>
              </w:rPr>
              <w:t>5.5</w:t>
            </w:r>
            <w:r w:rsidR="00736F11">
              <w:rPr>
                <w:rFonts w:asciiTheme="minorHAnsi" w:eastAsiaTheme="minorEastAsia" w:hAnsiTheme="minorHAnsi" w:cstheme="minorBidi"/>
                <w:sz w:val="22"/>
                <w:szCs w:val="22"/>
                <w:lang w:eastAsia="it-IT"/>
              </w:rPr>
              <w:tab/>
            </w:r>
            <w:r w:rsidR="00736F11" w:rsidRPr="00344D8C">
              <w:rPr>
                <w:rStyle w:val="Collegamentoipertestuale"/>
              </w:rPr>
              <w:t>Registro delle Attribute Authority</w:t>
            </w:r>
            <w:r w:rsidR="00736F11">
              <w:rPr>
                <w:webHidden/>
              </w:rPr>
              <w:tab/>
            </w:r>
            <w:r w:rsidR="00736F11">
              <w:rPr>
                <w:webHidden/>
              </w:rPr>
              <w:fldChar w:fldCharType="begin"/>
            </w:r>
            <w:r w:rsidR="00736F11">
              <w:rPr>
                <w:webHidden/>
              </w:rPr>
              <w:instrText xml:space="preserve"> PAGEREF _Toc73213602 \h </w:instrText>
            </w:r>
            <w:r w:rsidR="00736F11">
              <w:rPr>
                <w:webHidden/>
              </w:rPr>
            </w:r>
            <w:r w:rsidR="00736F11">
              <w:rPr>
                <w:webHidden/>
              </w:rPr>
              <w:fldChar w:fldCharType="separate"/>
            </w:r>
            <w:r w:rsidR="00736F11">
              <w:rPr>
                <w:webHidden/>
              </w:rPr>
              <w:t>20</w:t>
            </w:r>
            <w:r w:rsidR="00736F11">
              <w:rPr>
                <w:webHidden/>
              </w:rPr>
              <w:fldChar w:fldCharType="end"/>
            </w:r>
          </w:hyperlink>
        </w:p>
        <w:p w14:paraId="5DEC7083" w14:textId="15DB31E3" w:rsidR="00AA745D" w:rsidRDefault="00AA745D">
          <w:r>
            <w:rPr>
              <w:b/>
              <w:bCs/>
            </w:rPr>
            <w:fldChar w:fldCharType="end"/>
          </w:r>
        </w:p>
      </w:sdtContent>
    </w:sdt>
    <w:p w14:paraId="52A5455A" w14:textId="77777777" w:rsidR="00AD4481" w:rsidRDefault="00384D03" w:rsidP="00AA745D">
      <w:pPr>
        <w:pStyle w:val="Titolo1"/>
      </w:pPr>
      <w:r>
        <w:lastRenderedPageBreak/>
        <w:br/>
      </w:r>
      <w:bookmarkStart w:id="0" w:name="_Toc73213577"/>
      <w:r>
        <w:t>Prefazione</w:t>
      </w:r>
      <w:bookmarkEnd w:id="0"/>
    </w:p>
    <w:p w14:paraId="29627FE3" w14:textId="77777777" w:rsidR="00AD4481" w:rsidRDefault="00384D03" w:rsidP="00736F11">
      <w:pPr>
        <w:ind w:firstLine="567"/>
        <w:jc w:val="both"/>
      </w:pPr>
      <w:r>
        <w:t>Conformemente alle norme ISO/IEC Directives, Part 3 per la stesura dei documenti tecnici la presente linea guida utilizzerà le parole chiave «DEVE», «DEVONO», «NON DEVE», «NON DEVONO», «E’ RICHIESTO», «DOVREBBE», «NON DOVREBBE», «RACCOMANDATO», «NON RACCOMANDATO» «PUO”» e «OPZIONALE», la cui interpretazione è descritta di seguito.</w:t>
      </w:r>
    </w:p>
    <w:p w14:paraId="42D0FA69" w14:textId="77777777" w:rsidR="00AD4481" w:rsidRDefault="00384D03" w:rsidP="00736F11">
      <w:pPr>
        <w:numPr>
          <w:ilvl w:val="0"/>
          <w:numId w:val="11"/>
        </w:numPr>
        <w:pBdr>
          <w:top w:val="nil"/>
          <w:left w:val="nil"/>
          <w:bottom w:val="nil"/>
          <w:right w:val="nil"/>
          <w:between w:val="nil"/>
        </w:pBdr>
        <w:spacing w:after="0"/>
        <w:jc w:val="both"/>
      </w:pPr>
      <w:r>
        <w:rPr>
          <w:b/>
          <w:color w:val="000000"/>
        </w:rPr>
        <w:t>DEVE</w:t>
      </w:r>
      <w:r>
        <w:rPr>
          <w:color w:val="000000"/>
        </w:rPr>
        <w:t xml:space="preserve"> o </w:t>
      </w:r>
      <w:r>
        <w:rPr>
          <w:b/>
          <w:color w:val="000000"/>
        </w:rPr>
        <w:t>DEVONO</w:t>
      </w:r>
      <w:r>
        <w:rPr>
          <w:color w:val="000000"/>
        </w:rPr>
        <w:t>, indicano un requisito obbligatorio per rispettare la linea guida;</w:t>
      </w:r>
    </w:p>
    <w:p w14:paraId="66236AE7" w14:textId="77777777" w:rsidR="00AD4481" w:rsidRDefault="00384D03" w:rsidP="00736F11">
      <w:pPr>
        <w:numPr>
          <w:ilvl w:val="0"/>
          <w:numId w:val="11"/>
        </w:numPr>
        <w:pBdr>
          <w:top w:val="nil"/>
          <w:left w:val="nil"/>
          <w:bottom w:val="nil"/>
          <w:right w:val="nil"/>
          <w:between w:val="nil"/>
        </w:pBdr>
        <w:spacing w:after="0"/>
        <w:jc w:val="both"/>
      </w:pPr>
      <w:r>
        <w:rPr>
          <w:b/>
          <w:color w:val="000000"/>
        </w:rPr>
        <w:t>NON DEVE</w:t>
      </w:r>
      <w:r>
        <w:rPr>
          <w:color w:val="000000"/>
        </w:rPr>
        <w:t xml:space="preserve"> o </w:t>
      </w:r>
      <w:r>
        <w:rPr>
          <w:b/>
          <w:color w:val="000000"/>
        </w:rPr>
        <w:t>NON DEVONO</w:t>
      </w:r>
      <w:r>
        <w:rPr>
          <w:color w:val="000000"/>
        </w:rPr>
        <w:t>, indicano un assoluto divieto delle specifiche;</w:t>
      </w:r>
    </w:p>
    <w:p w14:paraId="77C91B2C" w14:textId="77777777" w:rsidR="00AD4481" w:rsidRDefault="00384D03" w:rsidP="00736F11">
      <w:pPr>
        <w:numPr>
          <w:ilvl w:val="0"/>
          <w:numId w:val="11"/>
        </w:numPr>
        <w:pBdr>
          <w:top w:val="nil"/>
          <w:left w:val="nil"/>
          <w:bottom w:val="nil"/>
          <w:right w:val="nil"/>
          <w:between w:val="nil"/>
        </w:pBdr>
        <w:spacing w:after="0"/>
        <w:jc w:val="both"/>
      </w:pPr>
      <w:r>
        <w:rPr>
          <w:b/>
          <w:color w:val="000000"/>
        </w:rPr>
        <w:t>DOVREBBE</w:t>
      </w:r>
      <w:r>
        <w:rPr>
          <w:color w:val="000000"/>
        </w:rPr>
        <w:t xml:space="preserve"> o </w:t>
      </w:r>
      <w:r>
        <w:rPr>
          <w:b/>
          <w:color w:val="000000"/>
        </w:rPr>
        <w:t xml:space="preserve">RACCOMANDATO </w:t>
      </w:r>
      <w:r>
        <w:rPr>
          <w:color w:val="000000"/>
        </w:rPr>
        <w:t>o</w:t>
      </w:r>
      <w:r>
        <w:rPr>
          <w:b/>
          <w:color w:val="000000"/>
        </w:rPr>
        <w:t xml:space="preserve"> NON DOVREBBE</w:t>
      </w:r>
      <w:r>
        <w:rPr>
          <w:color w:val="000000"/>
        </w:rPr>
        <w:t xml:space="preserve"> o </w:t>
      </w:r>
      <w:r>
        <w:rPr>
          <w:b/>
          <w:color w:val="000000"/>
        </w:rPr>
        <w:t>NON RACCOMANDATO</w:t>
      </w:r>
      <w:r>
        <w:rPr>
          <w:color w:val="000000"/>
        </w:rPr>
        <w:t>, indicano che le implicazioni devono essere comprese e attentamente pesate prima di scegliere approcci alternativi;</w:t>
      </w:r>
    </w:p>
    <w:p w14:paraId="79245F77" w14:textId="77777777" w:rsidR="00AD4481" w:rsidRDefault="007435AB" w:rsidP="00736F11">
      <w:pPr>
        <w:numPr>
          <w:ilvl w:val="0"/>
          <w:numId w:val="11"/>
        </w:numPr>
        <w:pBdr>
          <w:top w:val="nil"/>
          <w:left w:val="nil"/>
          <w:bottom w:val="nil"/>
          <w:right w:val="nil"/>
          <w:between w:val="nil"/>
        </w:pBdr>
        <w:jc w:val="both"/>
        <w:rPr>
          <w:b/>
          <w:color w:val="000000"/>
        </w:rPr>
      </w:pPr>
      <w:sdt>
        <w:sdtPr>
          <w:tag w:val="goog_rdk_0"/>
          <w:id w:val="-1445150093"/>
        </w:sdtPr>
        <w:sdtEndPr/>
        <w:sdtContent>
          <w:r w:rsidR="00384D03">
            <w:rPr>
              <w:rFonts w:ascii="Cardo" w:eastAsia="Cardo" w:hAnsi="Cardo" w:cs="Cardo"/>
              <w:b/>
              <w:color w:val="000000"/>
            </w:rPr>
            <w:t xml:space="preserve">PUÓ </w:t>
          </w:r>
        </w:sdtContent>
      </w:sdt>
      <w:r w:rsidR="00384D03">
        <w:rPr>
          <w:color w:val="000000"/>
        </w:rPr>
        <w:t xml:space="preserve">o </w:t>
      </w:r>
      <w:r w:rsidR="00384D03">
        <w:rPr>
          <w:b/>
          <w:color w:val="000000"/>
        </w:rPr>
        <w:t>POSSONO</w:t>
      </w:r>
      <w:r w:rsidR="00384D03">
        <w:rPr>
          <w:color w:val="000000"/>
        </w:rPr>
        <w:t xml:space="preserve"> o l'aggettivo </w:t>
      </w:r>
      <w:r w:rsidR="00384D03">
        <w:rPr>
          <w:b/>
          <w:color w:val="000000"/>
        </w:rPr>
        <w:t>OPZIONALE</w:t>
      </w:r>
      <w:r w:rsidR="00384D03">
        <w:rPr>
          <w:color w:val="000000"/>
        </w:rPr>
        <w:t>, indica che il lettore può scegliere di applicare o meno senza alcun tipo di implicazione la specifica.</w:t>
      </w:r>
    </w:p>
    <w:p w14:paraId="036F5B6F" w14:textId="77777777" w:rsidR="00AD4481" w:rsidRDefault="00384D03" w:rsidP="00AA745D">
      <w:pPr>
        <w:pStyle w:val="Titolo1"/>
      </w:pPr>
      <w:bookmarkStart w:id="1" w:name="_Toc73213578"/>
      <w:r>
        <w:lastRenderedPageBreak/>
        <w:t>Introduzione</w:t>
      </w:r>
      <w:bookmarkEnd w:id="1"/>
    </w:p>
    <w:p w14:paraId="621366E5" w14:textId="77777777" w:rsidR="00AD4481" w:rsidRDefault="00384D03">
      <w:pPr>
        <w:pStyle w:val="Titolo2"/>
        <w:numPr>
          <w:ilvl w:val="1"/>
          <w:numId w:val="8"/>
        </w:numPr>
      </w:pPr>
      <w:bookmarkStart w:id="2" w:name="_Toc73213579"/>
      <w:r>
        <w:t>Scopo</w:t>
      </w:r>
      <w:bookmarkEnd w:id="2"/>
    </w:p>
    <w:p w14:paraId="1D5F5A87" w14:textId="77777777" w:rsidR="00AD4481" w:rsidRDefault="00384D03" w:rsidP="000D7FAD">
      <w:pPr>
        <w:ind w:firstLine="567"/>
        <w:jc w:val="both"/>
      </w:pPr>
      <w:r>
        <w:t xml:space="preserve">La presente </w:t>
      </w:r>
      <w:r>
        <w:rPr>
          <w:b/>
        </w:rPr>
        <w:t xml:space="preserve">Linea guida - Regola Tecnica, </w:t>
      </w:r>
      <w:r>
        <w:t>nel seguito indicata come LG,</w:t>
      </w:r>
      <w:r>
        <w:rPr>
          <w:b/>
        </w:rPr>
        <w:t xml:space="preserve"> </w:t>
      </w:r>
      <w:r>
        <w:t>ha lo scopo di definire i requisiti per la realizzazione dell’architettura dei gestori di attributi qualificati ex art.1, comma 1, lettera m) del DPCM 24 ottobre 2014 (GU n.285 del 9­12­2014), nel seguito Attribute Authority.</w:t>
      </w:r>
    </w:p>
    <w:p w14:paraId="6E209FC4" w14:textId="77777777" w:rsidR="00AD4481" w:rsidRDefault="00384D03" w:rsidP="000D7FAD">
      <w:pPr>
        <w:ind w:firstLine="567"/>
        <w:jc w:val="both"/>
      </w:pPr>
      <w:r>
        <w:t>La presente LG viene emessa ai sensi dell’articolo 71 del decreto legislativo 7 marzo 2005, n. 82 e successive modifiche e integrazioni (di seguito CAD) e della Determinazione AgID n. 160 del 2018 recante «Regolamento per l’adozione di linee guida per l’attuazione del Codice dell’Amministrazione Digitale».</w:t>
      </w:r>
    </w:p>
    <w:p w14:paraId="749E2147" w14:textId="77777777" w:rsidR="00AD4481" w:rsidRDefault="00AD4481"/>
    <w:p w14:paraId="716FA364" w14:textId="77777777" w:rsidR="00AD4481" w:rsidRDefault="00384D03">
      <w:pPr>
        <w:pStyle w:val="Titolo2"/>
        <w:numPr>
          <w:ilvl w:val="1"/>
          <w:numId w:val="8"/>
        </w:numPr>
      </w:pPr>
      <w:bookmarkStart w:id="3" w:name="_Toc73213580"/>
      <w:r>
        <w:t>Struttura</w:t>
      </w:r>
      <w:bookmarkEnd w:id="3"/>
    </w:p>
    <w:p w14:paraId="62DC243E" w14:textId="77777777" w:rsidR="00AD4481" w:rsidRPr="007454C6" w:rsidRDefault="00384D03" w:rsidP="000D7FAD">
      <w:pPr>
        <w:ind w:firstLine="567"/>
        <w:jc w:val="both"/>
      </w:pPr>
      <w:r w:rsidRPr="007454C6">
        <w:t>Parte integrante della presente LG sono i seguenti allegati e tecnici che definiscono le specifiche tecniche implementative che possono variare nel tempo ma che non modificano il riferimento e le regole definite nella presente LG:</w:t>
      </w:r>
    </w:p>
    <w:p w14:paraId="32675489" w14:textId="77777777" w:rsidR="00AD4481" w:rsidRPr="007454C6" w:rsidRDefault="00384D03" w:rsidP="000D7FAD">
      <w:pPr>
        <w:numPr>
          <w:ilvl w:val="0"/>
          <w:numId w:val="9"/>
        </w:numPr>
        <w:pBdr>
          <w:top w:val="nil"/>
          <w:left w:val="nil"/>
          <w:bottom w:val="nil"/>
          <w:right w:val="nil"/>
          <w:between w:val="nil"/>
        </w:pBdr>
        <w:spacing w:after="0"/>
        <w:jc w:val="both"/>
        <w:rPr>
          <w:color w:val="000000"/>
        </w:rPr>
      </w:pPr>
      <w:r w:rsidRPr="007454C6">
        <w:rPr>
          <w:color w:val="000000"/>
        </w:rPr>
        <w:t>Allegato tecnico OAS3</w:t>
      </w:r>
    </w:p>
    <w:p w14:paraId="4122E8D5" w14:textId="77777777" w:rsidR="00AD4481" w:rsidRPr="007454C6" w:rsidRDefault="00384D03" w:rsidP="000D7FAD">
      <w:pPr>
        <w:numPr>
          <w:ilvl w:val="0"/>
          <w:numId w:val="9"/>
        </w:numPr>
        <w:pBdr>
          <w:top w:val="nil"/>
          <w:left w:val="nil"/>
          <w:bottom w:val="nil"/>
          <w:right w:val="nil"/>
          <w:between w:val="nil"/>
        </w:pBdr>
        <w:jc w:val="both"/>
        <w:rPr>
          <w:color w:val="000000"/>
        </w:rPr>
      </w:pPr>
      <w:r w:rsidRPr="007454C6">
        <w:rPr>
          <w:color w:val="000000"/>
        </w:rPr>
        <w:t>Allegato tecnico SAML (riservato alla AA Gestore delle deleghe, amministrazioni di sostegno e tutele)</w:t>
      </w:r>
    </w:p>
    <w:p w14:paraId="734AFDC8" w14:textId="77777777" w:rsidR="00AD4481" w:rsidRDefault="00384D03" w:rsidP="000D7FAD">
      <w:pPr>
        <w:ind w:firstLine="567"/>
        <w:jc w:val="both"/>
      </w:pPr>
      <w:r>
        <w:t>Ogni gestore di attributi qualificati ha la facoltà di definire in apposita documentazione le caratteristiche del servizio prestato, sempre nel rispetto delle presenti LG.</w:t>
      </w:r>
    </w:p>
    <w:p w14:paraId="1EF6C9A9" w14:textId="77777777" w:rsidR="00AD4481" w:rsidRDefault="00384D03">
      <w:pPr>
        <w:pStyle w:val="Titolo2"/>
        <w:numPr>
          <w:ilvl w:val="1"/>
          <w:numId w:val="8"/>
        </w:numPr>
      </w:pPr>
      <w:bookmarkStart w:id="4" w:name="_Toc73213581"/>
      <w:r>
        <w:t>Gruppo di lavoro</w:t>
      </w:r>
      <w:bookmarkEnd w:id="4"/>
    </w:p>
    <w:p w14:paraId="7CA3105D" w14:textId="77777777" w:rsidR="00AD4481" w:rsidRDefault="00384D03">
      <w:pPr>
        <w:ind w:firstLine="567"/>
        <w:jc w:val="both"/>
        <w:rPr>
          <w:color w:val="000000"/>
        </w:rPr>
      </w:pPr>
      <w:r>
        <w:t>La redazione del presente documento è stata curata dal gruppo di lavoro AgID con la collaborazione del Ministero per l’Innovazione tecnologica e la la digitalizzazione.</w:t>
      </w:r>
    </w:p>
    <w:p w14:paraId="16B7B3ED" w14:textId="77777777" w:rsidR="00AD4481" w:rsidRDefault="00AD4481">
      <w:pPr>
        <w:ind w:firstLine="0"/>
        <w:rPr>
          <w:rFonts w:ascii="Times New Roman" w:eastAsia="Times New Roman" w:hAnsi="Times New Roman" w:cs="Times New Roman"/>
          <w:color w:val="000000"/>
          <w:sz w:val="20"/>
          <w:szCs w:val="20"/>
        </w:rPr>
      </w:pPr>
    </w:p>
    <w:p w14:paraId="207E538E" w14:textId="77777777" w:rsidR="00AD4481" w:rsidRDefault="00384D03">
      <w:pPr>
        <w:pStyle w:val="Titolo2"/>
        <w:numPr>
          <w:ilvl w:val="1"/>
          <w:numId w:val="8"/>
        </w:numPr>
      </w:pPr>
      <w:bookmarkStart w:id="5" w:name="_Toc73213582"/>
      <w:r>
        <w:lastRenderedPageBreak/>
        <w:t>Soggetti destinatari</w:t>
      </w:r>
      <w:bookmarkEnd w:id="5"/>
    </w:p>
    <w:p w14:paraId="29583ADD" w14:textId="77777777" w:rsidR="00AD4481" w:rsidRDefault="00384D03" w:rsidP="00736F11">
      <w:pPr>
        <w:ind w:firstLine="567"/>
        <w:jc w:val="both"/>
      </w:pPr>
      <w:r>
        <w:t>I soggetti destinatari delle presenti LG sono i soggetti gestori di attributi qualificati, ovvero, potenzialmente, tutti i soggetti che in base ad una norma hanno il potere di attestare qualifiche, stati personali, poteri di persone fisiche.</w:t>
      </w:r>
    </w:p>
    <w:p w14:paraId="38D706AE" w14:textId="77777777" w:rsidR="00AD4481" w:rsidRDefault="00384D03" w:rsidP="00AA745D">
      <w:pPr>
        <w:pStyle w:val="Titolo1"/>
      </w:pPr>
      <w:r>
        <w:lastRenderedPageBreak/>
        <w:br/>
      </w:r>
      <w:bookmarkStart w:id="6" w:name="_Toc73213583"/>
      <w:r>
        <w:t>Sigle e Riferimenti</w:t>
      </w:r>
      <w:bookmarkEnd w:id="6"/>
    </w:p>
    <w:p w14:paraId="2C28053F" w14:textId="77777777" w:rsidR="00AD4481" w:rsidRDefault="00384D03">
      <w:pPr>
        <w:pStyle w:val="Titolo2"/>
        <w:numPr>
          <w:ilvl w:val="1"/>
          <w:numId w:val="8"/>
        </w:numPr>
      </w:pPr>
      <w:bookmarkStart w:id="7" w:name="_Toc73213584"/>
      <w:r>
        <w:t>Riferimenti Normativi</w:t>
      </w:r>
      <w:bookmarkEnd w:id="7"/>
    </w:p>
    <w:p w14:paraId="165E1908" w14:textId="77777777" w:rsidR="00AD4481" w:rsidRDefault="00384D03" w:rsidP="000D7FAD">
      <w:pPr>
        <w:ind w:firstLine="567"/>
        <w:jc w:val="both"/>
      </w:pPr>
      <w:r>
        <w:t>Sono riportati di seguito gli atti normativi di riferimento del presente documento.</w:t>
      </w:r>
    </w:p>
    <w:p w14:paraId="32F304E6" w14:textId="77777777" w:rsidR="00AD4481" w:rsidRDefault="00384D03" w:rsidP="000D7FAD">
      <w:pPr>
        <w:numPr>
          <w:ilvl w:val="0"/>
          <w:numId w:val="6"/>
        </w:numPr>
        <w:pBdr>
          <w:top w:val="nil"/>
          <w:left w:val="nil"/>
          <w:bottom w:val="nil"/>
          <w:right w:val="nil"/>
          <w:between w:val="nil"/>
        </w:pBdr>
        <w:spacing w:after="0"/>
        <w:ind w:left="567" w:hanging="283"/>
        <w:jc w:val="both"/>
      </w:pPr>
      <w:r>
        <w:rPr>
          <w:rFonts w:ascii="Times New Roman" w:eastAsia="Times New Roman" w:hAnsi="Times New Roman" w:cs="Times New Roman"/>
          <w:b/>
          <w:color w:val="00298B"/>
          <w:sz w:val="20"/>
          <w:szCs w:val="20"/>
        </w:rPr>
        <w:t xml:space="preserve"> [D.Lgs. 82/2005] </w:t>
      </w:r>
      <w:r>
        <w:rPr>
          <w:color w:val="000000"/>
        </w:rPr>
        <w:t>Decreto legislativo 7 marzo 2005, n. 82 recante “Codice dell’amministrazione digitale”; NOTA – Il D. Lgs. 82/2010 è noto anche con l’abbreviazione “CAD”</w:t>
      </w:r>
    </w:p>
    <w:p w14:paraId="300FBFDA" w14:textId="77777777" w:rsidR="00AD4481" w:rsidRDefault="00AD4481">
      <w:pPr>
        <w:pBdr>
          <w:top w:val="nil"/>
          <w:left w:val="nil"/>
          <w:bottom w:val="nil"/>
          <w:right w:val="nil"/>
          <w:between w:val="nil"/>
        </w:pBdr>
        <w:ind w:left="720" w:firstLine="0"/>
        <w:rPr>
          <w:color w:val="000000"/>
        </w:rPr>
      </w:pPr>
    </w:p>
    <w:p w14:paraId="673FCEEE" w14:textId="77777777" w:rsidR="00AD4481" w:rsidRDefault="00384D03">
      <w:pPr>
        <w:pStyle w:val="Titolo2"/>
        <w:numPr>
          <w:ilvl w:val="1"/>
          <w:numId w:val="8"/>
        </w:numPr>
      </w:pPr>
      <w:bookmarkStart w:id="8" w:name="_Toc73213585"/>
      <w:r>
        <w:t>Standard di riferimento</w:t>
      </w:r>
      <w:bookmarkEnd w:id="8"/>
    </w:p>
    <w:p w14:paraId="15F27E45" w14:textId="77777777" w:rsidR="00AD4481" w:rsidRDefault="00384D03" w:rsidP="000D7FAD">
      <w:pPr>
        <w:ind w:firstLine="567"/>
        <w:jc w:val="both"/>
      </w:pPr>
      <w:r>
        <w:t>Sono riportati di seguito gli standard tecnici di riferimento per l’applicazione del presente documento.</w:t>
      </w:r>
    </w:p>
    <w:p w14:paraId="12E2CF92" w14:textId="77777777" w:rsidR="00AD4481" w:rsidRPr="00AA745D" w:rsidRDefault="00384D03" w:rsidP="000D7FAD">
      <w:pPr>
        <w:numPr>
          <w:ilvl w:val="0"/>
          <w:numId w:val="3"/>
        </w:numPr>
        <w:pBdr>
          <w:top w:val="nil"/>
          <w:left w:val="nil"/>
          <w:bottom w:val="nil"/>
          <w:right w:val="nil"/>
          <w:between w:val="nil"/>
        </w:pBdr>
        <w:spacing w:after="0"/>
        <w:ind w:left="567" w:hanging="283"/>
        <w:jc w:val="both"/>
        <w:rPr>
          <w:color w:val="000000"/>
          <w:lang w:val="en-GB"/>
        </w:rPr>
      </w:pPr>
      <w:r w:rsidRPr="00AA745D">
        <w:rPr>
          <w:rFonts w:ascii="Times New Roman" w:eastAsia="Times New Roman" w:hAnsi="Times New Roman" w:cs="Times New Roman"/>
          <w:b/>
          <w:color w:val="00298B"/>
          <w:sz w:val="20"/>
          <w:szCs w:val="20"/>
          <w:lang w:val="en-GB"/>
        </w:rPr>
        <w:t xml:space="preserve">[OAS v3] </w:t>
      </w:r>
      <w:r w:rsidRPr="00AA745D">
        <w:rPr>
          <w:color w:val="000000"/>
          <w:lang w:val="en-GB"/>
        </w:rPr>
        <w:t>Open API Specification v3</w:t>
      </w:r>
    </w:p>
    <w:p w14:paraId="2241D7DA" w14:textId="77777777" w:rsidR="00AD4481" w:rsidRPr="00AA745D" w:rsidRDefault="00384D03" w:rsidP="000D7FAD">
      <w:pPr>
        <w:numPr>
          <w:ilvl w:val="0"/>
          <w:numId w:val="3"/>
        </w:numPr>
        <w:pBdr>
          <w:top w:val="nil"/>
          <w:left w:val="nil"/>
          <w:bottom w:val="nil"/>
          <w:right w:val="nil"/>
          <w:between w:val="nil"/>
        </w:pBdr>
        <w:spacing w:after="0"/>
        <w:ind w:left="567" w:hanging="283"/>
        <w:jc w:val="both"/>
        <w:rPr>
          <w:color w:val="000000"/>
          <w:lang w:val="en-GB"/>
        </w:rPr>
      </w:pPr>
      <w:r w:rsidRPr="00AA745D">
        <w:rPr>
          <w:rFonts w:ascii="Times New Roman" w:eastAsia="Times New Roman" w:hAnsi="Times New Roman" w:cs="Times New Roman"/>
          <w:b/>
          <w:color w:val="00298B"/>
          <w:sz w:val="20"/>
          <w:szCs w:val="20"/>
          <w:lang w:val="en-GB"/>
        </w:rPr>
        <w:t xml:space="preserve">[RFC-7515] </w:t>
      </w:r>
      <w:r w:rsidRPr="00AA745D">
        <w:rPr>
          <w:color w:val="000000"/>
          <w:lang w:val="en-GB"/>
        </w:rPr>
        <w:t>JSON Web Signature (JWS)</w:t>
      </w:r>
    </w:p>
    <w:p w14:paraId="5302886E" w14:textId="77777777" w:rsidR="00AD4481" w:rsidRPr="00AA745D" w:rsidRDefault="00384D03">
      <w:pPr>
        <w:numPr>
          <w:ilvl w:val="0"/>
          <w:numId w:val="3"/>
        </w:numPr>
        <w:pBdr>
          <w:top w:val="nil"/>
          <w:left w:val="nil"/>
          <w:bottom w:val="nil"/>
          <w:right w:val="nil"/>
          <w:between w:val="nil"/>
        </w:pBdr>
        <w:spacing w:after="0"/>
        <w:ind w:left="567" w:hanging="283"/>
        <w:rPr>
          <w:color w:val="000000"/>
          <w:lang w:val="en-GB"/>
        </w:rPr>
      </w:pPr>
      <w:r w:rsidRPr="00AA745D">
        <w:rPr>
          <w:rFonts w:ascii="Times New Roman" w:eastAsia="Times New Roman" w:hAnsi="Times New Roman" w:cs="Times New Roman"/>
          <w:b/>
          <w:color w:val="00298B"/>
          <w:sz w:val="20"/>
          <w:szCs w:val="20"/>
          <w:lang w:val="en-GB"/>
        </w:rPr>
        <w:t xml:space="preserve">[SAMLcore] </w:t>
      </w:r>
      <w:r w:rsidRPr="00AA745D">
        <w:rPr>
          <w:color w:val="000000"/>
          <w:lang w:val="en-GB"/>
        </w:rPr>
        <w:t>Security Assertion Markup Language (SAML) v2.0</w:t>
      </w:r>
    </w:p>
    <w:p w14:paraId="2338D3AE" w14:textId="77777777" w:rsidR="00AD4481" w:rsidRPr="00AA745D" w:rsidRDefault="00AD4481">
      <w:pPr>
        <w:pBdr>
          <w:top w:val="nil"/>
          <w:left w:val="nil"/>
          <w:bottom w:val="nil"/>
          <w:right w:val="nil"/>
          <w:between w:val="nil"/>
        </w:pBdr>
        <w:ind w:left="720" w:firstLine="0"/>
        <w:rPr>
          <w:color w:val="000000"/>
          <w:lang w:val="en-GB"/>
        </w:rPr>
      </w:pPr>
    </w:p>
    <w:p w14:paraId="561D8D61" w14:textId="77777777" w:rsidR="00AD4481" w:rsidRDefault="00384D03">
      <w:pPr>
        <w:pStyle w:val="Titolo2"/>
        <w:numPr>
          <w:ilvl w:val="1"/>
          <w:numId w:val="8"/>
        </w:numPr>
      </w:pPr>
      <w:bookmarkStart w:id="9" w:name="_Toc73213586"/>
      <w:r>
        <w:t>Linee guida di riferimento</w:t>
      </w:r>
      <w:bookmarkEnd w:id="9"/>
    </w:p>
    <w:p w14:paraId="46C5B3E8" w14:textId="77777777" w:rsidR="00AD4481" w:rsidRDefault="00384D03" w:rsidP="000D7FAD">
      <w:pPr>
        <w:ind w:firstLine="567"/>
        <w:jc w:val="both"/>
      </w:pPr>
      <w:r>
        <w:t xml:space="preserve">Di seguito sono elencate le Linee Guida e le Regole Tecniche emesse dall’AGID che verranno richiamate nel presente documento: </w:t>
      </w:r>
    </w:p>
    <w:p w14:paraId="299393D0" w14:textId="77777777" w:rsidR="00AD4481" w:rsidRDefault="00384D03" w:rsidP="000D7FAD">
      <w:pPr>
        <w:numPr>
          <w:ilvl w:val="0"/>
          <w:numId w:val="4"/>
        </w:numPr>
        <w:pBdr>
          <w:top w:val="nil"/>
          <w:left w:val="nil"/>
          <w:bottom w:val="nil"/>
          <w:right w:val="nil"/>
          <w:between w:val="nil"/>
        </w:pBdr>
        <w:spacing w:after="0"/>
        <w:ind w:left="567" w:hanging="283"/>
        <w:jc w:val="both"/>
      </w:pPr>
      <w:r>
        <w:rPr>
          <w:color w:val="000000"/>
        </w:rPr>
        <w:t>Linea di indirizzo sulla interoperabilità tecnica (Determinazione AgID n. 406/2020);</w:t>
      </w:r>
    </w:p>
    <w:p w14:paraId="1D9A65CF" w14:textId="77777777" w:rsidR="00AD4481" w:rsidRDefault="00384D03" w:rsidP="000D7FAD">
      <w:pPr>
        <w:numPr>
          <w:ilvl w:val="0"/>
          <w:numId w:val="4"/>
        </w:numPr>
        <w:pBdr>
          <w:top w:val="nil"/>
          <w:left w:val="nil"/>
          <w:bottom w:val="nil"/>
          <w:right w:val="nil"/>
          <w:between w:val="nil"/>
        </w:pBdr>
        <w:spacing w:after="0"/>
        <w:ind w:left="567" w:hanging="283"/>
        <w:jc w:val="both"/>
      </w:pPr>
      <w:r>
        <w:rPr>
          <w:color w:val="000000"/>
        </w:rPr>
        <w:t>Linee guida contenenti Regole tecniche relative all’uso di OpenID® Connect nella federazione SPID;</w:t>
      </w:r>
    </w:p>
    <w:p w14:paraId="47408878" w14:textId="77777777" w:rsidR="00AD4481" w:rsidRDefault="00384D03" w:rsidP="000D7FAD">
      <w:pPr>
        <w:numPr>
          <w:ilvl w:val="0"/>
          <w:numId w:val="4"/>
        </w:numPr>
        <w:pBdr>
          <w:top w:val="nil"/>
          <w:left w:val="nil"/>
          <w:bottom w:val="nil"/>
          <w:right w:val="nil"/>
          <w:between w:val="nil"/>
        </w:pBdr>
        <w:spacing w:after="0"/>
        <w:ind w:left="567" w:hanging="283"/>
        <w:jc w:val="both"/>
      </w:pPr>
      <w:r>
        <w:rPr>
          <w:color w:val="000000"/>
        </w:rPr>
        <w:t>Linee guida contenenti Regole tecniche circa la sottoscrizione elettronica di documenti mediante SPID ex art. 20 del CAD.</w:t>
      </w:r>
    </w:p>
    <w:p w14:paraId="11C04E5F" w14:textId="77777777" w:rsidR="00AD4481" w:rsidRDefault="00384D03">
      <w:pPr>
        <w:numPr>
          <w:ilvl w:val="0"/>
          <w:numId w:val="4"/>
        </w:numPr>
        <w:pBdr>
          <w:top w:val="nil"/>
          <w:left w:val="nil"/>
          <w:bottom w:val="nil"/>
          <w:right w:val="nil"/>
          <w:between w:val="nil"/>
        </w:pBdr>
      </w:pPr>
      <w:r>
        <w:br w:type="page"/>
      </w:r>
    </w:p>
    <w:p w14:paraId="198B3FC5" w14:textId="77777777" w:rsidR="00AD4481" w:rsidRDefault="00384D03">
      <w:pPr>
        <w:pStyle w:val="Titolo2"/>
        <w:numPr>
          <w:ilvl w:val="1"/>
          <w:numId w:val="8"/>
        </w:numPr>
      </w:pPr>
      <w:bookmarkStart w:id="10" w:name="_Toc73213587"/>
      <w:r>
        <w:lastRenderedPageBreak/>
        <w:t>Termini e definizioni</w:t>
      </w:r>
      <w:bookmarkEnd w:id="10"/>
    </w:p>
    <w:p w14:paraId="0E1A3752" w14:textId="77777777" w:rsidR="00AD4481" w:rsidRDefault="00384D03">
      <w:pPr>
        <w:ind w:firstLine="567"/>
      </w:pPr>
      <w:r>
        <w:t>Ai fini delle presenti Linee guida, oltre ad applicarsi le definizioni di cui all’articolo 1 del CAD, si intende per:</w:t>
      </w:r>
    </w:p>
    <w:p w14:paraId="1EC8F498" w14:textId="77777777" w:rsidR="00AD4481" w:rsidRDefault="00384D03">
      <w:pPr>
        <w:numPr>
          <w:ilvl w:val="0"/>
          <w:numId w:val="10"/>
        </w:numPr>
        <w:pBdr>
          <w:top w:val="nil"/>
          <w:left w:val="nil"/>
          <w:bottom w:val="nil"/>
          <w:right w:val="nil"/>
          <w:between w:val="nil"/>
        </w:pBdr>
        <w:spacing w:after="0"/>
        <w:ind w:left="851" w:hanging="284"/>
      </w:pPr>
      <w:bookmarkStart w:id="11" w:name="_heading=h.3rdcrjn" w:colFirst="0" w:colLast="0"/>
      <w:bookmarkEnd w:id="11"/>
      <w:r>
        <w:rPr>
          <w:rFonts w:ascii="Times New Roman" w:eastAsia="Times New Roman" w:hAnsi="Times New Roman" w:cs="Times New Roman"/>
          <w:b/>
          <w:color w:val="00298B"/>
          <w:sz w:val="20"/>
          <w:szCs w:val="20"/>
        </w:rPr>
        <w:t xml:space="preserve">Attestazione di attributo/i </w:t>
      </w:r>
      <w:r>
        <w:rPr>
          <w:color w:val="000000"/>
        </w:rPr>
        <w:t>: cfr. ‘risposta di attributi’;</w:t>
      </w:r>
    </w:p>
    <w:p w14:paraId="1E5C40B7"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Attributi qualificati</w:t>
      </w:r>
      <w:r>
        <w:rPr>
          <w:color w:val="000000"/>
        </w:rPr>
        <w:t xml:space="preserve"> : le qualifiche, le abilitazioni professionali e i poteri di rappresentanza e qualsiasi altro tipo di attributo attestato da un gestore di attributi qualificati, ivi compresi i dati relativi al possesso di abilitazioni o autorizzazioni richieste dalla legge ovvero stati, qualita' personali e fatti contenuti in albi, elenchi o registri pubblici o comunque accertati da soggetti titolari di funzioni pubbliche, secondo le modalita' stabilite da AgID con Linee guida.</w:t>
      </w:r>
    </w:p>
    <w:p w14:paraId="542B699F"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Gestori di attributi qualificati</w:t>
      </w:r>
      <w:r>
        <w:rPr>
          <w:color w:val="000000"/>
        </w:rPr>
        <w:t>: i soggetti accreditati ai sensi dell'art. 16  del DPCM 24 0ttobre 2014 che hanno il potere di attestare il possesso e la validità di attributi qualificati, su richiesta dei fornitori di servizi;</w:t>
      </w:r>
    </w:p>
    <w:p w14:paraId="207FDAFF"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Registro SPID</w:t>
      </w:r>
      <w:r>
        <w:rPr>
          <w:color w:val="000000"/>
        </w:rPr>
        <w:t xml:space="preserve"> : elenco dei soggetti appartenenti alla federazione SPID, disponibile su internet all’indirizzo https://registry.spid.gov.it che pubblica, per ciascuno di essi, le informazioni pubbliche di pertinenza per lo schema, come ad esempio il codice IPA e il campo entityId;</w:t>
      </w:r>
    </w:p>
    <w:p w14:paraId="64012121"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Regolamento eIDAS</w:t>
      </w:r>
      <w:r>
        <w:rPr>
          <w:color w:val="000000"/>
        </w:rPr>
        <w:t xml:space="preserve"> : Regolamento (UE) N°910/2014 del Parlamento Europeo e del Consiglio, del 23 luglio 2014, in materia di identificazione elettronica e servizi fiduciari per le transazioni elettroniche nel mercato interno e che abroga la direttiva 1999/93/CE;</w:t>
      </w:r>
    </w:p>
    <w:p w14:paraId="1A60ED8B"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Regolamento GDPR</w:t>
      </w:r>
      <w:r>
        <w:rPr>
          <w:color w:val="000000"/>
        </w:rPr>
        <w:t xml:space="preserve"> : Regolamento (UE) N°679/2016 del Parlamento Europeo e del Consiglio, del 27 aprile 2016, relativo alla protezione delle persone fisiche con riguardo al trattamento dei dati personali, nonché alla libera circolazione di tali dati e che abroga la direttiva 95/46/CE;</w:t>
      </w:r>
    </w:p>
    <w:p w14:paraId="1385BF52"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Richiesta di autenticazione</w:t>
      </w:r>
      <w:r>
        <w:rPr>
          <w:color w:val="000000"/>
        </w:rPr>
        <w:t xml:space="preserve"> : l’evidenza informatica con la quale un SP richiede l’avvio di una sessione di autenticazione presso un IDP (cioè l’authentication request nei contesti SAML e OIDC);</w:t>
      </w:r>
    </w:p>
    <w:p w14:paraId="0D096DC1"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Richiesta di attributi</w:t>
      </w:r>
      <w:r>
        <w:rPr>
          <w:color w:val="000000"/>
        </w:rPr>
        <w:t xml:space="preserve"> : l’evidenza informatica con la quale un SP richiede a un’AA uno o più attributi qualificati di un soggetto;</w:t>
      </w:r>
    </w:p>
    <w:p w14:paraId="3DC44B19" w14:textId="7EDF22C8" w:rsidR="00AD4481" w:rsidRDefault="00384D03" w:rsidP="000D7FAD">
      <w:pPr>
        <w:numPr>
          <w:ilvl w:val="0"/>
          <w:numId w:val="10"/>
        </w:numPr>
        <w:pBdr>
          <w:top w:val="nil"/>
          <w:left w:val="nil"/>
          <w:bottom w:val="nil"/>
          <w:right w:val="nil"/>
          <w:between w:val="nil"/>
        </w:pBdr>
        <w:spacing w:after="0"/>
        <w:ind w:left="851" w:hanging="284"/>
        <w:jc w:val="both"/>
      </w:pPr>
      <w:r>
        <w:rPr>
          <w:rFonts w:ascii="Times New Roman" w:eastAsia="Times New Roman" w:hAnsi="Times New Roman" w:cs="Times New Roman"/>
          <w:b/>
          <w:color w:val="00298B"/>
          <w:sz w:val="20"/>
          <w:szCs w:val="20"/>
        </w:rPr>
        <w:lastRenderedPageBreak/>
        <w:t>Risposta di autenticazione</w:t>
      </w:r>
      <w:r>
        <w:rPr>
          <w:color w:val="000000"/>
        </w:rPr>
        <w:t xml:space="preserve"> : l’evidenza informatica con la quale un IDP comunica i dati personali, o il diniego a fornirli, presso un SP (response nel contesto SAML; user-info o id token nel contesto OIDC);</w:t>
      </w:r>
    </w:p>
    <w:p w14:paraId="2E81CA96" w14:textId="77777777" w:rsidR="00AD4481" w:rsidRDefault="00384D03" w:rsidP="000D7FAD">
      <w:pPr>
        <w:numPr>
          <w:ilvl w:val="0"/>
          <w:numId w:val="10"/>
        </w:numPr>
        <w:pBdr>
          <w:top w:val="nil"/>
          <w:left w:val="nil"/>
          <w:bottom w:val="nil"/>
          <w:right w:val="nil"/>
          <w:between w:val="nil"/>
        </w:pBdr>
        <w:ind w:left="851" w:hanging="284"/>
        <w:jc w:val="both"/>
      </w:pPr>
      <w:r>
        <w:rPr>
          <w:rFonts w:ascii="Times New Roman" w:eastAsia="Times New Roman" w:hAnsi="Times New Roman" w:cs="Times New Roman"/>
          <w:b/>
          <w:color w:val="00298B"/>
          <w:sz w:val="20"/>
          <w:szCs w:val="20"/>
        </w:rPr>
        <w:t>Risposta di attributi</w:t>
      </w:r>
      <w:r>
        <w:rPr>
          <w:color w:val="000000"/>
        </w:rPr>
        <w:t xml:space="preserve"> : l’evidenza informatica con la quale un’AA comunica a un SP uno o più attributi qualificati (cd. attestazione di attributo), ovvero il diniego a fornirli;</w:t>
      </w:r>
      <w:r>
        <w:br w:type="page"/>
      </w:r>
    </w:p>
    <w:p w14:paraId="4445A16D" w14:textId="77777777" w:rsidR="00AD4481" w:rsidRDefault="00384D03">
      <w:pPr>
        <w:pStyle w:val="Titolo2"/>
        <w:numPr>
          <w:ilvl w:val="1"/>
          <w:numId w:val="8"/>
        </w:numPr>
      </w:pPr>
      <w:bookmarkStart w:id="12" w:name="_Toc73213588"/>
      <w:r>
        <w:lastRenderedPageBreak/>
        <w:t>Acronimi e abbreviazioni</w:t>
      </w:r>
      <w:bookmarkEnd w:id="12"/>
    </w:p>
    <w:p w14:paraId="3E4EB0A2" w14:textId="77777777" w:rsidR="00AD4481" w:rsidRDefault="00384D03">
      <w:pPr>
        <w:ind w:firstLine="567"/>
        <w:jc w:val="both"/>
      </w:pPr>
      <w:r>
        <w:t>Di seguito si riportano gli acronimi e le abbreviazioni che verranno utilizzati nella presente Linee Guida:</w:t>
      </w:r>
    </w:p>
    <w:p w14:paraId="6BDB0F1D" w14:textId="742DD5B4"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Agenzia</w:t>
      </w:r>
      <w:r>
        <w:rPr>
          <w:b/>
          <w:color w:val="000000"/>
        </w:rPr>
        <w:t xml:space="preserve"> </w:t>
      </w:r>
      <w:r>
        <w:rPr>
          <w:color w:val="000000"/>
        </w:rPr>
        <w:t>o</w:t>
      </w:r>
      <w:r>
        <w:rPr>
          <w:b/>
          <w:color w:val="000000"/>
        </w:rPr>
        <w:t xml:space="preserve"> </w:t>
      </w:r>
      <w:r>
        <w:rPr>
          <w:rFonts w:ascii="Times New Roman" w:eastAsia="Times New Roman" w:hAnsi="Times New Roman" w:cs="Times New Roman"/>
          <w:b/>
          <w:color w:val="00298B"/>
          <w:sz w:val="20"/>
          <w:szCs w:val="20"/>
        </w:rPr>
        <w:t>AgID</w:t>
      </w:r>
      <w:r>
        <w:rPr>
          <w:b/>
          <w:color w:val="000000"/>
        </w:rPr>
        <w:t xml:space="preserve"> : </w:t>
      </w:r>
      <w:r>
        <w:rPr>
          <w:color w:val="000000"/>
        </w:rPr>
        <w:t>Agenzia per l’Italia Digitale</w:t>
      </w:r>
      <w:r w:rsidR="00736F11">
        <w:rPr>
          <w:color w:val="000000"/>
        </w:rPr>
        <w:t>;</w:t>
      </w:r>
    </w:p>
    <w:p w14:paraId="4DDFCAB0" w14:textId="725CFB9E"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PA</w:t>
      </w:r>
      <w:r>
        <w:rPr>
          <w:color w:val="000000"/>
        </w:rPr>
        <w:t xml:space="preserve"> : Pubblica Amministrazione</w:t>
      </w:r>
      <w:r w:rsidR="00736F11">
        <w:rPr>
          <w:color w:val="000000"/>
        </w:rPr>
        <w:t>;</w:t>
      </w:r>
    </w:p>
    <w:p w14:paraId="1D6FA538"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AA</w:t>
      </w:r>
      <w:r>
        <w:rPr>
          <w:color w:val="000000"/>
        </w:rPr>
        <w:t xml:space="preserve"> : attribute authority (gestori di attributi qualificati);</w:t>
      </w:r>
    </w:p>
    <w:p w14:paraId="5F2222AB"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CA</w:t>
      </w:r>
      <w:r>
        <w:rPr>
          <w:color w:val="000000"/>
        </w:rPr>
        <w:t xml:space="preserve"> : certificate authority;</w:t>
      </w:r>
    </w:p>
    <w:p w14:paraId="3B98E558"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CAD</w:t>
      </w:r>
      <w:r>
        <w:rPr>
          <w:color w:val="000000"/>
        </w:rPr>
        <w:t xml:space="preserve"> : D.Lgs. 7 marzo 2005 N°82, Codice dell’Amministrazione Digitale, e s.m.i.</w:t>
      </w:r>
    </w:p>
    <w:p w14:paraId="73A33808"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OIDC</w:t>
      </w:r>
      <w:r>
        <w:rPr>
          <w:color w:val="000000"/>
        </w:rPr>
        <w:t xml:space="preserve"> : OpenID Connect;</w:t>
      </w:r>
    </w:p>
    <w:p w14:paraId="57A98DA8" w14:textId="77777777" w:rsidR="00AD4481" w:rsidRDefault="00384D03">
      <w:pPr>
        <w:numPr>
          <w:ilvl w:val="0"/>
          <w:numId w:val="10"/>
        </w:numPr>
        <w:pBdr>
          <w:top w:val="nil"/>
          <w:left w:val="nil"/>
          <w:bottom w:val="nil"/>
          <w:right w:val="nil"/>
          <w:between w:val="nil"/>
        </w:pBdr>
        <w:spacing w:after="0"/>
        <w:ind w:left="851" w:hanging="284"/>
        <w:rPr>
          <w:color w:val="000000"/>
        </w:rPr>
      </w:pPr>
      <w:r>
        <w:rPr>
          <w:rFonts w:ascii="Times New Roman" w:eastAsia="Times New Roman" w:hAnsi="Times New Roman" w:cs="Times New Roman"/>
          <w:b/>
          <w:color w:val="00298B"/>
          <w:sz w:val="20"/>
          <w:szCs w:val="20"/>
        </w:rPr>
        <w:t>OAS3</w:t>
      </w:r>
      <w:r>
        <w:rPr>
          <w:color w:val="000000"/>
        </w:rPr>
        <w:t xml:space="preserve"> : OpenAPI Specification (OAS), versione 3.0;</w:t>
      </w:r>
    </w:p>
    <w:p w14:paraId="1EAC3E86"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CF</w:t>
      </w:r>
      <w:r>
        <w:rPr>
          <w:color w:val="000000"/>
        </w:rPr>
        <w:t xml:space="preserve"> : codice fiscale;</w:t>
      </w:r>
    </w:p>
    <w:p w14:paraId="50E76203" w14:textId="78410B57" w:rsidR="00AD4481" w:rsidRDefault="00384D03">
      <w:pPr>
        <w:numPr>
          <w:ilvl w:val="0"/>
          <w:numId w:val="10"/>
        </w:numPr>
        <w:pBdr>
          <w:top w:val="nil"/>
          <w:left w:val="nil"/>
          <w:bottom w:val="nil"/>
          <w:right w:val="nil"/>
          <w:between w:val="nil"/>
        </w:pBdr>
        <w:spacing w:after="0"/>
        <w:ind w:left="851" w:hanging="284"/>
        <w:rPr>
          <w:color w:val="000000"/>
        </w:rPr>
      </w:pPr>
      <w:r>
        <w:rPr>
          <w:rFonts w:ascii="Times New Roman" w:eastAsia="Times New Roman" w:hAnsi="Times New Roman" w:cs="Times New Roman"/>
          <w:b/>
          <w:color w:val="00298B"/>
          <w:sz w:val="20"/>
          <w:szCs w:val="20"/>
        </w:rPr>
        <w:t xml:space="preserve">CIE </w:t>
      </w:r>
      <w:r>
        <w:rPr>
          <w:color w:val="000000"/>
        </w:rPr>
        <w:t>: Carta di Identità Elettronica</w:t>
      </w:r>
      <w:r w:rsidR="00736F11">
        <w:rPr>
          <w:color w:val="000000"/>
        </w:rPr>
        <w:t>;</w:t>
      </w:r>
    </w:p>
    <w:p w14:paraId="57A7E3EE"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IDP</w:t>
      </w:r>
      <w:r>
        <w:rPr>
          <w:color w:val="000000"/>
        </w:rPr>
        <w:t xml:space="preserve"> : identity provider;</w:t>
      </w:r>
    </w:p>
    <w:p w14:paraId="5EE00F4E"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JSON</w:t>
      </w:r>
      <w:r>
        <w:rPr>
          <w:color w:val="000000"/>
        </w:rPr>
        <w:t xml:space="preserve"> : JavaScript Object Notation, come previsto dalla norma RFC-8259;</w:t>
      </w:r>
    </w:p>
    <w:p w14:paraId="54B8081D"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 xml:space="preserve">JWT </w:t>
      </w:r>
      <w:r>
        <w:rPr>
          <w:color w:val="000000"/>
        </w:rPr>
        <w:t>: pacchetto JSON (JSON Web Token), come previsto dalla norma RFC-7797;</w:t>
      </w:r>
    </w:p>
    <w:p w14:paraId="331C2624"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 xml:space="preserve">JWE </w:t>
      </w:r>
      <w:r>
        <w:rPr>
          <w:color w:val="000000"/>
        </w:rPr>
        <w:t>: JWT cifrato, come previsto dalla norma RFC-7516;</w:t>
      </w:r>
    </w:p>
    <w:p w14:paraId="59EFF23E"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 xml:space="preserve">JWS </w:t>
      </w:r>
      <w:r>
        <w:rPr>
          <w:color w:val="000000"/>
        </w:rPr>
        <w:t>: JWT firmato, come previsto dalla norma RFC-7515;</w:t>
      </w:r>
    </w:p>
    <w:p w14:paraId="652D1315"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 xml:space="preserve">OAS3 </w:t>
      </w:r>
      <w:r>
        <w:rPr>
          <w:color w:val="000000"/>
        </w:rPr>
        <w:t>: si veda OpenAPI;</w:t>
      </w:r>
    </w:p>
    <w:p w14:paraId="0D41EF50" w14:textId="77777777" w:rsidR="00AD4481" w:rsidRPr="00AA745D" w:rsidRDefault="00384D03">
      <w:pPr>
        <w:numPr>
          <w:ilvl w:val="0"/>
          <w:numId w:val="10"/>
        </w:numPr>
        <w:pBdr>
          <w:top w:val="nil"/>
          <w:left w:val="nil"/>
          <w:bottom w:val="nil"/>
          <w:right w:val="nil"/>
          <w:between w:val="nil"/>
        </w:pBdr>
        <w:spacing w:after="0"/>
        <w:ind w:left="851" w:hanging="284"/>
        <w:rPr>
          <w:color w:val="000000"/>
          <w:lang w:val="en-GB"/>
        </w:rPr>
      </w:pPr>
      <w:r w:rsidRPr="00AA745D">
        <w:rPr>
          <w:rFonts w:ascii="Times New Roman" w:eastAsia="Times New Roman" w:hAnsi="Times New Roman" w:cs="Times New Roman"/>
          <w:b/>
          <w:color w:val="00298B"/>
          <w:sz w:val="20"/>
          <w:szCs w:val="20"/>
          <w:lang w:val="en-GB"/>
        </w:rPr>
        <w:t xml:space="preserve">OIDC </w:t>
      </w:r>
      <w:r w:rsidRPr="00AA745D">
        <w:rPr>
          <w:color w:val="000000"/>
          <w:lang w:val="en-GB"/>
        </w:rPr>
        <w:t>: standard OpenID Connect pubblicato da OpenID® Foundation;</w:t>
      </w:r>
    </w:p>
    <w:p w14:paraId="35868C02" w14:textId="6316AEE9"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 xml:space="preserve">IPA </w:t>
      </w:r>
      <w:r>
        <w:rPr>
          <w:color w:val="000000"/>
        </w:rPr>
        <w:t>: indice degli indirizzi della pubblica amministrazione</w:t>
      </w:r>
      <w:r w:rsidR="00736F11">
        <w:rPr>
          <w:color w:val="000000"/>
        </w:rPr>
        <w:t>;</w:t>
      </w:r>
    </w:p>
    <w:p w14:paraId="05B5E832"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 xml:space="preserve">PKI </w:t>
      </w:r>
      <w:r>
        <w:rPr>
          <w:color w:val="000000"/>
        </w:rPr>
        <w:t>: Public Key Infrastructure (infrastruttura a chiave pubblica), basata su certificati elettronici conformi a RFC-5280;</w:t>
      </w:r>
    </w:p>
    <w:p w14:paraId="2E9973DF"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 xml:space="preserve">QTSP </w:t>
      </w:r>
      <w:r>
        <w:rPr>
          <w:color w:val="000000"/>
        </w:rPr>
        <w:t>: prestatore di servizi fiduciari qualificati ai sensi del regolamento eIDAS;</w:t>
      </w:r>
    </w:p>
    <w:p w14:paraId="4FFF0435"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 xml:space="preserve">QSEAL </w:t>
      </w:r>
      <w:r>
        <w:rPr>
          <w:color w:val="000000"/>
        </w:rPr>
        <w:t>: sigillo elettronico avanzato, come da regolamento eIDAS;</w:t>
      </w:r>
    </w:p>
    <w:p w14:paraId="05514910"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 xml:space="preserve">SAML </w:t>
      </w:r>
      <w:r>
        <w:rPr>
          <w:color w:val="000000"/>
        </w:rPr>
        <w:t>: standard Security Assertion Markup Language, versione 2.0, pubblicato da OASIS;</w:t>
      </w:r>
    </w:p>
    <w:p w14:paraId="1A6C9C31" w14:textId="77777777" w:rsidR="00AD4481" w:rsidRDefault="00384D03">
      <w:pPr>
        <w:numPr>
          <w:ilvl w:val="0"/>
          <w:numId w:val="10"/>
        </w:numPr>
        <w:pBdr>
          <w:top w:val="nil"/>
          <w:left w:val="nil"/>
          <w:bottom w:val="nil"/>
          <w:right w:val="nil"/>
          <w:between w:val="nil"/>
        </w:pBdr>
        <w:spacing w:after="0"/>
        <w:ind w:left="851" w:hanging="284"/>
      </w:pPr>
      <w:r>
        <w:rPr>
          <w:rFonts w:ascii="Times New Roman" w:eastAsia="Times New Roman" w:hAnsi="Times New Roman" w:cs="Times New Roman"/>
          <w:b/>
          <w:color w:val="00298B"/>
          <w:sz w:val="20"/>
          <w:szCs w:val="20"/>
        </w:rPr>
        <w:t xml:space="preserve">SP </w:t>
      </w:r>
      <w:r>
        <w:rPr>
          <w:color w:val="000000"/>
        </w:rPr>
        <w:t>: fornitore di servizi nella federazione SPID, ovvero service provider nel contesto SAML, ovvero relying party nel contesto OIDC;</w:t>
      </w:r>
    </w:p>
    <w:p w14:paraId="53B0D22D" w14:textId="77777777" w:rsidR="00AD4481" w:rsidRDefault="00384D03">
      <w:pPr>
        <w:numPr>
          <w:ilvl w:val="0"/>
          <w:numId w:val="10"/>
        </w:numPr>
        <w:pBdr>
          <w:top w:val="nil"/>
          <w:left w:val="nil"/>
          <w:bottom w:val="nil"/>
          <w:right w:val="nil"/>
          <w:between w:val="nil"/>
        </w:pBdr>
        <w:ind w:left="851" w:hanging="284"/>
      </w:pPr>
      <w:r>
        <w:rPr>
          <w:rFonts w:ascii="Times New Roman" w:eastAsia="Times New Roman" w:hAnsi="Times New Roman" w:cs="Times New Roman"/>
          <w:b/>
          <w:color w:val="00298B"/>
          <w:sz w:val="20"/>
          <w:szCs w:val="20"/>
        </w:rPr>
        <w:t xml:space="preserve">SPID </w:t>
      </w:r>
      <w:r>
        <w:rPr>
          <w:color w:val="000000"/>
        </w:rPr>
        <w:t>: Sistema Pubblico di Identità Digitale, introdotto con il DPCM del 24 ottobre 2014, articolo 4, comma 2 e successive modificazioni;</w:t>
      </w:r>
    </w:p>
    <w:p w14:paraId="417BE209" w14:textId="77777777" w:rsidR="00AD4481" w:rsidRDefault="00AD4481"/>
    <w:p w14:paraId="489B5D5E" w14:textId="77777777" w:rsidR="00AD4481" w:rsidRDefault="00384D03">
      <w:pPr>
        <w:pStyle w:val="Titolo2"/>
        <w:numPr>
          <w:ilvl w:val="1"/>
          <w:numId w:val="8"/>
        </w:numPr>
      </w:pPr>
      <w:bookmarkStart w:id="13" w:name="_Toc73213589"/>
      <w:r>
        <w:lastRenderedPageBreak/>
        <w:t>Basi giuridiche</w:t>
      </w:r>
      <w:bookmarkEnd w:id="13"/>
    </w:p>
    <w:p w14:paraId="0B59C0C9" w14:textId="77777777" w:rsidR="00AD4481" w:rsidRDefault="00384D03" w:rsidP="000D7FAD">
      <w:pPr>
        <w:ind w:firstLine="567"/>
        <w:jc w:val="both"/>
      </w:pPr>
      <w:r>
        <w:t>L’articolo 1, comma 1, lett. m), decreto del Presidente del Consiglio dei ministri 24 ottobre 2014 definisce i gestori di attributi qualificati (AA) come:</w:t>
      </w:r>
    </w:p>
    <w:p w14:paraId="0D458623" w14:textId="77777777" w:rsidR="00AD4481" w:rsidRDefault="00384D03" w:rsidP="000D7FAD">
      <w:pPr>
        <w:ind w:firstLine="567"/>
        <w:jc w:val="both"/>
      </w:pPr>
      <w:r>
        <w:t>[…] i soggetti accreditati ai sensi dell’articolo 16 che hanno il potere, in base alle norme vigenti, di attestare il possesso e la validità di attributi qualificati, su richiesta dei fornitori di servizi.</w:t>
      </w:r>
    </w:p>
    <w:p w14:paraId="3F379926" w14:textId="77777777" w:rsidR="00AD4481" w:rsidRDefault="00384D03" w:rsidP="000D7FAD">
      <w:pPr>
        <w:ind w:firstLine="567"/>
        <w:jc w:val="both"/>
      </w:pPr>
      <w:r>
        <w:t>Tali attributi qualificati sono definiti, all’articolo 1, comma 1, lett. e), decreto del Presidente del Consiglio dei ministri 24 ottobre 2014, come:</w:t>
      </w:r>
    </w:p>
    <w:p w14:paraId="52FB15A1" w14:textId="77777777" w:rsidR="00AD4481" w:rsidRDefault="00384D03" w:rsidP="000D7FAD">
      <w:pPr>
        <w:ind w:firstLine="567"/>
        <w:jc w:val="both"/>
      </w:pPr>
      <w:r>
        <w:t>[…] le qualifiche, le abilitazioni professionali e i poteri di rappresentanza e qualsiasi altro tipo di attributo attestato da un gestore di attributi qualificati.</w:t>
      </w:r>
    </w:p>
    <w:p w14:paraId="05799EA1" w14:textId="77777777" w:rsidR="00AD4481" w:rsidRDefault="00384D03" w:rsidP="000D7FAD">
      <w:pPr>
        <w:ind w:firstLine="567"/>
        <w:jc w:val="both"/>
      </w:pPr>
      <w:r>
        <w:t xml:space="preserve"> L’articolo 16, comma  3, prevede che:</w:t>
      </w:r>
    </w:p>
    <w:p w14:paraId="25C73180" w14:textId="77777777" w:rsidR="00AD4481" w:rsidRDefault="00384D03" w:rsidP="000D7FAD">
      <w:pPr>
        <w:ind w:firstLine="567"/>
        <w:jc w:val="both"/>
      </w:pPr>
      <w:r>
        <w:t>Su richiesta degli interessati, sono accreditati di diritto i seguenti gestori di attributi qualificati:</w:t>
      </w:r>
    </w:p>
    <w:p w14:paraId="65C2B904" w14:textId="77777777" w:rsidR="00AD4481" w:rsidRDefault="00384D03" w:rsidP="000D7FAD">
      <w:pPr>
        <w:ind w:firstLine="567"/>
        <w:jc w:val="both"/>
      </w:pPr>
      <w:r>
        <w:t>a) il Ministero dello Sviluppo Economico in relazione ai dati contenuti nell’indice nazionale degli indirizzi PEC delle imprese e dei professionisti di cui all’articolo 6-bis del CAD;</w:t>
      </w:r>
    </w:p>
    <w:p w14:paraId="7A40AD29" w14:textId="77777777" w:rsidR="00AD4481" w:rsidRDefault="00384D03" w:rsidP="000D7FAD">
      <w:pPr>
        <w:ind w:firstLine="567"/>
        <w:jc w:val="both"/>
      </w:pPr>
      <w:r>
        <w:t>b) i consigli, gli ordini e i collegi delle professioni regolamentate relativamente all’attestazione dell’iscrizione agli albi professionali;</w:t>
      </w:r>
    </w:p>
    <w:p w14:paraId="1E3FEE84" w14:textId="77777777" w:rsidR="00AD4481" w:rsidRDefault="00384D03" w:rsidP="000D7FAD">
      <w:pPr>
        <w:ind w:firstLine="567"/>
        <w:jc w:val="both"/>
      </w:pPr>
      <w:r>
        <w:t>c) le camere di commercio, industria, artigianato e agricoltura per l’attestazione delle cariche e degli incarichi societari iscritti nel registro delle imprese;</w:t>
      </w:r>
    </w:p>
    <w:p w14:paraId="15ADF1BB" w14:textId="77777777" w:rsidR="00AD4481" w:rsidRDefault="00384D03" w:rsidP="000D7FAD">
      <w:pPr>
        <w:ind w:firstLine="567"/>
        <w:jc w:val="both"/>
      </w:pPr>
      <w:r>
        <w:t>d) l’Agenzia in relazione ai dati contenuti nell’indice degli indirizzi della pubblica amministrazione (IPA) e dei gestori di pubblici servizi di cui all’articolo 6-ter del CAD.</w:t>
      </w:r>
    </w:p>
    <w:p w14:paraId="4D1F5A1D" w14:textId="77777777" w:rsidR="00AD4481" w:rsidRDefault="00384D03" w:rsidP="000D7FAD">
      <w:pPr>
        <w:ind w:firstLine="567"/>
        <w:jc w:val="both"/>
      </w:pPr>
      <w:r w:rsidRPr="007454C6">
        <w:t>L’articolo 64 del CAD, come modificato dal decreto semplificazioni, garantisce il diritto dei cittadini di accedere ai servizi online con lo SPID e con la CIE. Pertanto, la fruizione dei servizi derivanti dalle seguenti linee guida devono essere garantiti anche ai cittadini che utlizzano la CIE (in seguito, federazione CIE) per l’accesso ai servizi in rete.</w:t>
      </w:r>
    </w:p>
    <w:p w14:paraId="46D0F9CE" w14:textId="77777777" w:rsidR="00AD4481" w:rsidRDefault="00384D03">
      <w:pPr>
        <w:spacing w:line="259" w:lineRule="auto"/>
        <w:ind w:firstLine="0"/>
      </w:pPr>
      <w:r>
        <w:br w:type="page"/>
      </w:r>
    </w:p>
    <w:p w14:paraId="5A0C238F" w14:textId="77777777" w:rsidR="00AD4481" w:rsidRDefault="00384D03" w:rsidP="00AA745D">
      <w:pPr>
        <w:pStyle w:val="Titolo1"/>
      </w:pPr>
      <w:r>
        <w:lastRenderedPageBreak/>
        <w:br/>
      </w:r>
      <w:bookmarkStart w:id="14" w:name="_Toc73213590"/>
      <w:r>
        <w:t>Descrizione d’insieme</w:t>
      </w:r>
      <w:bookmarkEnd w:id="14"/>
    </w:p>
    <w:p w14:paraId="1EBD08FB" w14:textId="77777777" w:rsidR="00AD4481" w:rsidRDefault="00384D03">
      <w:pPr>
        <w:pStyle w:val="Titolo2"/>
        <w:numPr>
          <w:ilvl w:val="1"/>
          <w:numId w:val="8"/>
        </w:numPr>
      </w:pPr>
      <w:bookmarkStart w:id="15" w:name="_Toc73213591"/>
      <w:r>
        <w:t>Attributi qualificati</w:t>
      </w:r>
      <w:bookmarkEnd w:id="15"/>
    </w:p>
    <w:p w14:paraId="550E4B77" w14:textId="77777777" w:rsidR="00AD4481" w:rsidRDefault="00384D03" w:rsidP="000D7FAD">
      <w:pPr>
        <w:ind w:firstLine="567"/>
        <w:jc w:val="both"/>
      </w:pPr>
      <w:r>
        <w:t xml:space="preserve">Un attributo qualificato descrive una proprietà di un’identità. Esso si definisce qualificato perché è attestato da soggetto cui la legge conferisce tale potere.  Di solito gli attributi qualificati non cambiano frequentemente nel tempo, e il numero di operazioni in lettura è molto maggiore di quelle in scrittura; ad esempio, l'attributo associato ad una patente di guida cambierà alla scadenza del documento, ma nel frattempo verrà letto numerose volte. </w:t>
      </w:r>
    </w:p>
    <w:p w14:paraId="2071FC9C" w14:textId="77777777" w:rsidR="00AD4481" w:rsidRDefault="00384D03" w:rsidP="000D7FAD">
      <w:pPr>
        <w:ind w:firstLine="567"/>
        <w:jc w:val="both"/>
      </w:pPr>
      <w:r>
        <w:t xml:space="preserve">All’interno delle </w:t>
      </w:r>
      <w:r w:rsidRPr="007454C6">
        <w:t>federazioni SPID e CIE</w:t>
      </w:r>
      <w:r>
        <w:t xml:space="preserve"> possono sussistere diverse tipologie di attributi qualificati, dipendenti dalla specifica AA che accede al circuito mediante stipula di una  convenzione. La descrizione di tali attributi è, pertanto, demandata alla specifica AA. Può accreditarsi come AA, qualunque soggetto che ha il potere di attestare il possesso e la validità di attributi qualificati in base alle norme vigenti.</w:t>
      </w:r>
    </w:p>
    <w:p w14:paraId="4FF4A11F" w14:textId="77777777" w:rsidR="00AD4481" w:rsidRDefault="00384D03" w:rsidP="000D7FAD">
      <w:pPr>
        <w:ind w:firstLine="567"/>
        <w:jc w:val="both"/>
      </w:pPr>
      <w:r>
        <w:t>La seguente tabella mostra alcuni esempi di possibili AA e i relativi attributi qualificati.</w:t>
      </w:r>
    </w:p>
    <w:tbl>
      <w:tblPr>
        <w:tblStyle w:val="a0"/>
        <w:tblW w:w="9016"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22"/>
        <w:gridCol w:w="3543"/>
        <w:gridCol w:w="3351"/>
      </w:tblGrid>
      <w:tr w:rsidR="00AD4481" w14:paraId="516B0742" w14:textId="77777777" w:rsidTr="000D7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D601CB" w14:textId="77777777" w:rsidR="00AD4481" w:rsidRDefault="00384D03">
            <w:pPr>
              <w:ind w:firstLine="0"/>
            </w:pPr>
            <w:r>
              <w:t>Entità</w:t>
            </w:r>
          </w:p>
        </w:tc>
        <w:tc>
          <w:tcPr>
            <w:tcW w:w="3543" w:type="dxa"/>
          </w:tcPr>
          <w:p w14:paraId="0B0FB94B" w14:textId="77777777" w:rsidR="00AD4481" w:rsidRDefault="00384D03">
            <w:pPr>
              <w:ind w:firstLine="0"/>
              <w:cnfStyle w:val="100000000000" w:firstRow="1" w:lastRow="0" w:firstColumn="0" w:lastColumn="0" w:oddVBand="0" w:evenVBand="0" w:oddHBand="0" w:evenHBand="0" w:firstRowFirstColumn="0" w:firstRowLastColumn="0" w:lastRowFirstColumn="0" w:lastRowLastColumn="0"/>
            </w:pPr>
            <w:r>
              <w:t>Attributi</w:t>
            </w:r>
          </w:p>
        </w:tc>
        <w:tc>
          <w:tcPr>
            <w:tcW w:w="3351" w:type="dxa"/>
          </w:tcPr>
          <w:p w14:paraId="75441F20" w14:textId="77777777" w:rsidR="00AD4481" w:rsidRDefault="00384D03">
            <w:pPr>
              <w:ind w:firstLine="0"/>
              <w:cnfStyle w:val="100000000000" w:firstRow="1" w:lastRow="0" w:firstColumn="0" w:lastColumn="0" w:oddVBand="0" w:evenVBand="0" w:oddHBand="0" w:evenHBand="0" w:firstRowFirstColumn="0" w:firstRowLastColumn="0" w:lastRowFirstColumn="0" w:lastRowLastColumn="0"/>
            </w:pPr>
            <w:r>
              <w:t>Esempi di servizi abilitati</w:t>
            </w:r>
          </w:p>
        </w:tc>
      </w:tr>
      <w:tr w:rsidR="00AD4481" w14:paraId="39565DFD" w14:textId="77777777" w:rsidTr="000D7FAD">
        <w:tc>
          <w:tcPr>
            <w:cnfStyle w:val="001000000000" w:firstRow="0" w:lastRow="0" w:firstColumn="1" w:lastColumn="0" w:oddVBand="0" w:evenVBand="0" w:oddHBand="0" w:evenHBand="0" w:firstRowFirstColumn="0" w:firstRowLastColumn="0" w:lastRowFirstColumn="0" w:lastRowLastColumn="0"/>
            <w:tcW w:w="2122" w:type="dxa"/>
          </w:tcPr>
          <w:p w14:paraId="120259E7" w14:textId="77777777" w:rsidR="00AD4481" w:rsidRDefault="00384D03" w:rsidP="000D7FAD">
            <w:pPr>
              <w:ind w:firstLine="0"/>
              <w:rPr>
                <w:sz w:val="20"/>
                <w:szCs w:val="20"/>
              </w:rPr>
            </w:pPr>
            <w:r>
              <w:rPr>
                <w:sz w:val="20"/>
                <w:szCs w:val="20"/>
              </w:rPr>
              <w:t>ASL /SSN / Fascicolo Sanitario</w:t>
            </w:r>
          </w:p>
        </w:tc>
        <w:tc>
          <w:tcPr>
            <w:tcW w:w="3543" w:type="dxa"/>
          </w:tcPr>
          <w:p w14:paraId="7F3FAE1C" w14:textId="77777777" w:rsidR="00AD4481" w:rsidRDefault="00384D03" w:rsidP="000D7FAD">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status invalido civile</w:t>
            </w:r>
          </w:p>
        </w:tc>
        <w:tc>
          <w:tcPr>
            <w:tcW w:w="3351" w:type="dxa"/>
          </w:tcPr>
          <w:p w14:paraId="4907550B" w14:textId="77777777" w:rsidR="00AD4481" w:rsidRDefault="00384D03">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Richiesta permesso ZTL</w:t>
            </w:r>
          </w:p>
        </w:tc>
      </w:tr>
      <w:tr w:rsidR="00AD4481" w14:paraId="4AAF7F63" w14:textId="77777777" w:rsidTr="000D7FAD">
        <w:tc>
          <w:tcPr>
            <w:cnfStyle w:val="001000000000" w:firstRow="0" w:lastRow="0" w:firstColumn="1" w:lastColumn="0" w:oddVBand="0" w:evenVBand="0" w:oddHBand="0" w:evenHBand="0" w:firstRowFirstColumn="0" w:firstRowLastColumn="0" w:lastRowFirstColumn="0" w:lastRowLastColumn="0"/>
            <w:tcW w:w="2122" w:type="dxa"/>
          </w:tcPr>
          <w:p w14:paraId="41608854" w14:textId="77777777" w:rsidR="00AD4481" w:rsidRDefault="00384D03" w:rsidP="000D7FAD">
            <w:pPr>
              <w:ind w:firstLine="0"/>
              <w:rPr>
                <w:sz w:val="20"/>
                <w:szCs w:val="20"/>
              </w:rPr>
            </w:pPr>
            <w:r>
              <w:rPr>
                <w:sz w:val="20"/>
                <w:szCs w:val="20"/>
              </w:rPr>
              <w:t>Catasto</w:t>
            </w:r>
          </w:p>
        </w:tc>
        <w:tc>
          <w:tcPr>
            <w:tcW w:w="3543" w:type="dxa"/>
          </w:tcPr>
          <w:p w14:paraId="2F5ADB0E" w14:textId="77777777" w:rsidR="00AD4481" w:rsidRDefault="00384D03" w:rsidP="000D7FAD">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Immobili intestati; rendite immobiliari</w:t>
            </w:r>
          </w:p>
        </w:tc>
        <w:tc>
          <w:tcPr>
            <w:tcW w:w="3351" w:type="dxa"/>
          </w:tcPr>
          <w:p w14:paraId="4B926813" w14:textId="77777777" w:rsidR="00AD4481" w:rsidRDefault="00384D03">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Precompilazione campi per domande (ad es. TARI)</w:t>
            </w:r>
          </w:p>
        </w:tc>
      </w:tr>
      <w:tr w:rsidR="00AD4481" w14:paraId="55AE1EB1" w14:textId="77777777" w:rsidTr="000D7FAD">
        <w:tc>
          <w:tcPr>
            <w:cnfStyle w:val="001000000000" w:firstRow="0" w:lastRow="0" w:firstColumn="1" w:lastColumn="0" w:oddVBand="0" w:evenVBand="0" w:oddHBand="0" w:evenHBand="0" w:firstRowFirstColumn="0" w:firstRowLastColumn="0" w:lastRowFirstColumn="0" w:lastRowLastColumn="0"/>
            <w:tcW w:w="2122" w:type="dxa"/>
          </w:tcPr>
          <w:p w14:paraId="49B6D4AD" w14:textId="77777777" w:rsidR="00AD4481" w:rsidRPr="007454C6" w:rsidRDefault="00384D03" w:rsidP="000D7FAD">
            <w:pPr>
              <w:ind w:firstLine="0"/>
              <w:rPr>
                <w:sz w:val="20"/>
                <w:szCs w:val="20"/>
              </w:rPr>
            </w:pPr>
            <w:bookmarkStart w:id="16" w:name="_heading=h.44sinio" w:colFirst="0" w:colLast="0"/>
            <w:bookmarkEnd w:id="16"/>
            <w:r w:rsidRPr="007454C6">
              <w:rPr>
                <w:sz w:val="20"/>
                <w:szCs w:val="20"/>
              </w:rPr>
              <w:t>Gestore delle deleghe, amministrazioni di sostegno e tutele</w:t>
            </w:r>
            <w:r w:rsidRPr="007454C6">
              <w:t xml:space="preserve"> </w:t>
            </w:r>
          </w:p>
        </w:tc>
        <w:tc>
          <w:tcPr>
            <w:tcW w:w="3543" w:type="dxa"/>
          </w:tcPr>
          <w:p w14:paraId="0609D747" w14:textId="77777777" w:rsidR="00AD4481" w:rsidRPr="007454C6" w:rsidRDefault="00384D03" w:rsidP="000D7FAD">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7454C6">
              <w:rPr>
                <w:sz w:val="20"/>
                <w:szCs w:val="20"/>
              </w:rPr>
              <w:t>Deleghe e procure digitali</w:t>
            </w:r>
          </w:p>
        </w:tc>
        <w:tc>
          <w:tcPr>
            <w:tcW w:w="3351" w:type="dxa"/>
          </w:tcPr>
          <w:p w14:paraId="42947DE2" w14:textId="77777777" w:rsidR="00AD4481" w:rsidRPr="007454C6" w:rsidRDefault="00384D03" w:rsidP="000D7FAD">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7454C6">
              <w:rPr>
                <w:sz w:val="20"/>
                <w:szCs w:val="20"/>
              </w:rPr>
              <w:t>Attributi identificativi del delegante che ha creato una delega digitale: per tutti i servizi di un SP; per una specifica classe di servizi di un SP; per una specifica operazione appartenente ad una classe di servizi di un SP. Informazioni afferenti la delega.</w:t>
            </w:r>
          </w:p>
        </w:tc>
      </w:tr>
      <w:tr w:rsidR="00AD4481" w14:paraId="0A84ED63" w14:textId="77777777" w:rsidTr="000D7FAD">
        <w:tc>
          <w:tcPr>
            <w:cnfStyle w:val="001000000000" w:firstRow="0" w:lastRow="0" w:firstColumn="1" w:lastColumn="0" w:oddVBand="0" w:evenVBand="0" w:oddHBand="0" w:evenHBand="0" w:firstRowFirstColumn="0" w:firstRowLastColumn="0" w:lastRowFirstColumn="0" w:lastRowLastColumn="0"/>
            <w:tcW w:w="2122" w:type="dxa"/>
          </w:tcPr>
          <w:p w14:paraId="13DC531B" w14:textId="77777777" w:rsidR="00AD4481" w:rsidRDefault="00384D03" w:rsidP="000D7FAD">
            <w:pPr>
              <w:ind w:firstLine="0"/>
              <w:rPr>
                <w:sz w:val="20"/>
                <w:szCs w:val="20"/>
              </w:rPr>
            </w:pPr>
            <w:r>
              <w:rPr>
                <w:sz w:val="20"/>
                <w:szCs w:val="20"/>
              </w:rPr>
              <w:t>IndicePA*</w:t>
            </w:r>
          </w:p>
        </w:tc>
        <w:tc>
          <w:tcPr>
            <w:tcW w:w="3543" w:type="dxa"/>
          </w:tcPr>
          <w:p w14:paraId="066CEE61" w14:textId="77777777" w:rsidR="00AD4481" w:rsidRDefault="00384D03" w:rsidP="000D7FAD">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Amministrazione di appartenenza; ruolo</w:t>
            </w:r>
          </w:p>
        </w:tc>
        <w:tc>
          <w:tcPr>
            <w:tcW w:w="3351" w:type="dxa"/>
          </w:tcPr>
          <w:p w14:paraId="1C01C23A" w14:textId="77777777" w:rsidR="00AD4481" w:rsidRDefault="00384D03">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Servizi riservati a dipendenti pubblici</w:t>
            </w:r>
          </w:p>
        </w:tc>
      </w:tr>
      <w:tr w:rsidR="00AD4481" w14:paraId="043EE60F" w14:textId="77777777" w:rsidTr="000D7FAD">
        <w:tc>
          <w:tcPr>
            <w:cnfStyle w:val="001000000000" w:firstRow="0" w:lastRow="0" w:firstColumn="1" w:lastColumn="0" w:oddVBand="0" w:evenVBand="0" w:oddHBand="0" w:evenHBand="0" w:firstRowFirstColumn="0" w:firstRowLastColumn="0" w:lastRowFirstColumn="0" w:lastRowLastColumn="0"/>
            <w:tcW w:w="2122" w:type="dxa"/>
          </w:tcPr>
          <w:p w14:paraId="289398ED" w14:textId="77777777" w:rsidR="00AD4481" w:rsidRDefault="00384D03" w:rsidP="000D7FAD">
            <w:pPr>
              <w:ind w:firstLine="0"/>
              <w:rPr>
                <w:sz w:val="20"/>
                <w:szCs w:val="20"/>
              </w:rPr>
            </w:pPr>
            <w:r>
              <w:rPr>
                <w:sz w:val="20"/>
                <w:szCs w:val="20"/>
              </w:rPr>
              <w:t>INPS</w:t>
            </w:r>
          </w:p>
        </w:tc>
        <w:tc>
          <w:tcPr>
            <w:tcW w:w="3543" w:type="dxa"/>
          </w:tcPr>
          <w:p w14:paraId="415E8B26" w14:textId="77777777" w:rsidR="00AD4481" w:rsidRDefault="00384D03" w:rsidP="000D7FAD">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ISEE; status pensionistico</w:t>
            </w:r>
          </w:p>
        </w:tc>
        <w:tc>
          <w:tcPr>
            <w:tcW w:w="3351" w:type="dxa"/>
          </w:tcPr>
          <w:p w14:paraId="630CFC7B" w14:textId="77777777" w:rsidR="00AD4481" w:rsidRDefault="00384D03">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Accesso a servizi con policy basate sull’ISEE</w:t>
            </w:r>
          </w:p>
        </w:tc>
      </w:tr>
      <w:tr w:rsidR="00AD4481" w14:paraId="51E97650" w14:textId="77777777" w:rsidTr="000D7FAD">
        <w:tc>
          <w:tcPr>
            <w:cnfStyle w:val="001000000000" w:firstRow="0" w:lastRow="0" w:firstColumn="1" w:lastColumn="0" w:oddVBand="0" w:evenVBand="0" w:oddHBand="0" w:evenHBand="0" w:firstRowFirstColumn="0" w:firstRowLastColumn="0" w:lastRowFirstColumn="0" w:lastRowLastColumn="0"/>
            <w:tcW w:w="2122" w:type="dxa"/>
          </w:tcPr>
          <w:p w14:paraId="7C0C8C16" w14:textId="77777777" w:rsidR="00AD4481" w:rsidRDefault="00384D03" w:rsidP="000D7FAD">
            <w:pPr>
              <w:ind w:firstLine="0"/>
              <w:rPr>
                <w:sz w:val="20"/>
                <w:szCs w:val="20"/>
              </w:rPr>
            </w:pPr>
            <w:r>
              <w:rPr>
                <w:sz w:val="20"/>
                <w:szCs w:val="20"/>
              </w:rPr>
              <w:t>Ministero dell’Interno (ANPR)</w:t>
            </w:r>
          </w:p>
        </w:tc>
        <w:tc>
          <w:tcPr>
            <w:tcW w:w="3543" w:type="dxa"/>
          </w:tcPr>
          <w:p w14:paraId="08672281" w14:textId="77777777" w:rsidR="00AD4481" w:rsidRDefault="00384D03" w:rsidP="000D7FAD">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Stato civile; familiari; luogo di residenza; lista elettorale; titolo di studio e tutti gli altri campi previsti dal DPCM 194/2014</w:t>
            </w:r>
          </w:p>
        </w:tc>
        <w:tc>
          <w:tcPr>
            <w:tcW w:w="3351" w:type="dxa"/>
          </w:tcPr>
          <w:p w14:paraId="77A361BD" w14:textId="77777777" w:rsidR="00AD4481" w:rsidRDefault="00384D03">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Richiesta permesso ZTL; accesso a servizi comunali/regionali</w:t>
            </w:r>
          </w:p>
        </w:tc>
      </w:tr>
      <w:tr w:rsidR="00AD4481" w14:paraId="4D5E6CB3" w14:textId="77777777" w:rsidTr="000D7FAD">
        <w:tc>
          <w:tcPr>
            <w:cnfStyle w:val="001000000000" w:firstRow="0" w:lastRow="0" w:firstColumn="1" w:lastColumn="0" w:oddVBand="0" w:evenVBand="0" w:oddHBand="0" w:evenHBand="0" w:firstRowFirstColumn="0" w:firstRowLastColumn="0" w:lastRowFirstColumn="0" w:lastRowLastColumn="0"/>
            <w:tcW w:w="2122" w:type="dxa"/>
          </w:tcPr>
          <w:p w14:paraId="046CAF36" w14:textId="77777777" w:rsidR="00AD4481" w:rsidRDefault="00384D03" w:rsidP="000D7FAD">
            <w:pPr>
              <w:ind w:firstLine="0"/>
              <w:rPr>
                <w:sz w:val="20"/>
                <w:szCs w:val="20"/>
              </w:rPr>
            </w:pPr>
            <w:r>
              <w:rPr>
                <w:sz w:val="20"/>
                <w:szCs w:val="20"/>
              </w:rPr>
              <w:t>Motorizzazione</w:t>
            </w:r>
          </w:p>
        </w:tc>
        <w:tc>
          <w:tcPr>
            <w:tcW w:w="3543" w:type="dxa"/>
          </w:tcPr>
          <w:p w14:paraId="588A5D6B" w14:textId="77777777" w:rsidR="00AD4481" w:rsidRDefault="00384D03" w:rsidP="000D7FAD">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Classe patente; neopatentato; saldo punti patente</w:t>
            </w:r>
          </w:p>
        </w:tc>
        <w:tc>
          <w:tcPr>
            <w:tcW w:w="3351" w:type="dxa"/>
          </w:tcPr>
          <w:p w14:paraId="4F2EB18E" w14:textId="77777777" w:rsidR="00AD4481" w:rsidRDefault="00AD4481">
            <w:pPr>
              <w:ind w:firstLine="0"/>
              <w:cnfStyle w:val="000000000000" w:firstRow="0" w:lastRow="0" w:firstColumn="0" w:lastColumn="0" w:oddVBand="0" w:evenVBand="0" w:oddHBand="0" w:evenHBand="0" w:firstRowFirstColumn="0" w:firstRowLastColumn="0" w:lastRowFirstColumn="0" w:lastRowLastColumn="0"/>
              <w:rPr>
                <w:sz w:val="20"/>
                <w:szCs w:val="20"/>
              </w:rPr>
            </w:pPr>
          </w:p>
        </w:tc>
      </w:tr>
      <w:tr w:rsidR="00AD4481" w14:paraId="6C86F732" w14:textId="77777777" w:rsidTr="000D7FAD">
        <w:tc>
          <w:tcPr>
            <w:cnfStyle w:val="001000000000" w:firstRow="0" w:lastRow="0" w:firstColumn="1" w:lastColumn="0" w:oddVBand="0" w:evenVBand="0" w:oddHBand="0" w:evenHBand="0" w:firstRowFirstColumn="0" w:firstRowLastColumn="0" w:lastRowFirstColumn="0" w:lastRowLastColumn="0"/>
            <w:tcW w:w="2122" w:type="dxa"/>
          </w:tcPr>
          <w:p w14:paraId="3A7D003F" w14:textId="77777777" w:rsidR="00AD4481" w:rsidRDefault="00384D03">
            <w:pPr>
              <w:ind w:firstLine="0"/>
              <w:rPr>
                <w:sz w:val="20"/>
                <w:szCs w:val="20"/>
              </w:rPr>
            </w:pPr>
            <w:r>
              <w:rPr>
                <w:sz w:val="20"/>
                <w:szCs w:val="20"/>
              </w:rPr>
              <w:t>Notariato*</w:t>
            </w:r>
          </w:p>
        </w:tc>
        <w:tc>
          <w:tcPr>
            <w:tcW w:w="3543" w:type="dxa"/>
          </w:tcPr>
          <w:p w14:paraId="687F35F8" w14:textId="77777777" w:rsidR="00AD4481" w:rsidRDefault="00384D03">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Appartenenza al Notariato</w:t>
            </w:r>
          </w:p>
        </w:tc>
        <w:tc>
          <w:tcPr>
            <w:tcW w:w="3351" w:type="dxa"/>
          </w:tcPr>
          <w:p w14:paraId="73465710" w14:textId="77777777" w:rsidR="00AD4481" w:rsidRDefault="00384D03">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Servizi riservati a notai</w:t>
            </w:r>
          </w:p>
        </w:tc>
      </w:tr>
      <w:tr w:rsidR="00AD4481" w14:paraId="186CF385" w14:textId="77777777" w:rsidTr="000D7FAD">
        <w:tc>
          <w:tcPr>
            <w:cnfStyle w:val="001000000000" w:firstRow="0" w:lastRow="0" w:firstColumn="1" w:lastColumn="0" w:oddVBand="0" w:evenVBand="0" w:oddHBand="0" w:evenHBand="0" w:firstRowFirstColumn="0" w:firstRowLastColumn="0" w:lastRowFirstColumn="0" w:lastRowLastColumn="0"/>
            <w:tcW w:w="2122" w:type="dxa"/>
          </w:tcPr>
          <w:p w14:paraId="10C63912" w14:textId="77777777" w:rsidR="00AD4481" w:rsidRDefault="00384D03">
            <w:pPr>
              <w:ind w:firstLine="0"/>
              <w:rPr>
                <w:sz w:val="20"/>
                <w:szCs w:val="20"/>
              </w:rPr>
            </w:pPr>
            <w:r>
              <w:rPr>
                <w:sz w:val="20"/>
                <w:szCs w:val="20"/>
              </w:rPr>
              <w:lastRenderedPageBreak/>
              <w:t>Ordini professionali*</w:t>
            </w:r>
          </w:p>
        </w:tc>
        <w:tc>
          <w:tcPr>
            <w:tcW w:w="3543" w:type="dxa"/>
          </w:tcPr>
          <w:p w14:paraId="1F881D6A" w14:textId="77777777" w:rsidR="00AD4481" w:rsidRDefault="00384D03">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Appartenenza ad un ordine</w:t>
            </w:r>
          </w:p>
        </w:tc>
        <w:tc>
          <w:tcPr>
            <w:tcW w:w="3351" w:type="dxa"/>
          </w:tcPr>
          <w:p w14:paraId="43DD35FD" w14:textId="77777777" w:rsidR="00AD4481" w:rsidRDefault="00384D03" w:rsidP="00736F11">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Servizi riservati a professionisti (concorsi ecc.)</w:t>
            </w:r>
          </w:p>
        </w:tc>
      </w:tr>
      <w:tr w:rsidR="00AD4481" w14:paraId="71BCF093" w14:textId="77777777" w:rsidTr="000D7FAD">
        <w:tc>
          <w:tcPr>
            <w:cnfStyle w:val="001000000000" w:firstRow="0" w:lastRow="0" w:firstColumn="1" w:lastColumn="0" w:oddVBand="0" w:evenVBand="0" w:oddHBand="0" w:evenHBand="0" w:firstRowFirstColumn="0" w:firstRowLastColumn="0" w:lastRowFirstColumn="0" w:lastRowLastColumn="0"/>
            <w:tcW w:w="2122" w:type="dxa"/>
          </w:tcPr>
          <w:p w14:paraId="26C6E92B" w14:textId="77777777" w:rsidR="00AD4481" w:rsidRDefault="00384D03">
            <w:pPr>
              <w:ind w:firstLine="0"/>
              <w:rPr>
                <w:sz w:val="20"/>
                <w:szCs w:val="20"/>
              </w:rPr>
            </w:pPr>
            <w:r>
              <w:rPr>
                <w:sz w:val="20"/>
                <w:szCs w:val="20"/>
              </w:rPr>
              <w:t>Pubblico Registro Automobilistico</w:t>
            </w:r>
          </w:p>
        </w:tc>
        <w:tc>
          <w:tcPr>
            <w:tcW w:w="3543" w:type="dxa"/>
          </w:tcPr>
          <w:p w14:paraId="37EBE4C6" w14:textId="77777777" w:rsidR="00AD4481" w:rsidRDefault="00384D03">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Veicoli intestati</w:t>
            </w:r>
          </w:p>
        </w:tc>
        <w:tc>
          <w:tcPr>
            <w:tcW w:w="3351" w:type="dxa"/>
          </w:tcPr>
          <w:p w14:paraId="6FB444B6" w14:textId="77777777" w:rsidR="00AD4481" w:rsidRDefault="00AD4481" w:rsidP="00736F11">
            <w:pPr>
              <w:ind w:firstLine="0"/>
              <w:cnfStyle w:val="000000000000" w:firstRow="0" w:lastRow="0" w:firstColumn="0" w:lastColumn="0" w:oddVBand="0" w:evenVBand="0" w:oddHBand="0" w:evenHBand="0" w:firstRowFirstColumn="0" w:firstRowLastColumn="0" w:lastRowFirstColumn="0" w:lastRowLastColumn="0"/>
              <w:rPr>
                <w:sz w:val="20"/>
                <w:szCs w:val="20"/>
              </w:rPr>
            </w:pPr>
          </w:p>
        </w:tc>
      </w:tr>
      <w:tr w:rsidR="00AD4481" w14:paraId="3B7BE5A3" w14:textId="77777777" w:rsidTr="000D7FAD">
        <w:tc>
          <w:tcPr>
            <w:cnfStyle w:val="001000000000" w:firstRow="0" w:lastRow="0" w:firstColumn="1" w:lastColumn="0" w:oddVBand="0" w:evenVBand="0" w:oddHBand="0" w:evenHBand="0" w:firstRowFirstColumn="0" w:firstRowLastColumn="0" w:lastRowFirstColumn="0" w:lastRowLastColumn="0"/>
            <w:tcW w:w="2122" w:type="dxa"/>
          </w:tcPr>
          <w:p w14:paraId="78663E58" w14:textId="77777777" w:rsidR="00AD4481" w:rsidRDefault="00384D03">
            <w:pPr>
              <w:ind w:firstLine="0"/>
              <w:rPr>
                <w:sz w:val="20"/>
                <w:szCs w:val="20"/>
              </w:rPr>
            </w:pPr>
            <w:r>
              <w:rPr>
                <w:sz w:val="20"/>
                <w:szCs w:val="20"/>
              </w:rPr>
              <w:t>Registro delle Imprese*</w:t>
            </w:r>
            <w:r>
              <w:rPr>
                <w:sz w:val="20"/>
                <w:szCs w:val="20"/>
                <w:vertAlign w:val="superscript"/>
              </w:rPr>
              <w:footnoteReference w:id="1"/>
            </w:r>
          </w:p>
        </w:tc>
        <w:tc>
          <w:tcPr>
            <w:tcW w:w="3543" w:type="dxa"/>
          </w:tcPr>
          <w:p w14:paraId="0572BB6C" w14:textId="77777777" w:rsidR="00AD4481" w:rsidRDefault="00384D03">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Imprese di cui il soggetto è socio o detiene cariche</w:t>
            </w:r>
          </w:p>
        </w:tc>
        <w:tc>
          <w:tcPr>
            <w:tcW w:w="3351" w:type="dxa"/>
          </w:tcPr>
          <w:p w14:paraId="1D8CBEAE" w14:textId="77777777" w:rsidR="00AD4481" w:rsidRDefault="00384D03" w:rsidP="00736F11">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Servizi alle imprese; verifica dei poteri di rappresentanza; deleghe</w:t>
            </w:r>
          </w:p>
        </w:tc>
      </w:tr>
      <w:tr w:rsidR="00AD4481" w14:paraId="0CF96044" w14:textId="77777777" w:rsidTr="000D7FAD">
        <w:tc>
          <w:tcPr>
            <w:cnfStyle w:val="001000000000" w:firstRow="0" w:lastRow="0" w:firstColumn="1" w:lastColumn="0" w:oddVBand="0" w:evenVBand="0" w:oddHBand="0" w:evenHBand="0" w:firstRowFirstColumn="0" w:firstRowLastColumn="0" w:lastRowFirstColumn="0" w:lastRowLastColumn="0"/>
            <w:tcW w:w="2122" w:type="dxa"/>
          </w:tcPr>
          <w:p w14:paraId="1B25828C" w14:textId="77777777" w:rsidR="00AD4481" w:rsidRDefault="00384D03">
            <w:pPr>
              <w:ind w:firstLine="0"/>
              <w:rPr>
                <w:sz w:val="20"/>
                <w:szCs w:val="20"/>
              </w:rPr>
            </w:pPr>
            <w:r>
              <w:rPr>
                <w:sz w:val="20"/>
                <w:szCs w:val="20"/>
              </w:rPr>
              <w:t>Registro INI-PEC*</w:t>
            </w:r>
          </w:p>
        </w:tc>
        <w:tc>
          <w:tcPr>
            <w:tcW w:w="3543" w:type="dxa"/>
          </w:tcPr>
          <w:p w14:paraId="090DF0A8" w14:textId="77777777" w:rsidR="00AD4481" w:rsidRDefault="00384D03">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PEC</w:t>
            </w:r>
          </w:p>
        </w:tc>
        <w:tc>
          <w:tcPr>
            <w:tcW w:w="3351" w:type="dxa"/>
          </w:tcPr>
          <w:p w14:paraId="76D60E8E" w14:textId="77777777" w:rsidR="00AD4481" w:rsidRDefault="00AD4481">
            <w:pPr>
              <w:ind w:firstLine="0"/>
              <w:cnfStyle w:val="000000000000" w:firstRow="0" w:lastRow="0" w:firstColumn="0" w:lastColumn="0" w:oddVBand="0" w:evenVBand="0" w:oddHBand="0" w:evenHBand="0" w:firstRowFirstColumn="0" w:firstRowLastColumn="0" w:lastRowFirstColumn="0" w:lastRowLastColumn="0"/>
              <w:rPr>
                <w:sz w:val="20"/>
                <w:szCs w:val="20"/>
              </w:rPr>
            </w:pPr>
          </w:p>
        </w:tc>
      </w:tr>
    </w:tbl>
    <w:p w14:paraId="55EEBBC9" w14:textId="77777777" w:rsidR="00AD4481" w:rsidRDefault="00AD4481">
      <w:pPr>
        <w:ind w:firstLine="0"/>
      </w:pPr>
    </w:p>
    <w:p w14:paraId="42A6F8DE" w14:textId="77777777" w:rsidR="00AD4481" w:rsidRDefault="00384D03">
      <w:pPr>
        <w:pStyle w:val="Titolo2"/>
        <w:numPr>
          <w:ilvl w:val="1"/>
          <w:numId w:val="8"/>
        </w:numPr>
      </w:pPr>
      <w:bookmarkStart w:id="17" w:name="_Toc73213592"/>
      <w:r>
        <w:t>Convenzioni</w:t>
      </w:r>
      <w:bookmarkEnd w:id="17"/>
    </w:p>
    <w:p w14:paraId="1AA6373D" w14:textId="77777777" w:rsidR="00AD4481" w:rsidRDefault="00384D03" w:rsidP="00736F11">
      <w:pPr>
        <w:ind w:firstLine="576"/>
        <w:jc w:val="both"/>
      </w:pPr>
      <w:r>
        <w:t xml:space="preserve">I Gestori di attributi qualificati (AA) ai sensi dell’articolo 4 lettera c) del DPCM 26 ottobre 2014, stipulano apposita Convenzione con l’Agenzia. </w:t>
      </w:r>
    </w:p>
    <w:p w14:paraId="75A1E9C9" w14:textId="77777777" w:rsidR="00AD4481" w:rsidRDefault="00AD4481">
      <w:pPr>
        <w:ind w:firstLine="0"/>
      </w:pPr>
    </w:p>
    <w:p w14:paraId="5F92C0EC" w14:textId="77777777" w:rsidR="00AD4481" w:rsidRDefault="00384D03">
      <w:pPr>
        <w:pStyle w:val="Titolo2"/>
        <w:numPr>
          <w:ilvl w:val="1"/>
          <w:numId w:val="8"/>
        </w:numPr>
      </w:pPr>
      <w:bookmarkStart w:id="18" w:name="_Toc73213593"/>
      <w:r>
        <w:t>Attestazione di attributo</w:t>
      </w:r>
      <w:bookmarkEnd w:id="18"/>
    </w:p>
    <w:p w14:paraId="1C001626" w14:textId="77777777" w:rsidR="00AD4481" w:rsidRDefault="00384D03" w:rsidP="00736F11">
      <w:pPr>
        <w:ind w:firstLine="576"/>
        <w:jc w:val="both"/>
      </w:pPr>
      <w:r>
        <w:t xml:space="preserve">Le attestazioni di attributo prodotte da un’AA servono ad attestare uno o più attributi qualificati riguardo ad una persona fisica o giuridica, previa richiesta da parte di un SP. </w:t>
      </w:r>
    </w:p>
    <w:p w14:paraId="4A5E5F4F" w14:textId="77777777" w:rsidR="00AD4481" w:rsidRDefault="00384D03" w:rsidP="00736F11">
      <w:pPr>
        <w:ind w:firstLine="576"/>
        <w:jc w:val="both"/>
      </w:pPr>
      <w:r>
        <w:t xml:space="preserve">Per erogare un servizio, il SP può aver bisogno di una molteplicità di attributi qualificati attestabili da AA differenti; gli attributi qualificati attestabili dalla medesima AA sono preferibilmente raccolti in un’unica richiesta di attributi, a meno che alcuni di questi attributi siano soggetti a dipendenze verificabili solo previa attestazione di altri attributi qualificati </w:t>
      </w:r>
    </w:p>
    <w:p w14:paraId="217B39AF" w14:textId="77777777" w:rsidR="00AD4481" w:rsidRDefault="00384D03" w:rsidP="00736F11">
      <w:pPr>
        <w:ind w:firstLine="576"/>
        <w:jc w:val="both"/>
      </w:pPr>
      <w:r>
        <w:t>Le richieste e le risposte di attributi sono conservate per 24 mesi al fine di poter ricostruire, in caso di richiesta da parte di un interessato, il flusso dei dati personali ad esso riferiti. Fatte salve diverse disposizioni di carattere normativo o amministrativo, è fatto divieto alle AA e ai SP di conservare tali informazioni per un periodo di tempo superiore, nonché di trattare le predette informazioni per finalità diverse da quelle sopraindicate.</w:t>
      </w:r>
    </w:p>
    <w:p w14:paraId="0F60BC34" w14:textId="77777777" w:rsidR="00AD4481" w:rsidRDefault="00384D03" w:rsidP="00736F11">
      <w:pPr>
        <w:ind w:firstLine="576"/>
        <w:jc w:val="both"/>
      </w:pPr>
      <w:r>
        <w:t>È fatto altresì divieto alle AA e ai SP di trattare ogni altro dato personale di cui siano venuti a conoscenza o a cui abbiano avuto accesso per le finalità indicate o in attuazione delle presenti linee guida, per finalità ultronee a quelle indicate nelle stesse.</w:t>
      </w:r>
    </w:p>
    <w:p w14:paraId="0D20D143" w14:textId="77777777" w:rsidR="00AD4481" w:rsidRDefault="00AD4481">
      <w:pPr>
        <w:ind w:firstLine="576"/>
      </w:pPr>
    </w:p>
    <w:p w14:paraId="3F08BDEC" w14:textId="77777777" w:rsidR="00AD4481" w:rsidRDefault="00AD4481">
      <w:pPr>
        <w:ind w:firstLine="576"/>
      </w:pPr>
    </w:p>
    <w:p w14:paraId="4D6AE49E" w14:textId="77777777" w:rsidR="00AD4481" w:rsidRDefault="00AD4481">
      <w:pPr>
        <w:ind w:firstLine="576"/>
      </w:pPr>
    </w:p>
    <w:p w14:paraId="18D17218" w14:textId="77777777" w:rsidR="00AD4481" w:rsidRDefault="00384D03">
      <w:pPr>
        <w:pStyle w:val="Titolo2"/>
        <w:numPr>
          <w:ilvl w:val="1"/>
          <w:numId w:val="8"/>
        </w:numPr>
      </w:pPr>
      <w:bookmarkStart w:id="19" w:name="_Toc73213594"/>
      <w:r>
        <w:t>Tipologie di richiesta</w:t>
      </w:r>
      <w:bookmarkEnd w:id="19"/>
    </w:p>
    <w:p w14:paraId="3612BD63" w14:textId="77777777" w:rsidR="00AD4481" w:rsidRDefault="00384D03" w:rsidP="00736F11">
      <w:pPr>
        <w:ind w:firstLine="576"/>
        <w:jc w:val="both"/>
      </w:pPr>
      <w:r>
        <w:t>Le singole AA definiscono nelle proprie specifiche OAS3, conformi alle indicazioni delle LL.GG. Interoperabilit</w:t>
      </w:r>
      <w:r w:rsidRPr="007454C6">
        <w:t>à, emanate da Agid, quali siano gli elementi obbligatori che i SP devono inserire nelle richieste. Fermo restando  l’uso esclusivo delle specifiche OAS3, esclusivamente per la AA che gestisce le deleghe, amministrazioni di sostegno e tutele, può, in prima istanza, essere utilizzata l’interfaccia SAML come normato nello specifico allegato delle presenti LG.</w:t>
      </w:r>
    </w:p>
    <w:p w14:paraId="07F8616D" w14:textId="77777777" w:rsidR="00AD4481" w:rsidRDefault="00384D03" w:rsidP="00736F11">
      <w:pPr>
        <w:ind w:firstLine="576"/>
        <w:jc w:val="both"/>
      </w:pPr>
      <w:r>
        <w:t>Ogni richiesta di attributi qualificati si caratterizza per:</w:t>
      </w:r>
    </w:p>
    <w:p w14:paraId="5EBE39A2" w14:textId="349ABBA9" w:rsidR="00AD4481" w:rsidRDefault="00384D03" w:rsidP="00736F11">
      <w:pPr>
        <w:numPr>
          <w:ilvl w:val="0"/>
          <w:numId w:val="13"/>
        </w:numPr>
        <w:pBdr>
          <w:top w:val="nil"/>
          <w:left w:val="nil"/>
          <w:bottom w:val="nil"/>
          <w:right w:val="nil"/>
          <w:between w:val="nil"/>
        </w:pBdr>
        <w:spacing w:after="0"/>
        <w:ind w:left="993"/>
        <w:jc w:val="both"/>
      </w:pPr>
      <w:r>
        <w:rPr>
          <w:color w:val="000000"/>
        </w:rPr>
        <w:t>identificazione del soggetto</w:t>
      </w:r>
      <w:r w:rsidR="000D7FAD">
        <w:rPr>
          <w:color w:val="000000"/>
        </w:rPr>
        <w:t>;</w:t>
      </w:r>
    </w:p>
    <w:p w14:paraId="42B5EE0B" w14:textId="77777777" w:rsidR="00AD4481" w:rsidRDefault="00384D03" w:rsidP="00736F11">
      <w:pPr>
        <w:numPr>
          <w:ilvl w:val="0"/>
          <w:numId w:val="13"/>
        </w:numPr>
        <w:pBdr>
          <w:top w:val="nil"/>
          <w:left w:val="nil"/>
          <w:bottom w:val="nil"/>
          <w:right w:val="nil"/>
          <w:between w:val="nil"/>
        </w:pBdr>
        <w:spacing w:after="0"/>
        <w:ind w:left="993"/>
        <w:jc w:val="both"/>
      </w:pPr>
      <w:r>
        <w:rPr>
          <w:color w:val="000000"/>
        </w:rPr>
        <w:t>sincronicità della richiesta di attributi qualificati: puntuale o continuativa;</w:t>
      </w:r>
    </w:p>
    <w:p w14:paraId="5879EEF1" w14:textId="50C89EA6" w:rsidR="00AD4481" w:rsidRDefault="00384D03" w:rsidP="00736F11">
      <w:pPr>
        <w:numPr>
          <w:ilvl w:val="0"/>
          <w:numId w:val="13"/>
        </w:numPr>
        <w:pBdr>
          <w:top w:val="nil"/>
          <w:left w:val="nil"/>
          <w:bottom w:val="nil"/>
          <w:right w:val="nil"/>
          <w:between w:val="nil"/>
        </w:pBdr>
        <w:ind w:left="993"/>
        <w:jc w:val="both"/>
      </w:pPr>
      <w:r>
        <w:rPr>
          <w:color w:val="000000"/>
        </w:rPr>
        <w:t xml:space="preserve">verifica della necessità di rilascio del consenso </w:t>
      </w:r>
      <w:r w:rsidR="000D7FAD">
        <w:rPr>
          <w:color w:val="000000"/>
        </w:rPr>
        <w:t xml:space="preserve">da parte dell’utente </w:t>
      </w:r>
      <w:r>
        <w:rPr>
          <w:color w:val="000000"/>
        </w:rPr>
        <w:t>alla fornitura di attributi qualificati.</w:t>
      </w:r>
    </w:p>
    <w:p w14:paraId="58D07050" w14:textId="790DAFCE" w:rsidR="00AD4481" w:rsidRDefault="00384D03" w:rsidP="00736F11">
      <w:pPr>
        <w:ind w:firstLine="576"/>
        <w:jc w:val="both"/>
      </w:pPr>
      <w:r>
        <w:t>Le interrogazioni alle AA sono caratterizzate dalla tipologia dei dati richiesti, da cui discende l’obbligatorietà da parte delle AA di acquisire o meno il consenso dell’interessato alla comunicazione dei propri dati al richiedente (punto a). Per ottenere tale consenso può essere necessario che la stessa AA acquisisca il consenso dall’interessato. In altri casi, invece, è possibile che l’AA preveda che il consenso sia raccolto dal SP.</w:t>
      </w:r>
    </w:p>
    <w:p w14:paraId="4F7181F5" w14:textId="77777777" w:rsidR="00AD4481" w:rsidRDefault="00384D03" w:rsidP="00736F11">
      <w:pPr>
        <w:ind w:firstLine="576"/>
        <w:jc w:val="both"/>
      </w:pPr>
      <w:r>
        <w:t>I SP possono richiedere dati personali nei casi previsti dalla norma con particolare riferimento al GDPR e al codice privacy.</w:t>
      </w:r>
    </w:p>
    <w:p w14:paraId="50936620" w14:textId="77777777" w:rsidR="00AD4481" w:rsidRDefault="00384D03" w:rsidP="00736F11">
      <w:pPr>
        <w:ind w:firstLine="576"/>
        <w:jc w:val="both"/>
      </w:pPr>
      <w:r>
        <w:t>Qualunque sia la tipologia di identificazione, l’AA decide se (punto c):</w:t>
      </w:r>
    </w:p>
    <w:p w14:paraId="41C1B676" w14:textId="77777777" w:rsidR="00AD4481" w:rsidRDefault="00384D03" w:rsidP="00736F11">
      <w:pPr>
        <w:numPr>
          <w:ilvl w:val="0"/>
          <w:numId w:val="12"/>
        </w:numPr>
        <w:pBdr>
          <w:top w:val="nil"/>
          <w:left w:val="nil"/>
          <w:bottom w:val="nil"/>
          <w:right w:val="nil"/>
          <w:between w:val="nil"/>
        </w:pBdr>
        <w:spacing w:after="0"/>
        <w:ind w:left="993"/>
        <w:jc w:val="both"/>
      </w:pPr>
      <w:r>
        <w:rPr>
          <w:color w:val="000000"/>
        </w:rPr>
        <w:t xml:space="preserve">gli attributi qualificati possono essere inviati al SP previo consenso acquisito dal SP o in assenza dello stesso consenso </w:t>
      </w:r>
    </w:p>
    <w:p w14:paraId="3F81A8BB" w14:textId="77777777" w:rsidR="00AD4481" w:rsidRDefault="00384D03" w:rsidP="00736F11">
      <w:pPr>
        <w:numPr>
          <w:ilvl w:val="0"/>
          <w:numId w:val="12"/>
        </w:numPr>
        <w:pBdr>
          <w:top w:val="nil"/>
          <w:left w:val="nil"/>
          <w:bottom w:val="nil"/>
          <w:right w:val="nil"/>
          <w:between w:val="nil"/>
        </w:pBdr>
        <w:ind w:left="993"/>
        <w:jc w:val="both"/>
      </w:pPr>
      <w:r>
        <w:rPr>
          <w:color w:val="000000"/>
        </w:rPr>
        <w:t>è necessario richiedere all’ utente il consenso esplicito per l’invio dei dati al SP.</w:t>
      </w:r>
    </w:p>
    <w:p w14:paraId="6C32DBEE" w14:textId="77777777" w:rsidR="00AD4481" w:rsidRDefault="00384D03" w:rsidP="00736F11">
      <w:pPr>
        <w:ind w:firstLine="576"/>
        <w:jc w:val="both"/>
      </w:pPr>
      <w:r>
        <w:t>É prevista (punto b), la possibilità per il  SP di richiedere gli attributi qualificati una tantum (richieste puntuali), o di effettuare più richieste dei medesimi attributi in automatico nell’arco di un periodo di lunga durata (richieste continuative).</w:t>
      </w:r>
    </w:p>
    <w:p w14:paraId="762C3D08" w14:textId="77777777" w:rsidR="00AD4481" w:rsidRDefault="00AD4481">
      <w:pPr>
        <w:ind w:firstLine="0"/>
      </w:pPr>
    </w:p>
    <w:p w14:paraId="1A2E5A9D" w14:textId="77777777" w:rsidR="00AD4481" w:rsidRDefault="00384D03">
      <w:pPr>
        <w:pStyle w:val="Titolo3"/>
        <w:numPr>
          <w:ilvl w:val="2"/>
          <w:numId w:val="8"/>
        </w:numPr>
      </w:pPr>
      <w:bookmarkStart w:id="20" w:name="_Toc73213595"/>
      <w:r>
        <w:lastRenderedPageBreak/>
        <w:t>Richieste puntuali</w:t>
      </w:r>
      <w:bookmarkEnd w:id="20"/>
    </w:p>
    <w:p w14:paraId="7F56F280" w14:textId="77777777" w:rsidR="00AD4481" w:rsidRDefault="00384D03" w:rsidP="00736F11">
      <w:pPr>
        <w:ind w:firstLine="576"/>
        <w:jc w:val="both"/>
      </w:pPr>
      <w:r>
        <w:t>La richiesta di attributi qualificati è puntuale quando, se accolta, viene seguita da un’unica immediatamente “sincrona” risposta di attributi da parte dell’AA.</w:t>
      </w:r>
    </w:p>
    <w:p w14:paraId="45A224EA" w14:textId="77777777" w:rsidR="00AD4481" w:rsidRDefault="00AD4481">
      <w:pPr>
        <w:ind w:firstLine="576"/>
      </w:pPr>
    </w:p>
    <w:p w14:paraId="786F0E21" w14:textId="77777777" w:rsidR="00AD4481" w:rsidRDefault="00384D03">
      <w:pPr>
        <w:pStyle w:val="Titolo3"/>
        <w:numPr>
          <w:ilvl w:val="2"/>
          <w:numId w:val="8"/>
        </w:numPr>
      </w:pPr>
      <w:bookmarkStart w:id="21" w:name="_Toc73213596"/>
      <w:r>
        <w:t>Richieste continuative</w:t>
      </w:r>
      <w:bookmarkEnd w:id="21"/>
    </w:p>
    <w:p w14:paraId="577E021F" w14:textId="77777777" w:rsidR="00AD4481" w:rsidRDefault="00384D03" w:rsidP="00736F11">
      <w:pPr>
        <w:ind w:firstLine="576"/>
        <w:jc w:val="both"/>
      </w:pPr>
      <w:r>
        <w:t>Le AA possono prevedere richieste continuative.</w:t>
      </w:r>
    </w:p>
    <w:p w14:paraId="18243C1A" w14:textId="77777777" w:rsidR="00AD4481" w:rsidRDefault="00384D03" w:rsidP="00736F11">
      <w:pPr>
        <w:ind w:firstLine="576"/>
        <w:jc w:val="both"/>
      </w:pPr>
      <w:r>
        <w:t xml:space="preserve">La richiesta di attributi qualificati è continuativa quando, se accolta, un SP indirizza ad una AA, relativamente agli stessi attributi qualificati iniziali, molteplici richieste “asincrone” di attributi, all’interno di una finestra temporale reciprocamente concordata tra SP, AA e utente. Tale finestra temporale non potrà in nessun caso essere superiore ad un periodo ininterrotto di 12 mesi. </w:t>
      </w:r>
    </w:p>
    <w:p w14:paraId="412266F2" w14:textId="77777777" w:rsidR="00AD4481" w:rsidRDefault="00384D03" w:rsidP="00736F11">
      <w:pPr>
        <w:ind w:firstLine="576"/>
        <w:jc w:val="both"/>
      </w:pPr>
      <w:r>
        <w:t>La richiesta continuativa è costituita da un consenso di lunga durata, inizialmente proposto dal SP all’AA che, qualora il consenso sia accordato, valuta se ammetterne la continuità o meno. L’AA può ritenere la durata eccessiva e, nel caso, ridurre la finestra temporale a un periodo inferiore rispetto a quanto proposto dal SP.</w:t>
      </w:r>
    </w:p>
    <w:p w14:paraId="5FD41FEA" w14:textId="77777777" w:rsidR="00AD4481" w:rsidRDefault="00384D03" w:rsidP="00736F11">
      <w:pPr>
        <w:ind w:firstLine="576"/>
        <w:jc w:val="both"/>
      </w:pPr>
      <w:r>
        <w:t>Nel caso in cui il consenso di lunga durata sia ammissibile da parte dell’AA, quest’ultima richiede all’utente di accettare esplicitamente la finestra temporale, eventualmente abbreviata dall’AA. L’utente può  decidere se:</w:t>
      </w:r>
    </w:p>
    <w:p w14:paraId="67D93137" w14:textId="77777777" w:rsidR="00AD4481" w:rsidRDefault="00384D03" w:rsidP="00736F11">
      <w:pPr>
        <w:numPr>
          <w:ilvl w:val="0"/>
          <w:numId w:val="14"/>
        </w:numPr>
        <w:pBdr>
          <w:top w:val="nil"/>
          <w:left w:val="nil"/>
          <w:bottom w:val="nil"/>
          <w:right w:val="nil"/>
          <w:between w:val="nil"/>
        </w:pBdr>
        <w:spacing w:after="0"/>
        <w:ind w:left="993"/>
        <w:jc w:val="both"/>
      </w:pPr>
      <w:r>
        <w:rPr>
          <w:color w:val="000000"/>
        </w:rPr>
        <w:t>negare tale richiesta continuativa (e quindi negare il consenso a fornire gli attributi qualificati in oggetto),</w:t>
      </w:r>
    </w:p>
    <w:p w14:paraId="124209B0" w14:textId="77777777" w:rsidR="00AD4481" w:rsidRDefault="00384D03" w:rsidP="00736F11">
      <w:pPr>
        <w:numPr>
          <w:ilvl w:val="0"/>
          <w:numId w:val="14"/>
        </w:numPr>
        <w:pBdr>
          <w:top w:val="nil"/>
          <w:left w:val="nil"/>
          <w:bottom w:val="nil"/>
          <w:right w:val="nil"/>
          <w:between w:val="nil"/>
        </w:pBdr>
        <w:spacing w:after="0"/>
        <w:ind w:left="993"/>
        <w:jc w:val="both"/>
      </w:pPr>
      <w:r>
        <w:rPr>
          <w:color w:val="000000"/>
        </w:rPr>
        <w:t>convertire la richiesta in una richiesta puntuale, oppure</w:t>
      </w:r>
    </w:p>
    <w:p w14:paraId="0A7A5E56" w14:textId="77777777" w:rsidR="00AD4481" w:rsidRDefault="00384D03" w:rsidP="00736F11">
      <w:pPr>
        <w:numPr>
          <w:ilvl w:val="0"/>
          <w:numId w:val="14"/>
        </w:numPr>
        <w:pBdr>
          <w:top w:val="nil"/>
          <w:left w:val="nil"/>
          <w:bottom w:val="nil"/>
          <w:right w:val="nil"/>
          <w:between w:val="nil"/>
        </w:pBdr>
        <w:ind w:left="993"/>
        <w:jc w:val="both"/>
      </w:pPr>
      <w:r>
        <w:rPr>
          <w:color w:val="000000"/>
        </w:rPr>
        <w:t>ridurre ulteriormente la durata della finestra temporale a un qualunque periodo inferiore di propria scelta.</w:t>
      </w:r>
    </w:p>
    <w:p w14:paraId="1381C1F7" w14:textId="77777777" w:rsidR="00AD4481" w:rsidRDefault="00384D03" w:rsidP="00736F11">
      <w:pPr>
        <w:ind w:firstLine="576"/>
        <w:jc w:val="both"/>
      </w:pPr>
      <w:r>
        <w:t>Una volta acquisito il consenso, il SP può inviare all’AA delle richieste asincrone limitatamente agli attributi per cui è stata autorizzata la trasmissione, durante il periodo concordato, senza che intervenga alcun ulteriore processo di autenticazione o autorizzazione da parte dell’utente.</w:t>
      </w:r>
    </w:p>
    <w:p w14:paraId="73FAE776" w14:textId="77777777" w:rsidR="00AD4481" w:rsidRDefault="00384D03" w:rsidP="00736F11">
      <w:pPr>
        <w:ind w:firstLine="576"/>
        <w:jc w:val="both"/>
      </w:pPr>
      <w:r>
        <w:t xml:space="preserve">All’approssimarsi della scadenza del periodo concordato l’AA può informare l’utente dell’opportunità di rinnovare o estendere tale periodo per ulteriori 12 mesi privi di interruzioni . </w:t>
      </w:r>
    </w:p>
    <w:p w14:paraId="7B8E85B0" w14:textId="77777777" w:rsidR="00AD4481" w:rsidRDefault="00384D03" w:rsidP="00736F11">
      <w:pPr>
        <w:ind w:firstLine="576"/>
        <w:jc w:val="both"/>
      </w:pPr>
      <w:r>
        <w:lastRenderedPageBreak/>
        <w:t>Il consenso di lunga durata può avere profonde implicazioni in merito alla minimizzazione dei dati personali. Per tale motivo è sempre richiesto nel rispetto di quanto previsto dai considerando 71, 78 e 156  e dall’articolo 5, comma 1,lett. c) del Regolamento GDPR.</w:t>
      </w:r>
    </w:p>
    <w:p w14:paraId="25AB9977" w14:textId="77777777" w:rsidR="00AD4481" w:rsidRDefault="00AD4481">
      <w:pPr>
        <w:ind w:firstLine="0"/>
      </w:pPr>
    </w:p>
    <w:p w14:paraId="432B2CB1" w14:textId="77777777" w:rsidR="00AD4481" w:rsidRDefault="00AD4481">
      <w:pPr>
        <w:ind w:firstLine="0"/>
      </w:pPr>
    </w:p>
    <w:p w14:paraId="6A5E608F" w14:textId="77777777" w:rsidR="00AD4481" w:rsidRDefault="00384D03" w:rsidP="00AA745D">
      <w:pPr>
        <w:pStyle w:val="Titolo1"/>
      </w:pPr>
      <w:r>
        <w:lastRenderedPageBreak/>
        <w:br/>
      </w:r>
      <w:bookmarkStart w:id="22" w:name="_Toc73213597"/>
      <w:r>
        <w:t>Specifiche di funzionamento</w:t>
      </w:r>
      <w:bookmarkEnd w:id="22"/>
      <w:r>
        <w:t xml:space="preserve"> </w:t>
      </w:r>
    </w:p>
    <w:p w14:paraId="41AB3B1F" w14:textId="77777777" w:rsidR="00AD4481" w:rsidRDefault="00384D03">
      <w:pPr>
        <w:pStyle w:val="Titolo2"/>
        <w:numPr>
          <w:ilvl w:val="1"/>
          <w:numId w:val="8"/>
        </w:numPr>
      </w:pPr>
      <w:bookmarkStart w:id="23" w:name="_Toc73213598"/>
      <w:r>
        <w:t>Flusso applicativo senza necessità del consenso dell’utente</w:t>
      </w:r>
      <w:bookmarkEnd w:id="23"/>
    </w:p>
    <w:p w14:paraId="6107E0B0" w14:textId="77777777" w:rsidR="00AD4481" w:rsidRDefault="00384D03">
      <w:pPr>
        <w:ind w:firstLine="0"/>
      </w:pPr>
      <w:r>
        <w:t>Tale flusso si applica anche nel caso in cui il consenso dell’utente sia già stato acquisito dal SP.</w:t>
      </w:r>
    </w:p>
    <w:p w14:paraId="0643A445" w14:textId="77777777" w:rsidR="00AD4481" w:rsidRDefault="00384D03">
      <w:pPr>
        <w:keepNext/>
        <w:ind w:firstLine="0"/>
      </w:pPr>
      <w:r>
        <w:rPr>
          <w:lang w:val="en-GB"/>
        </w:rPr>
        <w:drawing>
          <wp:inline distT="0" distB="0" distL="0" distR="0" wp14:anchorId="3425C5CD" wp14:editId="28221839">
            <wp:extent cx="5683252" cy="3702050"/>
            <wp:effectExtent l="0" t="0" r="0" b="0"/>
            <wp:docPr id="12581112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83252" cy="3702050"/>
                    </a:xfrm>
                    <a:prstGeom prst="rect">
                      <a:avLst/>
                    </a:prstGeom>
                    <a:ln/>
                  </pic:spPr>
                </pic:pic>
              </a:graphicData>
            </a:graphic>
          </wp:inline>
        </w:drawing>
      </w:r>
    </w:p>
    <w:p w14:paraId="6C01A6DB" w14:textId="77777777" w:rsidR="00AD4481" w:rsidRDefault="00384D03">
      <w:pPr>
        <w:pBdr>
          <w:top w:val="nil"/>
          <w:left w:val="nil"/>
          <w:bottom w:val="nil"/>
          <w:right w:val="nil"/>
          <w:between w:val="nil"/>
        </w:pBdr>
        <w:spacing w:after="200" w:line="240" w:lineRule="auto"/>
        <w:rPr>
          <w:color w:val="404040"/>
          <w:sz w:val="18"/>
          <w:szCs w:val="18"/>
        </w:rPr>
      </w:pPr>
      <w:r>
        <w:rPr>
          <w:color w:val="404040"/>
          <w:sz w:val="18"/>
          <w:szCs w:val="18"/>
        </w:rPr>
        <w:t>Figura 1</w:t>
      </w:r>
      <w:r>
        <w:rPr>
          <w:rFonts w:ascii="Titillium" w:eastAsia="Titillium" w:hAnsi="Titillium" w:cs="Titillium"/>
          <w:color w:val="000000"/>
          <w:sz w:val="16"/>
          <w:szCs w:val="16"/>
        </w:rPr>
        <w:t xml:space="preserve"> Flusso di richiesta di attributi qualificati senza consenso o consenso acquisito dal SP.</w:t>
      </w:r>
    </w:p>
    <w:p w14:paraId="166B1DD1" w14:textId="77777777" w:rsidR="00AD4481" w:rsidRDefault="00384D03" w:rsidP="00736F11">
      <w:pPr>
        <w:ind w:firstLine="0"/>
        <w:jc w:val="both"/>
      </w:pPr>
      <w:r>
        <w:t>Nel caso di richiesta “sincrona” (cfr. Figura 1):</w:t>
      </w:r>
    </w:p>
    <w:p w14:paraId="266390F3" w14:textId="77777777" w:rsidR="00AD4481" w:rsidRDefault="00384D03" w:rsidP="00736F11">
      <w:pPr>
        <w:numPr>
          <w:ilvl w:val="0"/>
          <w:numId w:val="1"/>
        </w:numPr>
        <w:pBdr>
          <w:top w:val="nil"/>
          <w:left w:val="nil"/>
          <w:bottom w:val="nil"/>
          <w:right w:val="nil"/>
          <w:between w:val="nil"/>
        </w:pBdr>
        <w:spacing w:after="0"/>
        <w:jc w:val="both"/>
      </w:pPr>
      <w:r>
        <w:rPr>
          <w:color w:val="000000"/>
        </w:rPr>
        <w:t xml:space="preserve">L’utente chiede l’accesso ad un servizio del SP e seleziona l’IdP presso il quale ha l’identità digitale. </w:t>
      </w:r>
    </w:p>
    <w:p w14:paraId="54BC92B1" w14:textId="77777777" w:rsidR="00AD4481" w:rsidRDefault="00384D03" w:rsidP="00736F11">
      <w:pPr>
        <w:numPr>
          <w:ilvl w:val="0"/>
          <w:numId w:val="1"/>
        </w:numPr>
        <w:pBdr>
          <w:top w:val="nil"/>
          <w:left w:val="nil"/>
          <w:bottom w:val="nil"/>
          <w:right w:val="nil"/>
          <w:between w:val="nil"/>
        </w:pBdr>
        <w:spacing w:after="0"/>
        <w:jc w:val="both"/>
      </w:pPr>
      <w:r>
        <w:rPr>
          <w:color w:val="000000"/>
        </w:rPr>
        <w:t>l SP invia una richiesta di autenticazione presso l’IdP di cui al punto 1.</w:t>
      </w:r>
    </w:p>
    <w:p w14:paraId="61547707" w14:textId="77777777" w:rsidR="00AD4481" w:rsidRDefault="00384D03" w:rsidP="00736F11">
      <w:pPr>
        <w:numPr>
          <w:ilvl w:val="0"/>
          <w:numId w:val="1"/>
        </w:numPr>
        <w:pBdr>
          <w:top w:val="nil"/>
          <w:left w:val="nil"/>
          <w:bottom w:val="nil"/>
          <w:right w:val="nil"/>
          <w:between w:val="nil"/>
        </w:pBdr>
        <w:spacing w:after="0"/>
        <w:jc w:val="both"/>
      </w:pPr>
      <w:r>
        <w:rPr>
          <w:color w:val="000000"/>
        </w:rPr>
        <w:t>L’IdP esegue la procedura di autenticazione e invia la risposta di autenticazione al SP.</w:t>
      </w:r>
    </w:p>
    <w:p w14:paraId="00672283" w14:textId="77777777" w:rsidR="00AD4481" w:rsidRDefault="00384D03" w:rsidP="00736F11">
      <w:pPr>
        <w:numPr>
          <w:ilvl w:val="0"/>
          <w:numId w:val="1"/>
        </w:numPr>
        <w:pBdr>
          <w:top w:val="nil"/>
          <w:left w:val="nil"/>
          <w:bottom w:val="nil"/>
          <w:right w:val="nil"/>
          <w:between w:val="nil"/>
        </w:pBdr>
        <w:spacing w:after="0"/>
        <w:jc w:val="both"/>
      </w:pPr>
      <w:r>
        <w:rPr>
          <w:color w:val="000000"/>
        </w:rPr>
        <w:t>Il SP richiede all’AA, informando l'utente in base alla normativa Privacy, gli attributi qualificati dei quali ha bisogno;</w:t>
      </w:r>
    </w:p>
    <w:p w14:paraId="0FA39C56" w14:textId="77777777" w:rsidR="00AD4481" w:rsidRDefault="00384D03">
      <w:pPr>
        <w:numPr>
          <w:ilvl w:val="0"/>
          <w:numId w:val="1"/>
        </w:numPr>
        <w:pBdr>
          <w:top w:val="nil"/>
          <w:left w:val="nil"/>
          <w:bottom w:val="nil"/>
          <w:right w:val="nil"/>
          <w:between w:val="nil"/>
        </w:pBdr>
      </w:pPr>
      <w:r>
        <w:rPr>
          <w:color w:val="000000"/>
        </w:rPr>
        <w:lastRenderedPageBreak/>
        <w:t>L’AA risponde direttamente al SP fornendo gli attributi richiesti.</w:t>
      </w:r>
    </w:p>
    <w:p w14:paraId="12B1512F" w14:textId="77777777" w:rsidR="00AD4481" w:rsidRDefault="00384D03">
      <w:pPr>
        <w:pStyle w:val="Titolo2"/>
        <w:numPr>
          <w:ilvl w:val="1"/>
          <w:numId w:val="8"/>
        </w:numPr>
      </w:pPr>
      <w:bookmarkStart w:id="24" w:name="_Toc73213599"/>
      <w:r>
        <w:t>Flusso applicativo che richiede il consenso dell’utente</w:t>
      </w:r>
      <w:bookmarkEnd w:id="24"/>
    </w:p>
    <w:p w14:paraId="378433ED" w14:textId="49491F5E" w:rsidR="00AD4481" w:rsidRDefault="0044400F">
      <w:pPr>
        <w:keepNext/>
        <w:ind w:firstLine="0"/>
      </w:pPr>
      <w:r>
        <w:drawing>
          <wp:inline distT="0" distB="0" distL="0" distR="0" wp14:anchorId="633356E3" wp14:editId="6A6F4223">
            <wp:extent cx="5705475" cy="38004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3800475"/>
                    </a:xfrm>
                    <a:prstGeom prst="rect">
                      <a:avLst/>
                    </a:prstGeom>
                    <a:noFill/>
                    <a:ln>
                      <a:noFill/>
                    </a:ln>
                  </pic:spPr>
                </pic:pic>
              </a:graphicData>
            </a:graphic>
          </wp:inline>
        </w:drawing>
      </w:r>
    </w:p>
    <w:p w14:paraId="65C8CB71" w14:textId="77777777" w:rsidR="00AD4481" w:rsidRDefault="00384D03">
      <w:pPr>
        <w:pBdr>
          <w:top w:val="nil"/>
          <w:left w:val="nil"/>
          <w:bottom w:val="nil"/>
          <w:right w:val="nil"/>
          <w:between w:val="nil"/>
        </w:pBdr>
        <w:spacing w:after="200" w:line="240" w:lineRule="auto"/>
        <w:rPr>
          <w:color w:val="404040"/>
          <w:sz w:val="18"/>
          <w:szCs w:val="18"/>
        </w:rPr>
      </w:pPr>
      <w:r>
        <w:rPr>
          <w:color w:val="404040"/>
          <w:sz w:val="18"/>
          <w:szCs w:val="18"/>
        </w:rPr>
        <w:t>Figura 2 Flusso di richiesta di attributi qualificati con consenso</w:t>
      </w:r>
    </w:p>
    <w:p w14:paraId="7F8FF7FA" w14:textId="77777777" w:rsidR="00AD4481" w:rsidRDefault="00384D03" w:rsidP="00736F11">
      <w:pPr>
        <w:ind w:firstLine="0"/>
        <w:jc w:val="both"/>
      </w:pPr>
      <w:r>
        <w:t>Nel caso di richieste “sincrona” e “asincrona” (cfr. Figura 2):</w:t>
      </w:r>
    </w:p>
    <w:p w14:paraId="512935C5" w14:textId="77777777" w:rsidR="00AD4481" w:rsidRDefault="00384D03" w:rsidP="00ED4E02">
      <w:pPr>
        <w:numPr>
          <w:ilvl w:val="0"/>
          <w:numId w:val="5"/>
        </w:numPr>
        <w:pBdr>
          <w:top w:val="nil"/>
          <w:left w:val="nil"/>
          <w:bottom w:val="nil"/>
          <w:right w:val="nil"/>
          <w:between w:val="nil"/>
        </w:pBdr>
        <w:spacing w:after="0"/>
        <w:ind w:left="993"/>
      </w:pPr>
      <w:r>
        <w:rPr>
          <w:color w:val="000000"/>
        </w:rPr>
        <w:t>L’utente chiede l’accesso ad un servizio del SP e seleziona l’IDP presso il quale ha l’identità digitale.</w:t>
      </w:r>
    </w:p>
    <w:p w14:paraId="35009B76" w14:textId="77777777" w:rsidR="00AD4481" w:rsidRDefault="00384D03" w:rsidP="00ED4E02">
      <w:pPr>
        <w:numPr>
          <w:ilvl w:val="0"/>
          <w:numId w:val="5"/>
        </w:numPr>
        <w:pBdr>
          <w:top w:val="nil"/>
          <w:left w:val="nil"/>
          <w:bottom w:val="nil"/>
          <w:right w:val="nil"/>
          <w:between w:val="nil"/>
        </w:pBdr>
        <w:spacing w:after="0"/>
        <w:ind w:left="993"/>
      </w:pPr>
      <w:r>
        <w:rPr>
          <w:color w:val="000000"/>
        </w:rPr>
        <w:t>Il SP invia una richiesta di autenticazione presso l’IDP di cui al punto 1.</w:t>
      </w:r>
    </w:p>
    <w:p w14:paraId="7358CFFC" w14:textId="77777777" w:rsidR="00AD4481" w:rsidRDefault="00384D03" w:rsidP="00ED4E02">
      <w:pPr>
        <w:numPr>
          <w:ilvl w:val="0"/>
          <w:numId w:val="5"/>
        </w:numPr>
        <w:pBdr>
          <w:top w:val="nil"/>
          <w:left w:val="nil"/>
          <w:bottom w:val="nil"/>
          <w:right w:val="nil"/>
          <w:between w:val="nil"/>
        </w:pBdr>
        <w:spacing w:after="0"/>
        <w:ind w:left="993"/>
      </w:pPr>
      <w:r>
        <w:rPr>
          <w:color w:val="000000"/>
        </w:rPr>
        <w:t>L’IDP esegue la procedura di autenticazione e invia la risposta di autenticazione al SP.</w:t>
      </w:r>
    </w:p>
    <w:p w14:paraId="312FF9BF" w14:textId="6E0B34DF" w:rsidR="00AD4481" w:rsidRDefault="00384D03" w:rsidP="00ED4E02">
      <w:pPr>
        <w:numPr>
          <w:ilvl w:val="0"/>
          <w:numId w:val="5"/>
        </w:numPr>
        <w:pBdr>
          <w:top w:val="nil"/>
          <w:left w:val="nil"/>
          <w:bottom w:val="nil"/>
          <w:right w:val="nil"/>
          <w:between w:val="nil"/>
        </w:pBdr>
        <w:spacing w:after="0"/>
        <w:ind w:left="993"/>
      </w:pPr>
      <w:r>
        <w:rPr>
          <w:color w:val="000000"/>
        </w:rPr>
        <w:t>Il SP, avendo bisogno di uno o più attributi qualificati,</w:t>
      </w:r>
      <w:r w:rsidR="000D7FAD">
        <w:rPr>
          <w:color w:val="000000"/>
        </w:rPr>
        <w:t xml:space="preserve"> si avvale dell’uso di una </w:t>
      </w:r>
      <w:r>
        <w:rPr>
          <w:color w:val="000000"/>
        </w:rPr>
        <w:t>AA, informando</w:t>
      </w:r>
      <w:r w:rsidR="000D7FAD">
        <w:rPr>
          <w:color w:val="000000"/>
        </w:rPr>
        <w:t xml:space="preserve"> l’utente</w:t>
      </w:r>
      <w:r>
        <w:rPr>
          <w:color w:val="000000"/>
        </w:rPr>
        <w:t xml:space="preserve"> secondo quanto previsto dalla sulla protezione dei dati personali.</w:t>
      </w:r>
    </w:p>
    <w:p w14:paraId="610C215B" w14:textId="77777777" w:rsidR="00ED4E02" w:rsidRPr="00ED4E02" w:rsidRDefault="00384D03" w:rsidP="00ED4E02">
      <w:pPr>
        <w:numPr>
          <w:ilvl w:val="0"/>
          <w:numId w:val="5"/>
        </w:numPr>
        <w:pBdr>
          <w:top w:val="nil"/>
          <w:left w:val="nil"/>
          <w:bottom w:val="nil"/>
          <w:right w:val="nil"/>
          <w:between w:val="nil"/>
        </w:pBdr>
        <w:spacing w:after="0"/>
      </w:pPr>
      <w:bookmarkStart w:id="25" w:name="_Hlk73299964"/>
      <w:r w:rsidRPr="00DB0DFE">
        <w:rPr>
          <w:color w:val="000000"/>
        </w:rPr>
        <w:t>L’AA</w:t>
      </w:r>
      <w:bookmarkEnd w:id="25"/>
      <w:r w:rsidR="002D5D12" w:rsidRPr="002D5D12">
        <w:t xml:space="preserve"> </w:t>
      </w:r>
      <w:r w:rsidR="002D5D12" w:rsidRPr="002D5D12">
        <w:rPr>
          <w:color w:val="000000"/>
        </w:rPr>
        <w:t>identificata l’utente, ovvero</w:t>
      </w:r>
      <w:r w:rsidR="002D5D12">
        <w:rPr>
          <w:color w:val="000000"/>
        </w:rPr>
        <w:t xml:space="preserve"> </w:t>
      </w:r>
      <w:r w:rsidR="002D5D12" w:rsidRPr="002D5D12">
        <w:rPr>
          <w:color w:val="000000"/>
        </w:rPr>
        <w:t>richiede</w:t>
      </w:r>
      <w:r w:rsidR="000D7FAD" w:rsidRPr="00DB0DFE">
        <w:rPr>
          <w:color w:val="000000"/>
        </w:rPr>
        <w:t xml:space="preserve"> </w:t>
      </w:r>
      <w:r w:rsidR="002D5D12" w:rsidRPr="002D5D12">
        <w:rPr>
          <w:color w:val="000000"/>
        </w:rPr>
        <w:t>all’utente  la prova di avvenuta autenticazione dell’utente presso</w:t>
      </w:r>
      <w:r w:rsidR="002D5D12" w:rsidRPr="002D5D12">
        <w:rPr>
          <w:color w:val="000000"/>
        </w:rPr>
        <w:t xml:space="preserve"> </w:t>
      </w:r>
      <w:r w:rsidR="00ED4E02">
        <w:rPr>
          <w:color w:val="000000"/>
        </w:rPr>
        <w:t>l’IDP.</w:t>
      </w:r>
    </w:p>
    <w:p w14:paraId="7BA2B4E0" w14:textId="13A19861" w:rsidR="00DB0DFE" w:rsidRPr="00DB0DFE" w:rsidRDefault="00ED4E02" w:rsidP="00ED4E02">
      <w:pPr>
        <w:numPr>
          <w:ilvl w:val="0"/>
          <w:numId w:val="5"/>
        </w:numPr>
        <w:pBdr>
          <w:top w:val="nil"/>
          <w:left w:val="nil"/>
          <w:bottom w:val="nil"/>
          <w:right w:val="nil"/>
          <w:between w:val="nil"/>
        </w:pBdr>
        <w:spacing w:after="0"/>
      </w:pPr>
      <w:r w:rsidRPr="00ED4E02">
        <w:rPr>
          <w:color w:val="000000"/>
        </w:rPr>
        <w:t>L’AA</w:t>
      </w:r>
      <w:r w:rsidRPr="00ED4E02">
        <w:rPr>
          <w:color w:val="000000"/>
        </w:rPr>
        <w:t xml:space="preserve"> </w:t>
      </w:r>
      <w:r w:rsidR="000D7FAD" w:rsidRPr="00DB0DFE">
        <w:rPr>
          <w:color w:val="000000"/>
        </w:rPr>
        <w:t xml:space="preserve">ottiene </w:t>
      </w:r>
      <w:r w:rsidR="00DB0DFE" w:rsidRPr="00DB0DFE">
        <w:rPr>
          <w:color w:val="000000"/>
        </w:rPr>
        <w:t>prova di avvenuta autenticazione e avvenuto consenso al rilascio dei dati presso il SP.</w:t>
      </w:r>
      <w:r w:rsidR="00384D03" w:rsidRPr="00DB0DFE">
        <w:rPr>
          <w:color w:val="000000"/>
        </w:rPr>
        <w:t xml:space="preserve"> </w:t>
      </w:r>
    </w:p>
    <w:p w14:paraId="6823856C" w14:textId="2AF10154" w:rsidR="00DB0DFE" w:rsidRPr="00DB0DFE" w:rsidRDefault="00384D03" w:rsidP="00ED4E02">
      <w:pPr>
        <w:numPr>
          <w:ilvl w:val="0"/>
          <w:numId w:val="5"/>
        </w:numPr>
        <w:pBdr>
          <w:top w:val="nil"/>
          <w:left w:val="nil"/>
          <w:bottom w:val="nil"/>
          <w:right w:val="nil"/>
          <w:between w:val="nil"/>
        </w:pBdr>
        <w:spacing w:after="0"/>
      </w:pPr>
      <w:r w:rsidRPr="00DB0DFE">
        <w:rPr>
          <w:color w:val="000000"/>
        </w:rPr>
        <w:t xml:space="preserve">L’AA </w:t>
      </w:r>
      <w:r w:rsidR="00DB0DFE" w:rsidRPr="00DB0DFE">
        <w:rPr>
          <w:color w:val="000000"/>
        </w:rPr>
        <w:t>fornisce gli attributi qualificati dell’utente al SP.</w:t>
      </w:r>
    </w:p>
    <w:p w14:paraId="7ACCB1ED" w14:textId="77777777" w:rsidR="00DB0DFE" w:rsidRPr="00DB0DFE" w:rsidRDefault="00DB0DFE" w:rsidP="00DB0DFE">
      <w:pPr>
        <w:pBdr>
          <w:top w:val="nil"/>
          <w:left w:val="nil"/>
          <w:bottom w:val="nil"/>
          <w:right w:val="nil"/>
          <w:between w:val="nil"/>
        </w:pBdr>
        <w:spacing w:after="0"/>
        <w:ind w:left="927" w:firstLine="0"/>
      </w:pPr>
    </w:p>
    <w:p w14:paraId="15A8D3F9" w14:textId="4078F6D9" w:rsidR="00AD4481" w:rsidRDefault="00384D03" w:rsidP="00736F11">
      <w:pPr>
        <w:pBdr>
          <w:top w:val="nil"/>
          <w:left w:val="nil"/>
          <w:bottom w:val="nil"/>
          <w:right w:val="nil"/>
          <w:between w:val="nil"/>
        </w:pBdr>
        <w:ind w:firstLine="0"/>
        <w:jc w:val="both"/>
      </w:pPr>
      <w:r>
        <w:lastRenderedPageBreak/>
        <w:t>Nel processo di autenticazione dell’utente, l’AA può richiedere all’ IDP l’indirizzo di posta elettronica dell’utente, al fine di inviargli le seguenti comunicazioni via email:</w:t>
      </w:r>
    </w:p>
    <w:p w14:paraId="08D8C084" w14:textId="77777777" w:rsidR="00AD4481" w:rsidRDefault="00384D03" w:rsidP="00736F11">
      <w:pPr>
        <w:numPr>
          <w:ilvl w:val="0"/>
          <w:numId w:val="2"/>
        </w:numPr>
        <w:pBdr>
          <w:top w:val="nil"/>
          <w:left w:val="nil"/>
          <w:bottom w:val="nil"/>
          <w:right w:val="nil"/>
          <w:between w:val="nil"/>
        </w:pBdr>
        <w:spacing w:after="0"/>
        <w:ind w:left="993"/>
        <w:jc w:val="both"/>
      </w:pPr>
      <w:r>
        <w:rPr>
          <w:color w:val="000000"/>
        </w:rPr>
        <w:t>nel caso in cui l’ AA abbia acquisito il consenso di lunga durata, dove è disponibile il servizio in rete accessibile tramite SPID per gestire (rinnovo o revoca) i consensi di lunga durata;</w:t>
      </w:r>
    </w:p>
    <w:p w14:paraId="7E5E3F3F" w14:textId="77777777" w:rsidR="00AD4481" w:rsidRDefault="00384D03" w:rsidP="00736F11">
      <w:pPr>
        <w:numPr>
          <w:ilvl w:val="0"/>
          <w:numId w:val="2"/>
        </w:numPr>
        <w:pBdr>
          <w:top w:val="nil"/>
          <w:left w:val="nil"/>
          <w:bottom w:val="nil"/>
          <w:right w:val="nil"/>
          <w:between w:val="nil"/>
        </w:pBdr>
        <w:ind w:left="993"/>
        <w:jc w:val="both"/>
      </w:pPr>
      <w:r>
        <w:rPr>
          <w:color w:val="000000"/>
        </w:rPr>
        <w:t>all’ approssimarsi della scadenza del consenso di lunga durata, informativa all’ utente dell’ imminente scadenza indicando il servizio in rete accessibile tramite SPID per poter eventualmente rinnovare il consenso secondo le modalità esposte al  §5.3.2.</w:t>
      </w:r>
    </w:p>
    <w:p w14:paraId="00AD560B" w14:textId="77777777" w:rsidR="00AD4481" w:rsidRDefault="00AD4481">
      <w:pPr>
        <w:ind w:firstLine="0"/>
      </w:pPr>
    </w:p>
    <w:p w14:paraId="14CA84BE" w14:textId="77777777" w:rsidR="00AD4481" w:rsidRDefault="00384D03">
      <w:pPr>
        <w:pStyle w:val="Titolo2"/>
        <w:numPr>
          <w:ilvl w:val="1"/>
          <w:numId w:val="8"/>
        </w:numPr>
      </w:pPr>
      <w:bookmarkStart w:id="26" w:name="_Toc73213600"/>
      <w:r>
        <w:t>Infrastruttura a chiave pubblica (pki) e trust model</w:t>
      </w:r>
      <w:bookmarkEnd w:id="26"/>
    </w:p>
    <w:p w14:paraId="38532EF6" w14:textId="77777777" w:rsidR="00AD4481" w:rsidRDefault="00384D03">
      <w:pPr>
        <w:ind w:firstLine="576"/>
      </w:pPr>
      <w:r>
        <w:t>È istituita presso AgID un’infrastruttura a chiave pubblica (PKI) gerarchica, mediante una CA radice (root CA). Tramite detto sistema di fiducia AA e SP possono verificare la firma dei messaggi scambiati con la controparte.</w:t>
      </w:r>
    </w:p>
    <w:p w14:paraId="6A3D72B6" w14:textId="77777777" w:rsidR="00AD4481" w:rsidRDefault="00AD4481">
      <w:pPr>
        <w:ind w:firstLine="576"/>
      </w:pPr>
    </w:p>
    <w:p w14:paraId="5266A275" w14:textId="77777777" w:rsidR="00AD4481" w:rsidRDefault="00384D03">
      <w:pPr>
        <w:pStyle w:val="Titolo2"/>
        <w:numPr>
          <w:ilvl w:val="1"/>
          <w:numId w:val="8"/>
        </w:numPr>
      </w:pPr>
      <w:bookmarkStart w:id="27" w:name="_Toc73213601"/>
      <w:r>
        <w:t>Servizio di consultazione per l’utente</w:t>
      </w:r>
      <w:bookmarkEnd w:id="27"/>
    </w:p>
    <w:p w14:paraId="46734363" w14:textId="449A3BAE" w:rsidR="00AD4481" w:rsidRDefault="00384D03" w:rsidP="00736F11">
      <w:pPr>
        <w:ind w:firstLine="576"/>
        <w:jc w:val="both"/>
      </w:pPr>
      <w:r>
        <w:t>Nel caso in cui sia previsto per norma e nel caso in cui siano consentite richieste di attributi continuative per mezzo di consenso di lunga durata, l’</w:t>
      </w:r>
      <w:r w:rsidR="00736F11">
        <w:t>utente</w:t>
      </w:r>
      <w:r>
        <w:t xml:space="preserve"> DEVE </w:t>
      </w:r>
      <w:r w:rsidR="00736F11">
        <w:t>dis</w:t>
      </w:r>
      <w:r>
        <w:t xml:space="preserve">porre </w:t>
      </w:r>
      <w:r w:rsidR="00736F11">
        <w:t xml:space="preserve">di </w:t>
      </w:r>
      <w:r>
        <w:t>un servizio di consultazione tramite il quale</w:t>
      </w:r>
      <w:r w:rsidR="00736F11">
        <w:t>,</w:t>
      </w:r>
      <w:r>
        <w:t xml:space="preserve"> accedendovi tramite gli strumenti previsti dall’articolo 64 del CAD, può prendere visione delle trasmissioni dei propri dati personali (inclusi gli attributi qualificati) inviati a soggetti terzi ed esercitare i propri diritti legati al loro trattamento. </w:t>
      </w:r>
    </w:p>
    <w:p w14:paraId="4EED017C" w14:textId="7C986C74" w:rsidR="00AD4481" w:rsidRDefault="00384D03" w:rsidP="00736F11">
      <w:pPr>
        <w:ind w:firstLine="576"/>
        <w:jc w:val="both"/>
      </w:pPr>
      <w:r>
        <w:t>Nel caso in cui, invece, il servizio di consultazione non sia previsto per norma e l’AA non consent</w:t>
      </w:r>
      <w:r w:rsidR="00736F11">
        <w:t>a</w:t>
      </w:r>
      <w:r>
        <w:t xml:space="preserve"> richieste di attributi continuative, l’implementazione del servizio di consultazione per l’utente è facoltativa.</w:t>
      </w:r>
    </w:p>
    <w:p w14:paraId="755EC7B0" w14:textId="77777777" w:rsidR="00AD4481" w:rsidRDefault="00384D03" w:rsidP="00736F11">
      <w:pPr>
        <w:ind w:firstLine="576"/>
        <w:jc w:val="both"/>
      </w:pPr>
      <w:r>
        <w:t>Con particolare riferimento ai consensi di lunga durata, se previsti dalla AA, accordati all’AA a seguito di richieste di attributi continuative, l’utente può usare servizi di consultazione  per:</w:t>
      </w:r>
    </w:p>
    <w:p w14:paraId="501F9C61" w14:textId="77777777" w:rsidR="00AD4481" w:rsidRDefault="00384D03" w:rsidP="00736F11">
      <w:pPr>
        <w:numPr>
          <w:ilvl w:val="0"/>
          <w:numId w:val="7"/>
        </w:numPr>
        <w:pBdr>
          <w:top w:val="nil"/>
          <w:left w:val="nil"/>
          <w:bottom w:val="nil"/>
          <w:right w:val="nil"/>
          <w:between w:val="nil"/>
        </w:pBdr>
        <w:ind w:left="851" w:hanging="284"/>
        <w:jc w:val="both"/>
      </w:pPr>
      <w:r>
        <w:rPr>
          <w:color w:val="000000"/>
        </w:rPr>
        <w:t>verificare verso quali SP sono stati accordati tali consensi;</w:t>
      </w:r>
    </w:p>
    <w:p w14:paraId="67BF0F60" w14:textId="77777777" w:rsidR="00AD4481" w:rsidRDefault="00384D03" w:rsidP="00736F11">
      <w:pPr>
        <w:ind w:firstLine="576"/>
        <w:jc w:val="both"/>
      </w:pPr>
      <w:r>
        <w:t>per ciascuno dei consensi di cui al punto precedente:</w:t>
      </w:r>
    </w:p>
    <w:p w14:paraId="27BDC36C" w14:textId="77777777" w:rsidR="00AD4481" w:rsidRDefault="00384D03" w:rsidP="00736F11">
      <w:pPr>
        <w:numPr>
          <w:ilvl w:val="0"/>
          <w:numId w:val="7"/>
        </w:numPr>
        <w:pBdr>
          <w:top w:val="nil"/>
          <w:left w:val="nil"/>
          <w:bottom w:val="nil"/>
          <w:right w:val="nil"/>
          <w:between w:val="nil"/>
        </w:pBdr>
        <w:spacing w:after="0"/>
        <w:ind w:left="851" w:hanging="284"/>
        <w:jc w:val="both"/>
      </w:pPr>
      <w:r>
        <w:rPr>
          <w:color w:val="000000"/>
        </w:rPr>
        <w:lastRenderedPageBreak/>
        <w:t>verificare la data, l’ ora e l’ attestazione di attributi inviata per ciascuna delle richieste asincrone avvenuta entro il periodo concordato per effetto del consenso;</w:t>
      </w:r>
    </w:p>
    <w:p w14:paraId="35FECF24" w14:textId="77777777" w:rsidR="00AD4481" w:rsidRDefault="00384D03" w:rsidP="00736F11">
      <w:pPr>
        <w:numPr>
          <w:ilvl w:val="0"/>
          <w:numId w:val="7"/>
        </w:numPr>
        <w:pBdr>
          <w:top w:val="nil"/>
          <w:left w:val="nil"/>
          <w:bottom w:val="nil"/>
          <w:right w:val="nil"/>
          <w:between w:val="nil"/>
        </w:pBdr>
        <w:spacing w:after="0"/>
        <w:ind w:left="851" w:hanging="284"/>
        <w:jc w:val="both"/>
      </w:pPr>
      <w:r>
        <w:rPr>
          <w:color w:val="000000"/>
        </w:rPr>
        <w:t>accorciare la durata del consenso di lunga durata;</w:t>
      </w:r>
    </w:p>
    <w:p w14:paraId="0B5D67CE" w14:textId="77777777" w:rsidR="00AD4481" w:rsidRDefault="00384D03" w:rsidP="00736F11">
      <w:pPr>
        <w:numPr>
          <w:ilvl w:val="0"/>
          <w:numId w:val="7"/>
        </w:numPr>
        <w:pBdr>
          <w:top w:val="nil"/>
          <w:left w:val="nil"/>
          <w:bottom w:val="nil"/>
          <w:right w:val="nil"/>
          <w:between w:val="nil"/>
        </w:pBdr>
        <w:ind w:left="851" w:hanging="284"/>
        <w:jc w:val="both"/>
      </w:pPr>
      <w:r>
        <w:rPr>
          <w:color w:val="000000"/>
        </w:rPr>
        <w:t>revocare il consenso di lunga durata;</w:t>
      </w:r>
    </w:p>
    <w:p w14:paraId="19640781" w14:textId="2FD097CA" w:rsidR="00AD4481" w:rsidRDefault="00384D03" w:rsidP="00736F11">
      <w:pPr>
        <w:ind w:firstLine="567"/>
        <w:jc w:val="both"/>
      </w:pPr>
      <w:r>
        <w:t xml:space="preserve">Il servizio di consultazione </w:t>
      </w:r>
      <w:r w:rsidRPr="007454C6">
        <w:t>d</w:t>
      </w:r>
      <w:r>
        <w:t>eve essere implementato come API</w:t>
      </w:r>
      <w:r w:rsidR="00736F11">
        <w:t xml:space="preserve"> </w:t>
      </w:r>
      <w:r>
        <w:t xml:space="preserve"> </w:t>
      </w:r>
      <w:r w:rsidR="00736F11" w:rsidRPr="00736F11">
        <w:t xml:space="preserve">OAS3 ed </w:t>
      </w:r>
      <w:r>
        <w:t xml:space="preserve"> essere esposto all’utente tramite </w:t>
      </w:r>
      <w:r w:rsidR="00736F11">
        <w:t xml:space="preserve">applicazione </w:t>
      </w:r>
      <w:r>
        <w:t>web mobile</w:t>
      </w:r>
      <w:r w:rsidR="00736F11">
        <w:t>.</w:t>
      </w:r>
    </w:p>
    <w:p w14:paraId="2D80A626" w14:textId="77777777" w:rsidR="00AD4481" w:rsidRDefault="00AD4481">
      <w:pPr>
        <w:ind w:firstLine="567"/>
      </w:pPr>
    </w:p>
    <w:p w14:paraId="3B72C1D1" w14:textId="77777777" w:rsidR="00AD4481" w:rsidRDefault="00384D03">
      <w:pPr>
        <w:pStyle w:val="Titolo2"/>
        <w:numPr>
          <w:ilvl w:val="1"/>
          <w:numId w:val="8"/>
        </w:numPr>
      </w:pPr>
      <w:bookmarkStart w:id="28" w:name="_Toc73213602"/>
      <w:r>
        <w:t>Registro delle Attribute Authority</w:t>
      </w:r>
      <w:bookmarkEnd w:id="28"/>
    </w:p>
    <w:p w14:paraId="3C8249BD" w14:textId="77777777" w:rsidR="00AD4481" w:rsidRDefault="00384D03" w:rsidP="00736F11">
      <w:pPr>
        <w:ind w:firstLine="567"/>
        <w:jc w:val="both"/>
      </w:pPr>
      <w:r>
        <w:t>L’articolo 16, comma 2, decreto del Presidente del Consiglio dei ministri 24 ottobre 2014 prevede che “L'Agenzia inserisce in un apposito registro, accessibile da parte dei fornitori di servizi, le tipologie di dati resi disponibili da ciascun gestore di attributi qualificati”.</w:t>
      </w:r>
    </w:p>
    <w:p w14:paraId="6D53B731" w14:textId="77777777" w:rsidR="00AD4481" w:rsidRPr="007454C6" w:rsidRDefault="00384D03" w:rsidP="00736F11">
      <w:pPr>
        <w:ind w:firstLine="567"/>
        <w:jc w:val="both"/>
      </w:pPr>
      <w:r w:rsidRPr="007454C6">
        <w:t xml:space="preserve">Presso il registro SPID è pubblicato un registro delle AA. </w:t>
      </w:r>
    </w:p>
    <w:p w14:paraId="3FA7C358" w14:textId="77777777" w:rsidR="00AD4481" w:rsidRPr="007454C6" w:rsidRDefault="00384D03" w:rsidP="00736F11">
      <w:pPr>
        <w:ind w:firstLine="567"/>
        <w:jc w:val="both"/>
      </w:pPr>
      <w:r w:rsidRPr="007454C6">
        <w:t xml:space="preserve">Per le AA basate su OAS3, nel registro SPID è reso disponibile il relativo documento OpenAPI. </w:t>
      </w:r>
    </w:p>
    <w:p w14:paraId="21FDDA37" w14:textId="77777777" w:rsidR="00AD4481" w:rsidRDefault="00384D03" w:rsidP="00736F11">
      <w:pPr>
        <w:ind w:firstLine="567"/>
        <w:jc w:val="both"/>
      </w:pPr>
      <w:r w:rsidRPr="007454C6">
        <w:t>Per la AA che gestisce le deleghe, amministrazioni di sostegno e tutele è reso disponibile un apposito metadata la cui struttura è pubblicata da AgID con apposito Avviso.</w:t>
      </w:r>
    </w:p>
    <w:sectPr w:rsidR="00AD4481" w:rsidSect="00AA745D">
      <w:headerReference w:type="default" r:id="rId11"/>
      <w:footerReference w:type="even" r:id="rId12"/>
      <w:footerReference w:type="default" r:id="rId13"/>
      <w:pgSz w:w="11906" w:h="16838"/>
      <w:pgMar w:top="1440" w:right="1440" w:bottom="1701"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07967" w14:textId="77777777" w:rsidR="007435AB" w:rsidRDefault="007435AB">
      <w:pPr>
        <w:spacing w:after="0" w:line="240" w:lineRule="auto"/>
      </w:pPr>
      <w:r>
        <w:separator/>
      </w:r>
    </w:p>
  </w:endnote>
  <w:endnote w:type="continuationSeparator" w:id="0">
    <w:p w14:paraId="27729A07" w14:textId="77777777" w:rsidR="007435AB" w:rsidRDefault="0074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TKaiti">
    <w:altName w:val="Malgun Gothic Semilight"/>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tillium">
    <w:altName w:val="Calibri"/>
    <w:charset w:val="00"/>
    <w:family w:val="auto"/>
    <w:pitch w:val="default"/>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A2FA" w14:textId="77777777" w:rsidR="00AD4481" w:rsidRDefault="00AD4481">
    <w:pPr>
      <w:widowControl w:val="0"/>
      <w:pBdr>
        <w:top w:val="nil"/>
        <w:left w:val="nil"/>
        <w:bottom w:val="nil"/>
        <w:right w:val="nil"/>
        <w:between w:val="nil"/>
      </w:pBdr>
      <w:spacing w:after="0" w:line="276" w:lineRule="auto"/>
      <w:ind w:firstLine="0"/>
      <w:rPr>
        <w:rFonts w:ascii="Calibri" w:eastAsia="Calibri" w:hAnsi="Calibri" w:cs="Calibri"/>
        <w:b/>
        <w:color w:val="000000"/>
      </w:rPr>
    </w:pPr>
  </w:p>
  <w:tbl>
    <w:tblPr>
      <w:tblStyle w:val="a2"/>
      <w:tblW w:w="9016" w:type="dxa"/>
      <w:tblInd w:w="0" w:type="dxa"/>
      <w:tblBorders>
        <w:top w:val="single" w:sz="4" w:space="0" w:color="000000"/>
        <w:left w:val="nil"/>
        <w:bottom w:val="nil"/>
        <w:right w:val="nil"/>
        <w:insideH w:val="nil"/>
        <w:insideV w:val="nil"/>
      </w:tblBorders>
      <w:tblLayout w:type="fixed"/>
      <w:tblLook w:val="04A0" w:firstRow="1" w:lastRow="0" w:firstColumn="1" w:lastColumn="0" w:noHBand="0" w:noVBand="1"/>
    </w:tblPr>
    <w:tblGrid>
      <w:gridCol w:w="4508"/>
      <w:gridCol w:w="4508"/>
    </w:tblGrid>
    <w:tr w:rsidR="00AD4481" w14:paraId="27AEB5E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5C0A37" w14:textId="77777777" w:rsidR="00AD4481" w:rsidRDefault="00384D03">
          <w:pPr>
            <w:pBdr>
              <w:top w:val="nil"/>
              <w:left w:val="nil"/>
              <w:bottom w:val="nil"/>
              <w:right w:val="nil"/>
              <w:between w:val="nil"/>
            </w:pBdr>
            <w:ind w:firstLine="0"/>
            <w:rPr>
              <w:rFonts w:ascii="Calibri" w:eastAsia="Calibri" w:hAnsi="Calibri" w:cs="Calibri"/>
              <w:b w:val="0"/>
              <w:color w:val="000000"/>
            </w:rPr>
          </w:pPr>
          <w:r>
            <w:rPr>
              <w:rFonts w:ascii="Calibri" w:eastAsia="Calibri" w:hAnsi="Calibri" w:cs="Calibri"/>
              <w:color w:val="000000"/>
            </w:rPr>
            <w:br/>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AA745D">
            <w:rPr>
              <w:rFonts w:ascii="Calibri" w:eastAsia="Calibri" w:hAnsi="Calibri" w:cs="Calibri"/>
              <w:color w:val="000000"/>
            </w:rPr>
            <w:t>20</w:t>
          </w:r>
          <w:r>
            <w:rPr>
              <w:rFonts w:ascii="Calibri" w:eastAsia="Calibri" w:hAnsi="Calibri" w:cs="Calibri"/>
              <w:color w:val="000000"/>
            </w:rPr>
            <w:fldChar w:fldCharType="end"/>
          </w:r>
        </w:p>
      </w:tc>
      <w:tc>
        <w:tcPr>
          <w:tcW w:w="4508" w:type="dxa"/>
        </w:tcPr>
        <w:p w14:paraId="3000BF11" w14:textId="77777777" w:rsidR="00AD4481" w:rsidRDefault="00384D03">
          <w:pPr>
            <w:pBdr>
              <w:top w:val="nil"/>
              <w:left w:val="nil"/>
              <w:bottom w:val="nil"/>
              <w:right w:val="nil"/>
              <w:between w:val="nil"/>
            </w:pBdr>
            <w:ind w:firstLine="0"/>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000000"/>
            </w:rPr>
          </w:pPr>
          <w:r>
            <w:rPr>
              <w:rFonts w:ascii="Calibri" w:eastAsia="Calibri" w:hAnsi="Calibri" w:cs="Calibri"/>
              <w:color w:val="000000"/>
            </w:rPr>
            <w:br/>
            <w:t>Specifiche di funzionamento</w:t>
          </w:r>
        </w:p>
      </w:tc>
    </w:tr>
  </w:tbl>
  <w:p w14:paraId="7485711A" w14:textId="77777777" w:rsidR="00AD4481" w:rsidRDefault="00AD4481">
    <w:pPr>
      <w:pBdr>
        <w:top w:val="nil"/>
        <w:left w:val="nil"/>
        <w:bottom w:val="nil"/>
        <w:right w:val="nil"/>
        <w:between w:val="nil"/>
      </w:pBdr>
      <w:spacing w:after="0" w:line="240" w:lineRule="auto"/>
      <w:ind w:firstLine="0"/>
      <w:rPr>
        <w:rFonts w:ascii="Calibri" w:eastAsia="Calibri" w:hAnsi="Calibri" w:cs="Calibri"/>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6520" w14:textId="77777777" w:rsidR="00AD4481" w:rsidRDefault="00AD4481">
    <w:pPr>
      <w:widowControl w:val="0"/>
      <w:pBdr>
        <w:top w:val="nil"/>
        <w:left w:val="nil"/>
        <w:bottom w:val="nil"/>
        <w:right w:val="nil"/>
        <w:between w:val="nil"/>
      </w:pBdr>
      <w:spacing w:after="0" w:line="276" w:lineRule="auto"/>
      <w:ind w:firstLine="0"/>
      <w:rPr>
        <w:color w:val="000000"/>
      </w:rPr>
    </w:pPr>
  </w:p>
  <w:tbl>
    <w:tblPr>
      <w:tblStyle w:val="a1"/>
      <w:tblW w:w="9016" w:type="dxa"/>
      <w:tblInd w:w="0" w:type="dxa"/>
      <w:tblBorders>
        <w:top w:val="single" w:sz="4" w:space="0" w:color="000000"/>
        <w:left w:val="nil"/>
        <w:bottom w:val="nil"/>
        <w:right w:val="nil"/>
        <w:insideH w:val="nil"/>
        <w:insideV w:val="nil"/>
      </w:tblBorders>
      <w:tblLayout w:type="fixed"/>
      <w:tblLook w:val="04A0" w:firstRow="1" w:lastRow="0" w:firstColumn="1" w:lastColumn="0" w:noHBand="0" w:noVBand="1"/>
    </w:tblPr>
    <w:tblGrid>
      <w:gridCol w:w="4508"/>
      <w:gridCol w:w="4508"/>
    </w:tblGrid>
    <w:tr w:rsidR="00AD4481" w14:paraId="1B3922A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363F9C" w14:textId="77777777" w:rsidR="00AD4481" w:rsidRDefault="00384D03" w:rsidP="00AA745D">
          <w:pPr>
            <w:pBdr>
              <w:top w:val="nil"/>
              <w:left w:val="nil"/>
              <w:bottom w:val="nil"/>
              <w:right w:val="nil"/>
              <w:between w:val="nil"/>
            </w:pBdr>
            <w:ind w:firstLine="0"/>
            <w:rPr>
              <w:rFonts w:ascii="Calibri" w:eastAsia="Calibri" w:hAnsi="Calibri" w:cs="Calibri"/>
              <w:b w:val="0"/>
              <w:color w:val="000000"/>
            </w:rPr>
          </w:pPr>
          <w:r>
            <w:rPr>
              <w:rFonts w:ascii="Calibri" w:eastAsia="Calibri" w:hAnsi="Calibri" w:cs="Calibri"/>
              <w:color w:val="000000"/>
            </w:rPr>
            <w:br/>
          </w:r>
        </w:p>
      </w:tc>
      <w:tc>
        <w:tcPr>
          <w:tcW w:w="4508" w:type="dxa"/>
        </w:tcPr>
        <w:p w14:paraId="59332C58" w14:textId="77777777" w:rsidR="00AD4481" w:rsidRDefault="00384D03">
          <w:pPr>
            <w:pBdr>
              <w:top w:val="nil"/>
              <w:left w:val="nil"/>
              <w:bottom w:val="nil"/>
              <w:right w:val="nil"/>
              <w:between w:val="nil"/>
            </w:pBdr>
            <w:ind w:firstLine="0"/>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000000"/>
            </w:rPr>
          </w:pPr>
          <w:r>
            <w:rPr>
              <w:rFonts w:ascii="Calibri" w:eastAsia="Calibri" w:hAnsi="Calibri" w:cs="Calibri"/>
              <w:color w:val="000000"/>
            </w:rPr>
            <w:br/>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color w:val="000000"/>
            </w:rPr>
            <w:t>20</w:t>
          </w:r>
          <w:r>
            <w:rPr>
              <w:rFonts w:ascii="Calibri" w:eastAsia="Calibri" w:hAnsi="Calibri" w:cs="Calibri"/>
              <w:color w:val="000000"/>
            </w:rPr>
            <w:fldChar w:fldCharType="end"/>
          </w:r>
        </w:p>
      </w:tc>
    </w:tr>
  </w:tbl>
  <w:p w14:paraId="79F35614" w14:textId="77777777" w:rsidR="00AD4481" w:rsidRDefault="00AD4481">
    <w:pPr>
      <w:pBdr>
        <w:top w:val="nil"/>
        <w:left w:val="nil"/>
        <w:bottom w:val="nil"/>
        <w:right w:val="nil"/>
        <w:between w:val="nil"/>
      </w:pBdr>
      <w:spacing w:after="0" w:line="240" w:lineRule="auto"/>
      <w:ind w:firstLine="0"/>
      <w:rPr>
        <w:rFonts w:ascii="Calibri" w:eastAsia="Calibri" w:hAnsi="Calibri" w:cs="Calibri"/>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37F34" w14:textId="77777777" w:rsidR="007435AB" w:rsidRDefault="007435AB">
      <w:pPr>
        <w:spacing w:after="0" w:line="240" w:lineRule="auto"/>
      </w:pPr>
      <w:r>
        <w:separator/>
      </w:r>
    </w:p>
  </w:footnote>
  <w:footnote w:type="continuationSeparator" w:id="0">
    <w:p w14:paraId="16C0778F" w14:textId="77777777" w:rsidR="007435AB" w:rsidRDefault="007435AB">
      <w:pPr>
        <w:spacing w:after="0" w:line="240" w:lineRule="auto"/>
      </w:pPr>
      <w:r>
        <w:continuationSeparator/>
      </w:r>
    </w:p>
  </w:footnote>
  <w:footnote w:id="1">
    <w:p w14:paraId="4C81FA80" w14:textId="77777777" w:rsidR="00AD4481" w:rsidRDefault="00384D03">
      <w:pPr>
        <w:pBdr>
          <w:top w:val="nil"/>
          <w:left w:val="nil"/>
          <w:bottom w:val="nil"/>
          <w:right w:val="nil"/>
          <w:between w:val="nil"/>
        </w:pBdr>
        <w:spacing w:after="0" w:line="240" w:lineRule="auto"/>
        <w:rPr>
          <w:color w:val="00298B"/>
        </w:rPr>
      </w:pPr>
      <w:r>
        <w:rPr>
          <w:vertAlign w:val="superscript"/>
        </w:rPr>
        <w:footnoteRef/>
      </w:r>
      <w:r>
        <w:rPr>
          <w:color w:val="00298B"/>
        </w:rPr>
        <w:t xml:space="preserve"> previsti espressamente dal DPCM del 24 ottobre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DAF4" w14:textId="77777777" w:rsidR="00AD4481" w:rsidRDefault="00384D03">
    <w:pPr>
      <w:pStyle w:val="Sottotitolo"/>
      <w:pBdr>
        <w:bottom w:val="single" w:sz="4" w:space="1" w:color="000000"/>
      </w:pBdr>
      <w:tabs>
        <w:tab w:val="center" w:pos="4873"/>
      </w:tabs>
      <w:ind w:firstLine="0"/>
      <w:rPr>
        <w:b/>
        <w:sz w:val="20"/>
        <w:szCs w:val="20"/>
      </w:rPr>
    </w:pPr>
    <w:r>
      <w:rPr>
        <w:b/>
        <w:i w:val="0"/>
        <w:color w:val="595959"/>
        <w:sz w:val="20"/>
        <w:szCs w:val="20"/>
      </w:rPr>
      <w:t>Regole tecniche dei gestori di attributi qualificati ex art.1, comma 1, lettera m) del DPCM 24 ottobre 2014 (GU n.285 del 9­12­2014)</w:t>
    </w:r>
    <w:r>
      <w:rPr>
        <w:b/>
        <w:i w:val="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C64"/>
    <w:multiLevelType w:val="multilevel"/>
    <w:tmpl w:val="9A6CCF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786DDC"/>
    <w:multiLevelType w:val="multilevel"/>
    <w:tmpl w:val="9B802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80415F"/>
    <w:multiLevelType w:val="multilevel"/>
    <w:tmpl w:val="3A4615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6A4423"/>
    <w:multiLevelType w:val="multilevel"/>
    <w:tmpl w:val="6F0ECF6A"/>
    <w:lvl w:ilvl="0">
      <w:start w:val="1"/>
      <w:numFmt w:val="lowerLetter"/>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 w15:restartNumberingAfterBreak="0">
    <w:nsid w:val="44BA6515"/>
    <w:multiLevelType w:val="multilevel"/>
    <w:tmpl w:val="3BA0C974"/>
    <w:lvl w:ilvl="0">
      <w:start w:val="1"/>
      <w:numFmt w:val="decimal"/>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A4F7037"/>
    <w:multiLevelType w:val="multilevel"/>
    <w:tmpl w:val="85B01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0115DA"/>
    <w:multiLevelType w:val="multilevel"/>
    <w:tmpl w:val="0860AA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F638FF"/>
    <w:multiLevelType w:val="multilevel"/>
    <w:tmpl w:val="86EA5C24"/>
    <w:lvl w:ilvl="0">
      <w:start w:val="1"/>
      <w:numFmt w:val="decimal"/>
      <w:lvlText w:val="%1."/>
      <w:lvlJc w:val="left"/>
      <w:pPr>
        <w:tabs>
          <w:tab w:val="num" w:pos="720"/>
        </w:tabs>
        <w:ind w:left="720" w:hanging="720"/>
      </w:pPr>
    </w:lvl>
    <w:lvl w:ilvl="1">
      <w:start w:val="1"/>
      <w:numFmt w:val="decimal"/>
      <w:pStyle w:val="Titolo2"/>
      <w:lvlText w:val="%2."/>
      <w:lvlJc w:val="left"/>
      <w:pPr>
        <w:tabs>
          <w:tab w:val="num" w:pos="1440"/>
        </w:tabs>
        <w:ind w:left="1440" w:hanging="720"/>
      </w:pPr>
    </w:lvl>
    <w:lvl w:ilvl="2">
      <w:start w:val="1"/>
      <w:numFmt w:val="decimal"/>
      <w:pStyle w:val="Titolo3"/>
      <w:lvlText w:val="%3."/>
      <w:lvlJc w:val="left"/>
      <w:pPr>
        <w:tabs>
          <w:tab w:val="num" w:pos="2160"/>
        </w:tabs>
        <w:ind w:left="2160" w:hanging="720"/>
      </w:pPr>
    </w:lvl>
    <w:lvl w:ilvl="3">
      <w:start w:val="1"/>
      <w:numFmt w:val="decimal"/>
      <w:pStyle w:val="Titolo4"/>
      <w:lvlText w:val="%4."/>
      <w:lvlJc w:val="left"/>
      <w:pPr>
        <w:tabs>
          <w:tab w:val="num" w:pos="2880"/>
        </w:tabs>
        <w:ind w:left="2880" w:hanging="720"/>
      </w:pPr>
    </w:lvl>
    <w:lvl w:ilvl="4">
      <w:start w:val="1"/>
      <w:numFmt w:val="decimal"/>
      <w:pStyle w:val="Titolo5"/>
      <w:lvlText w:val="%5."/>
      <w:lvlJc w:val="left"/>
      <w:pPr>
        <w:tabs>
          <w:tab w:val="num" w:pos="3600"/>
        </w:tabs>
        <w:ind w:left="3600" w:hanging="720"/>
      </w:pPr>
    </w:lvl>
    <w:lvl w:ilvl="5">
      <w:start w:val="1"/>
      <w:numFmt w:val="decimal"/>
      <w:pStyle w:val="Titolo6"/>
      <w:lvlText w:val="%6."/>
      <w:lvlJc w:val="left"/>
      <w:pPr>
        <w:tabs>
          <w:tab w:val="num" w:pos="4320"/>
        </w:tabs>
        <w:ind w:left="4320" w:hanging="720"/>
      </w:pPr>
    </w:lvl>
    <w:lvl w:ilvl="6">
      <w:start w:val="1"/>
      <w:numFmt w:val="decimal"/>
      <w:pStyle w:val="Titolo7"/>
      <w:lvlText w:val="%7."/>
      <w:lvlJc w:val="left"/>
      <w:pPr>
        <w:tabs>
          <w:tab w:val="num" w:pos="5040"/>
        </w:tabs>
        <w:ind w:left="5040" w:hanging="720"/>
      </w:pPr>
    </w:lvl>
    <w:lvl w:ilvl="7">
      <w:start w:val="1"/>
      <w:numFmt w:val="decimal"/>
      <w:pStyle w:val="Titolo8"/>
      <w:lvlText w:val="%8."/>
      <w:lvlJc w:val="left"/>
      <w:pPr>
        <w:tabs>
          <w:tab w:val="num" w:pos="5760"/>
        </w:tabs>
        <w:ind w:left="5760" w:hanging="720"/>
      </w:pPr>
    </w:lvl>
    <w:lvl w:ilvl="8">
      <w:start w:val="1"/>
      <w:numFmt w:val="decimal"/>
      <w:pStyle w:val="Titolo9"/>
      <w:lvlText w:val="%9."/>
      <w:lvlJc w:val="left"/>
      <w:pPr>
        <w:tabs>
          <w:tab w:val="num" w:pos="6480"/>
        </w:tabs>
        <w:ind w:left="6480" w:hanging="720"/>
      </w:pPr>
    </w:lvl>
  </w:abstractNum>
  <w:abstractNum w:abstractNumId="8" w15:restartNumberingAfterBreak="0">
    <w:nsid w:val="5D431EF8"/>
    <w:multiLevelType w:val="multilevel"/>
    <w:tmpl w:val="AF003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3F03D5D"/>
    <w:multiLevelType w:val="multilevel"/>
    <w:tmpl w:val="D5F6E3B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64636BE2"/>
    <w:multiLevelType w:val="hybridMultilevel"/>
    <w:tmpl w:val="1FC2C17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674A4292"/>
    <w:multiLevelType w:val="multilevel"/>
    <w:tmpl w:val="1FD69C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2300" w:hanging="860"/>
      </w:pPr>
      <w:rPr>
        <w:rFonts w:ascii="STKaiti" w:eastAsia="STKaiti" w:hAnsi="STKaiti" w:cs="STKaiti"/>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6ACC4FDA"/>
    <w:multiLevelType w:val="multilevel"/>
    <w:tmpl w:val="61FEC6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B852230"/>
    <w:multiLevelType w:val="multilevel"/>
    <w:tmpl w:val="A77A813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6F5E3F6C"/>
    <w:multiLevelType w:val="hybridMultilevel"/>
    <w:tmpl w:val="A15822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E4B4663"/>
    <w:multiLevelType w:val="multilevel"/>
    <w:tmpl w:val="F9F23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CC79BD"/>
    <w:multiLevelType w:val="multilevel"/>
    <w:tmpl w:val="F02C653C"/>
    <w:lvl w:ilvl="0">
      <w:start w:val="1"/>
      <w:numFmt w:val="decimal"/>
      <w:pStyle w:val="Titolo1"/>
      <w:lvlText w:val="Capitolo %1"/>
      <w:lvlJc w:val="right"/>
      <w:pPr>
        <w:ind w:left="7874" w:hanging="360"/>
      </w:pPr>
      <w:rPr>
        <w:rFonts w:ascii="Arial" w:eastAsia="Arial" w:hAnsi="Arial" w:cs="Arial"/>
        <w:b/>
        <w:i w:val="0"/>
        <w:smallCaps w:val="0"/>
        <w:strike w:val="0"/>
        <w:color w:val="003399"/>
        <w:sz w:val="28"/>
        <w:szCs w:val="28"/>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5"/>
  </w:num>
  <w:num w:numId="2">
    <w:abstractNumId w:val="12"/>
  </w:num>
  <w:num w:numId="3">
    <w:abstractNumId w:val="5"/>
  </w:num>
  <w:num w:numId="4">
    <w:abstractNumId w:val="8"/>
  </w:num>
  <w:num w:numId="5">
    <w:abstractNumId w:val="4"/>
  </w:num>
  <w:num w:numId="6">
    <w:abstractNumId w:val="1"/>
  </w:num>
  <w:num w:numId="7">
    <w:abstractNumId w:val="6"/>
  </w:num>
  <w:num w:numId="8">
    <w:abstractNumId w:val="16"/>
  </w:num>
  <w:num w:numId="9">
    <w:abstractNumId w:val="9"/>
  </w:num>
  <w:num w:numId="10">
    <w:abstractNumId w:val="11"/>
  </w:num>
  <w:num w:numId="11">
    <w:abstractNumId w:val="2"/>
  </w:num>
  <w:num w:numId="12">
    <w:abstractNumId w:val="13"/>
  </w:num>
  <w:num w:numId="13">
    <w:abstractNumId w:val="0"/>
  </w:num>
  <w:num w:numId="14">
    <w:abstractNumId w:val="3"/>
  </w:num>
  <w:num w:numId="15">
    <w:abstractNumId w:val="7"/>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481"/>
    <w:rsid w:val="000D7FAD"/>
    <w:rsid w:val="00257F3C"/>
    <w:rsid w:val="002D5D12"/>
    <w:rsid w:val="00384D03"/>
    <w:rsid w:val="0044400F"/>
    <w:rsid w:val="00643C66"/>
    <w:rsid w:val="00644A84"/>
    <w:rsid w:val="00736F11"/>
    <w:rsid w:val="007435AB"/>
    <w:rsid w:val="007454C6"/>
    <w:rsid w:val="00AA745D"/>
    <w:rsid w:val="00AD4481"/>
    <w:rsid w:val="00AF0550"/>
    <w:rsid w:val="00DB0DFE"/>
    <w:rsid w:val="00ED4E02"/>
    <w:rsid w:val="00F95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D4685"/>
  <w15:docId w15:val="{E5B3962A-518A-49DD-99B8-2731B08F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it-IT" w:eastAsia="en-GB"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5089"/>
    <w:rPr>
      <w:noProof/>
    </w:rPr>
  </w:style>
  <w:style w:type="paragraph" w:styleId="Titolo1">
    <w:name w:val="heading 1"/>
    <w:basedOn w:val="Normale"/>
    <w:next w:val="Normale"/>
    <w:link w:val="Titolo1Carattere"/>
    <w:autoRedefine/>
    <w:uiPriority w:val="9"/>
    <w:qFormat/>
    <w:rsid w:val="00AA745D"/>
    <w:pPr>
      <w:keepNext/>
      <w:keepLines/>
      <w:pageBreakBefore/>
      <w:numPr>
        <w:numId w:val="8"/>
      </w:numPr>
      <w:pBdr>
        <w:bottom w:val="single" w:sz="4" w:space="1" w:color="auto"/>
      </w:pBdr>
      <w:spacing w:before="240" w:after="1080"/>
      <w:ind w:left="360"/>
      <w:mirrorIndents/>
      <w:jc w:val="right"/>
      <w:outlineLvl w:val="0"/>
    </w:pPr>
    <w:rPr>
      <w:rFonts w:ascii="Arial" w:eastAsiaTheme="majorEastAsia" w:hAnsi="Arial" w:cstheme="majorBidi"/>
      <w:bCs/>
      <w:sz w:val="40"/>
      <w:szCs w:val="40"/>
    </w:rPr>
  </w:style>
  <w:style w:type="paragraph" w:styleId="Titolo2">
    <w:name w:val="heading 2"/>
    <w:basedOn w:val="Normale"/>
    <w:next w:val="Normale"/>
    <w:link w:val="Titolo2Carattere"/>
    <w:autoRedefine/>
    <w:uiPriority w:val="9"/>
    <w:qFormat/>
    <w:rsid w:val="000C5CEA"/>
    <w:pPr>
      <w:keepNext/>
      <w:keepLines/>
      <w:numPr>
        <w:ilvl w:val="1"/>
        <w:numId w:val="15"/>
      </w:numPr>
      <w:spacing w:before="40" w:after="0"/>
      <w:outlineLvl w:val="1"/>
    </w:pPr>
    <w:rPr>
      <w:rFonts w:ascii="Arial" w:eastAsiaTheme="majorEastAsia" w:hAnsi="Arial" w:cstheme="majorBidi"/>
      <w:bCs/>
      <w:color w:val="00298B"/>
      <w:sz w:val="32"/>
      <w:szCs w:val="32"/>
    </w:rPr>
  </w:style>
  <w:style w:type="paragraph" w:styleId="Titolo3">
    <w:name w:val="heading 3"/>
    <w:basedOn w:val="Normale"/>
    <w:next w:val="Normale"/>
    <w:link w:val="Titolo3Carattere"/>
    <w:autoRedefine/>
    <w:uiPriority w:val="9"/>
    <w:qFormat/>
    <w:rsid w:val="000C5CEA"/>
    <w:pPr>
      <w:keepNext/>
      <w:keepLines/>
      <w:numPr>
        <w:ilvl w:val="2"/>
        <w:numId w:val="15"/>
      </w:numPr>
      <w:spacing w:before="40" w:after="0"/>
      <w:outlineLvl w:val="2"/>
    </w:pPr>
    <w:rPr>
      <w:rFonts w:ascii="Arial" w:eastAsiaTheme="majorEastAsia" w:hAnsi="Arial" w:cstheme="majorBidi"/>
      <w:b/>
      <w:bCs/>
      <w:color w:val="00298B"/>
      <w:sz w:val="28"/>
    </w:rPr>
  </w:style>
  <w:style w:type="paragraph" w:styleId="Titolo4">
    <w:name w:val="heading 4"/>
    <w:basedOn w:val="Normale"/>
    <w:next w:val="Normale"/>
    <w:link w:val="Titolo4Carattere"/>
    <w:autoRedefine/>
    <w:uiPriority w:val="9"/>
    <w:qFormat/>
    <w:rsid w:val="000C5CEA"/>
    <w:pPr>
      <w:keepNext/>
      <w:keepLines/>
      <w:numPr>
        <w:ilvl w:val="3"/>
        <w:numId w:val="15"/>
      </w:numPr>
      <w:spacing w:before="40" w:after="0"/>
      <w:outlineLvl w:val="3"/>
    </w:pPr>
    <w:rPr>
      <w:rFonts w:ascii="Arial" w:eastAsiaTheme="majorEastAsia" w:hAnsi="Arial" w:cstheme="majorBidi"/>
      <w:b/>
      <w:bCs/>
      <w:iCs/>
      <w:color w:val="00298B"/>
    </w:rPr>
  </w:style>
  <w:style w:type="paragraph" w:styleId="Titolo5">
    <w:name w:val="heading 5"/>
    <w:basedOn w:val="Normale"/>
    <w:next w:val="Normale"/>
    <w:link w:val="Titolo5Carattere"/>
    <w:autoRedefine/>
    <w:uiPriority w:val="9"/>
    <w:semiHidden/>
    <w:unhideWhenUsed/>
    <w:qFormat/>
    <w:rsid w:val="000C5CEA"/>
    <w:pPr>
      <w:keepNext/>
      <w:keepLines/>
      <w:numPr>
        <w:ilvl w:val="4"/>
        <w:numId w:val="15"/>
      </w:numPr>
      <w:spacing w:before="40" w:after="0"/>
      <w:outlineLvl w:val="4"/>
    </w:pPr>
    <w:rPr>
      <w:rFonts w:asciiTheme="majorHAnsi" w:eastAsiaTheme="majorEastAsia" w:hAnsiTheme="majorHAnsi" w:cstheme="majorBidi"/>
      <w:color w:val="00298B"/>
    </w:rPr>
  </w:style>
  <w:style w:type="paragraph" w:styleId="Titolo6">
    <w:name w:val="heading 6"/>
    <w:basedOn w:val="Normale"/>
    <w:next w:val="Normale"/>
    <w:link w:val="Titolo6Carattere"/>
    <w:autoRedefine/>
    <w:uiPriority w:val="9"/>
    <w:semiHidden/>
    <w:unhideWhenUsed/>
    <w:qFormat/>
    <w:rsid w:val="00B66857"/>
    <w:pPr>
      <w:keepNext/>
      <w:keepLines/>
      <w:numPr>
        <w:ilvl w:val="5"/>
        <w:numId w:val="15"/>
      </w:numPr>
      <w:spacing w:before="40" w:after="0"/>
      <w:outlineLvl w:val="5"/>
    </w:pPr>
    <w:rPr>
      <w:rFonts w:asciiTheme="majorHAnsi" w:eastAsiaTheme="majorEastAsia" w:hAnsiTheme="majorHAnsi" w:cstheme="majorBidi"/>
      <w:szCs w:val="20"/>
    </w:rPr>
  </w:style>
  <w:style w:type="paragraph" w:styleId="Titolo7">
    <w:name w:val="heading 7"/>
    <w:basedOn w:val="Normale"/>
    <w:next w:val="Normale"/>
    <w:link w:val="Titolo7Carattere"/>
    <w:autoRedefine/>
    <w:uiPriority w:val="9"/>
    <w:semiHidden/>
    <w:unhideWhenUsed/>
    <w:qFormat/>
    <w:rsid w:val="00B66857"/>
    <w:pPr>
      <w:keepNext/>
      <w:keepLines/>
      <w:numPr>
        <w:ilvl w:val="6"/>
        <w:numId w:val="15"/>
      </w:numPr>
      <w:spacing w:before="40" w:after="0"/>
      <w:outlineLvl w:val="6"/>
    </w:pPr>
    <w:rPr>
      <w:rFonts w:asciiTheme="majorHAnsi" w:eastAsiaTheme="majorEastAsia" w:hAnsiTheme="majorHAnsi" w:cstheme="majorBidi"/>
      <w:i/>
      <w:iCs/>
      <w:szCs w:val="20"/>
    </w:rPr>
  </w:style>
  <w:style w:type="paragraph" w:styleId="Titolo8">
    <w:name w:val="heading 8"/>
    <w:basedOn w:val="Normale"/>
    <w:next w:val="Normale"/>
    <w:link w:val="Titolo8Carattere"/>
    <w:autoRedefine/>
    <w:uiPriority w:val="9"/>
    <w:semiHidden/>
    <w:unhideWhenUsed/>
    <w:qFormat/>
    <w:rsid w:val="00B66857"/>
    <w:pPr>
      <w:keepNext/>
      <w:keepLines/>
      <w:numPr>
        <w:ilvl w:val="7"/>
        <w:numId w:val="15"/>
      </w:numPr>
      <w:spacing w:before="40" w:after="0"/>
      <w:outlineLvl w:val="7"/>
    </w:pPr>
    <w:rPr>
      <w:rFonts w:asciiTheme="majorHAnsi" w:eastAsiaTheme="majorEastAsia" w:hAnsiTheme="majorHAnsi" w:cstheme="majorBidi"/>
      <w:caps/>
      <w:color w:val="272727" w:themeColor="text1" w:themeTint="D8"/>
      <w:szCs w:val="18"/>
    </w:rPr>
  </w:style>
  <w:style w:type="paragraph" w:styleId="Titolo9">
    <w:name w:val="heading 9"/>
    <w:basedOn w:val="Normale"/>
    <w:next w:val="Normale"/>
    <w:link w:val="Titolo9Carattere"/>
    <w:autoRedefine/>
    <w:uiPriority w:val="9"/>
    <w:semiHidden/>
    <w:unhideWhenUsed/>
    <w:qFormat/>
    <w:rsid w:val="00B66857"/>
    <w:pPr>
      <w:keepNext/>
      <w:keepLines/>
      <w:numPr>
        <w:ilvl w:val="8"/>
        <w:numId w:val="15"/>
      </w:numPr>
      <w:spacing w:before="40" w:after="0"/>
      <w:outlineLvl w:val="8"/>
    </w:pPr>
    <w:rPr>
      <w:rFonts w:asciiTheme="majorHAnsi" w:eastAsiaTheme="majorEastAsia" w:hAnsiTheme="majorHAnsi" w:cstheme="majorBidi"/>
      <w:i/>
      <w:iCs/>
      <w:caps/>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
    <w:qFormat/>
    <w:rsid w:val="008274A1"/>
    <w:pPr>
      <w:spacing w:after="0" w:line="240" w:lineRule="auto"/>
      <w:contextualSpacing/>
    </w:pPr>
    <w:rPr>
      <w:rFonts w:ascii="Arial" w:eastAsiaTheme="majorEastAsia" w:hAnsi="Arial" w:cstheme="majorBidi"/>
      <w:b/>
      <w:spacing w:val="-10"/>
      <w:kern w:val="28"/>
      <w:sz w:val="48"/>
      <w:szCs w:val="72"/>
    </w:rPr>
  </w:style>
  <w:style w:type="character" w:customStyle="1" w:styleId="Titolo1Carattere">
    <w:name w:val="Titolo 1 Carattere"/>
    <w:basedOn w:val="Carpredefinitoparagrafo"/>
    <w:link w:val="Titolo1"/>
    <w:uiPriority w:val="9"/>
    <w:rsid w:val="00AA745D"/>
    <w:rPr>
      <w:rFonts w:ascii="Arial" w:eastAsiaTheme="majorEastAsia" w:hAnsi="Arial" w:cstheme="majorBidi"/>
      <w:bCs/>
      <w:noProof/>
      <w:sz w:val="40"/>
      <w:szCs w:val="40"/>
    </w:rPr>
  </w:style>
  <w:style w:type="character" w:customStyle="1" w:styleId="Titolo2Carattere">
    <w:name w:val="Titolo 2 Carattere"/>
    <w:basedOn w:val="Carpredefinitoparagrafo"/>
    <w:link w:val="Titolo2"/>
    <w:uiPriority w:val="9"/>
    <w:rsid w:val="000C5CEA"/>
    <w:rPr>
      <w:rFonts w:ascii="Arial" w:eastAsiaTheme="majorEastAsia" w:hAnsi="Arial" w:cstheme="majorBidi"/>
      <w:bCs/>
      <w:color w:val="00298B"/>
      <w:sz w:val="32"/>
      <w:szCs w:val="32"/>
    </w:rPr>
  </w:style>
  <w:style w:type="character" w:customStyle="1" w:styleId="Titolo3Carattere">
    <w:name w:val="Titolo 3 Carattere"/>
    <w:basedOn w:val="Carpredefinitoparagrafo"/>
    <w:link w:val="Titolo3"/>
    <w:uiPriority w:val="9"/>
    <w:rsid w:val="000C5CEA"/>
    <w:rPr>
      <w:rFonts w:ascii="Arial" w:eastAsiaTheme="majorEastAsia" w:hAnsi="Arial" w:cstheme="majorBidi"/>
      <w:b/>
      <w:bCs/>
      <w:color w:val="00298B"/>
      <w:sz w:val="28"/>
      <w:szCs w:val="24"/>
    </w:rPr>
  </w:style>
  <w:style w:type="character" w:customStyle="1" w:styleId="Titolo4Carattere">
    <w:name w:val="Titolo 4 Carattere"/>
    <w:basedOn w:val="Carpredefinitoparagrafo"/>
    <w:link w:val="Titolo4"/>
    <w:uiPriority w:val="9"/>
    <w:rsid w:val="000C5CEA"/>
    <w:rPr>
      <w:rFonts w:ascii="Arial" w:eastAsiaTheme="majorEastAsia" w:hAnsi="Arial" w:cstheme="majorBidi"/>
      <w:b/>
      <w:bCs/>
      <w:iCs/>
      <w:color w:val="00298B"/>
      <w:sz w:val="24"/>
    </w:rPr>
  </w:style>
  <w:style w:type="character" w:customStyle="1" w:styleId="Titolo5Carattere">
    <w:name w:val="Titolo 5 Carattere"/>
    <w:basedOn w:val="Carpredefinitoparagrafo"/>
    <w:link w:val="Titolo5"/>
    <w:uiPriority w:val="9"/>
    <w:semiHidden/>
    <w:rsid w:val="000C5CEA"/>
    <w:rPr>
      <w:rFonts w:asciiTheme="majorHAnsi" w:eastAsiaTheme="majorEastAsia" w:hAnsiTheme="majorHAnsi" w:cstheme="majorBidi"/>
      <w:color w:val="00298B"/>
      <w:sz w:val="24"/>
    </w:rPr>
  </w:style>
  <w:style w:type="character" w:customStyle="1" w:styleId="Titolo6Carattere">
    <w:name w:val="Titolo 6 Carattere"/>
    <w:basedOn w:val="Carpredefinitoparagrafo"/>
    <w:link w:val="Titolo6"/>
    <w:uiPriority w:val="9"/>
    <w:semiHidden/>
    <w:rsid w:val="00B66857"/>
    <w:rPr>
      <w:rFonts w:asciiTheme="majorHAnsi" w:eastAsiaTheme="majorEastAsia" w:hAnsiTheme="majorHAnsi" w:cstheme="majorBidi"/>
      <w:szCs w:val="20"/>
    </w:rPr>
  </w:style>
  <w:style w:type="character" w:customStyle="1" w:styleId="Titolo7Carattere">
    <w:name w:val="Titolo 7 Carattere"/>
    <w:basedOn w:val="Carpredefinitoparagrafo"/>
    <w:link w:val="Titolo7"/>
    <w:uiPriority w:val="9"/>
    <w:semiHidden/>
    <w:rsid w:val="00B66857"/>
    <w:rPr>
      <w:rFonts w:asciiTheme="majorHAnsi" w:eastAsiaTheme="majorEastAsia" w:hAnsiTheme="majorHAnsi" w:cstheme="majorBidi"/>
      <w:i/>
      <w:iCs/>
      <w:szCs w:val="20"/>
    </w:rPr>
  </w:style>
  <w:style w:type="character" w:customStyle="1" w:styleId="Titolo8Carattere">
    <w:name w:val="Titolo 8 Carattere"/>
    <w:basedOn w:val="Carpredefinitoparagrafo"/>
    <w:link w:val="Titolo8"/>
    <w:uiPriority w:val="9"/>
    <w:semiHidden/>
    <w:rsid w:val="00B66857"/>
    <w:rPr>
      <w:rFonts w:asciiTheme="majorHAnsi" w:eastAsiaTheme="majorEastAsia" w:hAnsiTheme="majorHAnsi" w:cstheme="majorBidi"/>
      <w:caps/>
      <w:color w:val="272727" w:themeColor="text1" w:themeTint="D8"/>
      <w:szCs w:val="18"/>
    </w:rPr>
  </w:style>
  <w:style w:type="character" w:customStyle="1" w:styleId="Titolo9Carattere">
    <w:name w:val="Titolo 9 Carattere"/>
    <w:basedOn w:val="Carpredefinitoparagrafo"/>
    <w:link w:val="Titolo9"/>
    <w:uiPriority w:val="9"/>
    <w:semiHidden/>
    <w:rsid w:val="00B66857"/>
    <w:rPr>
      <w:rFonts w:asciiTheme="majorHAnsi" w:eastAsiaTheme="majorEastAsia" w:hAnsiTheme="majorHAnsi" w:cstheme="majorBidi"/>
      <w:i/>
      <w:iCs/>
      <w:caps/>
      <w:szCs w:val="18"/>
    </w:rPr>
  </w:style>
  <w:style w:type="character" w:customStyle="1" w:styleId="TitoloCarattere">
    <w:name w:val="Titolo Carattere"/>
    <w:basedOn w:val="Carpredefinitoparagrafo"/>
    <w:link w:val="Titolo"/>
    <w:uiPriority w:val="1"/>
    <w:rsid w:val="008274A1"/>
    <w:rPr>
      <w:rFonts w:ascii="Arial" w:eastAsiaTheme="majorEastAsia" w:hAnsi="Arial" w:cstheme="majorBidi"/>
      <w:b/>
      <w:spacing w:val="-10"/>
      <w:kern w:val="28"/>
      <w:sz w:val="48"/>
      <w:szCs w:val="72"/>
    </w:rPr>
  </w:style>
  <w:style w:type="paragraph" w:styleId="Sottotitolo">
    <w:name w:val="Subtitle"/>
    <w:basedOn w:val="Normale"/>
    <w:next w:val="Normale"/>
    <w:link w:val="SottotitoloCarattere"/>
    <w:rPr>
      <w:rFonts w:ascii="Arial" w:eastAsia="Arial" w:hAnsi="Arial" w:cs="Arial"/>
      <w:i/>
      <w:color w:val="808080"/>
      <w:sz w:val="28"/>
      <w:szCs w:val="28"/>
    </w:rPr>
  </w:style>
  <w:style w:type="character" w:customStyle="1" w:styleId="SottotitoloCarattere">
    <w:name w:val="Sottotitolo Carattere"/>
    <w:basedOn w:val="Carpredefinitoparagrafo"/>
    <w:link w:val="Sottotitolo"/>
    <w:uiPriority w:val="11"/>
    <w:rsid w:val="00BE4F95"/>
    <w:rPr>
      <w:rFonts w:ascii="Arial" w:hAnsi="Arial"/>
      <w:i/>
      <w:color w:val="808080" w:themeColor="background1" w:themeShade="80"/>
      <w:spacing w:val="15"/>
      <w:sz w:val="28"/>
    </w:rPr>
  </w:style>
  <w:style w:type="character" w:styleId="Enfasiintensa">
    <w:name w:val="Intense Emphasis"/>
    <w:basedOn w:val="Carpredefinitoparagrafo"/>
    <w:uiPriority w:val="21"/>
    <w:semiHidden/>
    <w:unhideWhenUsed/>
    <w:qFormat/>
    <w:rsid w:val="000A0F9B"/>
    <w:rPr>
      <w:i/>
      <w:iCs/>
      <w:color w:val="0D5672" w:themeColor="accent1" w:themeShade="80"/>
    </w:rPr>
  </w:style>
  <w:style w:type="paragraph" w:styleId="Citazioneintensa">
    <w:name w:val="Intense Quote"/>
    <w:basedOn w:val="Normale"/>
    <w:next w:val="Normale"/>
    <w:link w:val="CitazioneintensaCarattere"/>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CitazioneintensaCarattere">
    <w:name w:val="Citazione intensa Carattere"/>
    <w:basedOn w:val="Carpredefinitoparagrafo"/>
    <w:link w:val="Citazioneintensa"/>
    <w:uiPriority w:val="30"/>
    <w:semiHidden/>
    <w:rsid w:val="000A0F9B"/>
    <w:rPr>
      <w:i/>
      <w:iCs/>
      <w:color w:val="0D5672" w:themeColor="accent1" w:themeShade="80"/>
    </w:rPr>
  </w:style>
  <w:style w:type="character" w:styleId="Riferimentointenso">
    <w:name w:val="Intense Reference"/>
    <w:basedOn w:val="Carpredefinitoparagrafo"/>
    <w:uiPriority w:val="32"/>
    <w:semiHidden/>
    <w:unhideWhenUsed/>
    <w:qFormat/>
    <w:rsid w:val="000A0F9B"/>
    <w:rPr>
      <w:b/>
      <w:bCs/>
      <w:caps w:val="0"/>
      <w:smallCaps/>
      <w:color w:val="0D5672" w:themeColor="accent1" w:themeShade="80"/>
      <w:spacing w:val="5"/>
    </w:rPr>
  </w:style>
  <w:style w:type="paragraph" w:styleId="Didascalia">
    <w:name w:val="caption"/>
    <w:basedOn w:val="Normale"/>
    <w:next w:val="Normale"/>
    <w:uiPriority w:val="35"/>
    <w:qFormat/>
    <w:rsid w:val="00DA0136"/>
    <w:pPr>
      <w:spacing w:after="200" w:line="240" w:lineRule="auto"/>
      <w:jc w:val="center"/>
    </w:pPr>
    <w:rPr>
      <w:iCs/>
      <w:color w:val="404040" w:themeColor="text1" w:themeTint="BF"/>
      <w:sz w:val="18"/>
      <w:szCs w:val="20"/>
    </w:rPr>
  </w:style>
  <w:style w:type="paragraph" w:styleId="Titolosommario">
    <w:name w:val="TOC Heading"/>
    <w:basedOn w:val="Normale"/>
    <w:next w:val="Normale"/>
    <w:link w:val="TitolosommarioCarattere"/>
    <w:uiPriority w:val="39"/>
    <w:qFormat/>
    <w:rsid w:val="00A5539A"/>
    <w:pPr>
      <w:pageBreakBefore/>
      <w:pBdr>
        <w:bottom w:val="single" w:sz="4" w:space="1" w:color="auto"/>
      </w:pBdr>
      <w:spacing w:before="840"/>
      <w:ind w:left="1077" w:hanging="720"/>
      <w:jc w:val="right"/>
    </w:pPr>
    <w:rPr>
      <w:rFonts w:ascii="Arial" w:hAnsi="Arial"/>
      <w:b/>
      <w:sz w:val="32"/>
    </w:rPr>
  </w:style>
  <w:style w:type="paragraph" w:styleId="Testofumetto">
    <w:name w:val="Balloon Text"/>
    <w:basedOn w:val="Normale"/>
    <w:link w:val="TestofumettoCarattere"/>
    <w:uiPriority w:val="99"/>
    <w:semiHidden/>
    <w:unhideWhenUsed/>
    <w:rsid w:val="00B66857"/>
    <w:pPr>
      <w:spacing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B66857"/>
    <w:rPr>
      <w:rFonts w:ascii="Segoe UI" w:hAnsi="Segoe UI" w:cs="Segoe UI"/>
      <w:szCs w:val="18"/>
    </w:rPr>
  </w:style>
  <w:style w:type="paragraph" w:styleId="Corpodeltesto3">
    <w:name w:val="Body Text 3"/>
    <w:basedOn w:val="Normale"/>
    <w:link w:val="Corpodeltesto3Carattere"/>
    <w:uiPriority w:val="99"/>
    <w:semiHidden/>
    <w:unhideWhenUsed/>
    <w:rsid w:val="00B66857"/>
    <w:pPr>
      <w:spacing w:after="120"/>
    </w:pPr>
    <w:rPr>
      <w:szCs w:val="16"/>
    </w:rPr>
  </w:style>
  <w:style w:type="character" w:customStyle="1" w:styleId="Corpodeltesto3Carattere">
    <w:name w:val="Corpo del testo 3 Carattere"/>
    <w:basedOn w:val="Carpredefinitoparagrafo"/>
    <w:link w:val="Corpodeltesto3"/>
    <w:uiPriority w:val="99"/>
    <w:semiHidden/>
    <w:rsid w:val="00B66857"/>
    <w:rPr>
      <w:szCs w:val="16"/>
    </w:rPr>
  </w:style>
  <w:style w:type="paragraph" w:styleId="Rientrocorpodeltesto3">
    <w:name w:val="Body Text Indent 3"/>
    <w:basedOn w:val="Normale"/>
    <w:link w:val="Rientrocorpodeltesto3Carattere"/>
    <w:uiPriority w:val="99"/>
    <w:semiHidden/>
    <w:unhideWhenUsed/>
    <w:rsid w:val="00B66857"/>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B66857"/>
    <w:rPr>
      <w:szCs w:val="16"/>
    </w:rPr>
  </w:style>
  <w:style w:type="character" w:styleId="Rimandocommento">
    <w:name w:val="annotation reference"/>
    <w:basedOn w:val="Carpredefinitoparagrafo"/>
    <w:uiPriority w:val="99"/>
    <w:semiHidden/>
    <w:unhideWhenUsed/>
    <w:rsid w:val="00B66857"/>
    <w:rPr>
      <w:sz w:val="22"/>
      <w:szCs w:val="16"/>
    </w:rPr>
  </w:style>
  <w:style w:type="paragraph" w:styleId="Testocommento">
    <w:name w:val="annotation text"/>
    <w:basedOn w:val="Normale"/>
    <w:link w:val="TestocommentoCarattere"/>
    <w:uiPriority w:val="99"/>
    <w:semiHidden/>
    <w:unhideWhenUsed/>
    <w:rsid w:val="00B66857"/>
    <w:pPr>
      <w:spacing w:line="240" w:lineRule="auto"/>
    </w:pPr>
    <w:rPr>
      <w:szCs w:val="20"/>
    </w:rPr>
  </w:style>
  <w:style w:type="character" w:customStyle="1" w:styleId="TestocommentoCarattere">
    <w:name w:val="Testo commento Carattere"/>
    <w:basedOn w:val="Carpredefinitoparagrafo"/>
    <w:link w:val="Testocommento"/>
    <w:uiPriority w:val="99"/>
    <w:semiHidden/>
    <w:rsid w:val="00B66857"/>
    <w:rPr>
      <w:szCs w:val="20"/>
    </w:rPr>
  </w:style>
  <w:style w:type="paragraph" w:styleId="Soggettocommento">
    <w:name w:val="annotation subject"/>
    <w:basedOn w:val="Testocommento"/>
    <w:next w:val="Testocommento"/>
    <w:link w:val="SoggettocommentoCarattere"/>
    <w:uiPriority w:val="99"/>
    <w:semiHidden/>
    <w:unhideWhenUsed/>
    <w:rsid w:val="00B66857"/>
    <w:rPr>
      <w:b/>
      <w:bCs/>
    </w:rPr>
  </w:style>
  <w:style w:type="character" w:customStyle="1" w:styleId="SoggettocommentoCarattere">
    <w:name w:val="Soggetto commento Carattere"/>
    <w:basedOn w:val="TestocommentoCarattere"/>
    <w:link w:val="Soggettocommento"/>
    <w:uiPriority w:val="99"/>
    <w:semiHidden/>
    <w:rsid w:val="00B66857"/>
    <w:rPr>
      <w:b/>
      <w:bCs/>
      <w:szCs w:val="20"/>
    </w:rPr>
  </w:style>
  <w:style w:type="paragraph" w:styleId="Mappadocumento">
    <w:name w:val="Document Map"/>
    <w:basedOn w:val="Normale"/>
    <w:link w:val="MappadocumentoCarattere"/>
    <w:uiPriority w:val="99"/>
    <w:semiHidden/>
    <w:unhideWhenUsed/>
    <w:rsid w:val="00B66857"/>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B66857"/>
    <w:rPr>
      <w:rFonts w:ascii="Segoe UI" w:hAnsi="Segoe UI" w:cs="Segoe UI"/>
      <w:szCs w:val="16"/>
    </w:rPr>
  </w:style>
  <w:style w:type="paragraph" w:styleId="Testonotadichiusura">
    <w:name w:val="endnote text"/>
    <w:basedOn w:val="Normale"/>
    <w:link w:val="TestonotadichiusuraCarattere"/>
    <w:uiPriority w:val="99"/>
    <w:semiHidden/>
    <w:unhideWhenUsed/>
    <w:rsid w:val="00B66857"/>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B66857"/>
    <w:rPr>
      <w:szCs w:val="20"/>
    </w:rPr>
  </w:style>
  <w:style w:type="paragraph" w:styleId="Indirizzomittente">
    <w:name w:val="envelope return"/>
    <w:basedOn w:val="Normale"/>
    <w:uiPriority w:val="99"/>
    <w:semiHidden/>
    <w:unhideWhenUsed/>
    <w:rsid w:val="00B66857"/>
    <w:pPr>
      <w:spacing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06E1E"/>
    <w:pPr>
      <w:spacing w:after="0" w:line="240" w:lineRule="auto"/>
    </w:pPr>
    <w:rPr>
      <w:color w:val="00298B"/>
      <w:szCs w:val="20"/>
    </w:rPr>
  </w:style>
  <w:style w:type="character" w:customStyle="1" w:styleId="TestonotaapidipaginaCarattere">
    <w:name w:val="Testo nota a piè di pagina Carattere"/>
    <w:basedOn w:val="Carpredefinitoparagrafo"/>
    <w:link w:val="Testonotaapidipagina"/>
    <w:uiPriority w:val="99"/>
    <w:semiHidden/>
    <w:rsid w:val="00A06E1E"/>
    <w:rPr>
      <w:rFonts w:ascii="Times New Roman" w:hAnsi="Times New Roman"/>
      <w:color w:val="00298B"/>
      <w:sz w:val="20"/>
      <w:szCs w:val="20"/>
    </w:rPr>
  </w:style>
  <w:style w:type="character" w:styleId="CodiceHTML">
    <w:name w:val="HTML Code"/>
    <w:basedOn w:val="Carpredefinitoparagrafo"/>
    <w:uiPriority w:val="99"/>
    <w:semiHidden/>
    <w:unhideWhenUsed/>
    <w:rsid w:val="00B66857"/>
    <w:rPr>
      <w:rFonts w:ascii="Consolas" w:hAnsi="Consolas"/>
      <w:sz w:val="22"/>
      <w:szCs w:val="20"/>
    </w:rPr>
  </w:style>
  <w:style w:type="character" w:styleId="TastieraHTML">
    <w:name w:val="HTML Keyboard"/>
    <w:basedOn w:val="Carpredefinitoparagrafo"/>
    <w:uiPriority w:val="99"/>
    <w:semiHidden/>
    <w:unhideWhenUsed/>
    <w:rsid w:val="00B66857"/>
    <w:rPr>
      <w:rFonts w:ascii="Consolas" w:hAnsi="Consolas"/>
      <w:sz w:val="22"/>
      <w:szCs w:val="20"/>
    </w:rPr>
  </w:style>
  <w:style w:type="paragraph" w:styleId="PreformattatoHTML">
    <w:name w:val="HTML Preformatted"/>
    <w:basedOn w:val="Normale"/>
    <w:link w:val="PreformattatoHTMLCarattere"/>
    <w:uiPriority w:val="99"/>
    <w:semiHidden/>
    <w:unhideWhenUsed/>
    <w:rsid w:val="00B66857"/>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B66857"/>
    <w:rPr>
      <w:rFonts w:ascii="Consolas" w:hAnsi="Consolas"/>
      <w:szCs w:val="20"/>
    </w:rPr>
  </w:style>
  <w:style w:type="character" w:styleId="MacchinadascrivereHTML">
    <w:name w:val="HTML Typewriter"/>
    <w:basedOn w:val="Carpredefinitoparagrafo"/>
    <w:uiPriority w:val="99"/>
    <w:semiHidden/>
    <w:unhideWhenUsed/>
    <w:rsid w:val="00B66857"/>
    <w:rPr>
      <w:rFonts w:ascii="Consolas" w:hAnsi="Consolas"/>
      <w:sz w:val="22"/>
      <w:szCs w:val="20"/>
    </w:rPr>
  </w:style>
  <w:style w:type="paragraph" w:styleId="Testomacro">
    <w:name w:val="macro"/>
    <w:link w:val="TestomacroCarattere"/>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B66857"/>
    <w:rPr>
      <w:rFonts w:ascii="Consolas" w:hAnsi="Consolas"/>
      <w:szCs w:val="20"/>
    </w:rPr>
  </w:style>
  <w:style w:type="paragraph" w:styleId="Testonormale">
    <w:name w:val="Plain Text"/>
    <w:basedOn w:val="Normale"/>
    <w:link w:val="TestonormaleCarattere"/>
    <w:uiPriority w:val="99"/>
    <w:semiHidden/>
    <w:unhideWhenUsed/>
    <w:rsid w:val="00B66857"/>
    <w:pPr>
      <w:spacing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B66857"/>
    <w:rPr>
      <w:rFonts w:ascii="Consolas" w:hAnsi="Consolas"/>
      <w:szCs w:val="21"/>
    </w:rPr>
  </w:style>
  <w:style w:type="paragraph" w:styleId="Testodelblocco">
    <w:name w:val="Block Text"/>
    <w:basedOn w:val="Normale"/>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Collegamentovisitato">
    <w:name w:val="FollowedHyperlink"/>
    <w:basedOn w:val="Carpredefinitoparagrafo"/>
    <w:uiPriority w:val="99"/>
    <w:semiHidden/>
    <w:unhideWhenUsed/>
    <w:rsid w:val="00971DEC"/>
    <w:rPr>
      <w:color w:val="215D4B" w:themeColor="accent4" w:themeShade="80"/>
      <w:u w:val="single"/>
    </w:rPr>
  </w:style>
  <w:style w:type="character" w:styleId="Collegamentoipertestuale">
    <w:name w:val="Hyperlink"/>
    <w:basedOn w:val="Carpredefinitoparagrafo"/>
    <w:uiPriority w:val="99"/>
    <w:unhideWhenUsed/>
    <w:rsid w:val="00AE1B0A"/>
    <w:rPr>
      <w:color w:val="0059B3"/>
      <w:u w:val="single"/>
    </w:rPr>
  </w:style>
  <w:style w:type="character" w:styleId="Testosegnaposto">
    <w:name w:val="Placeholder Text"/>
    <w:basedOn w:val="Carpredefinitoparagrafo"/>
    <w:uiPriority w:val="99"/>
    <w:semiHidden/>
    <w:rsid w:val="00B66857"/>
    <w:rPr>
      <w:color w:val="595959" w:themeColor="text1" w:themeTint="A6"/>
    </w:rPr>
  </w:style>
  <w:style w:type="paragraph" w:styleId="Intestazione">
    <w:name w:val="header"/>
    <w:basedOn w:val="Normale"/>
    <w:link w:val="IntestazioneCarattere"/>
    <w:uiPriority w:val="99"/>
    <w:unhideWhenUsed/>
    <w:rsid w:val="008B6008"/>
    <w:pPr>
      <w:spacing w:after="0" w:line="240" w:lineRule="auto"/>
    </w:pPr>
  </w:style>
  <w:style w:type="character" w:customStyle="1" w:styleId="IntestazioneCarattere">
    <w:name w:val="Intestazione Carattere"/>
    <w:basedOn w:val="Carpredefinitoparagrafo"/>
    <w:link w:val="Intestazione"/>
    <w:uiPriority w:val="99"/>
    <w:rsid w:val="008B6008"/>
  </w:style>
  <w:style w:type="paragraph" w:styleId="Pidipagina">
    <w:name w:val="footer"/>
    <w:basedOn w:val="Normale"/>
    <w:link w:val="PidipaginaCarattere"/>
    <w:uiPriority w:val="99"/>
    <w:unhideWhenUsed/>
    <w:rsid w:val="000959E8"/>
    <w:pPr>
      <w:spacing w:after="0" w:line="240" w:lineRule="auto"/>
      <w:jc w:val="center"/>
    </w:pPr>
    <w:rPr>
      <w:rFonts w:ascii="Calibri" w:hAnsi="Calibri"/>
      <w:b/>
    </w:rPr>
  </w:style>
  <w:style w:type="character" w:customStyle="1" w:styleId="PidipaginaCarattere">
    <w:name w:val="Piè di pagina Carattere"/>
    <w:basedOn w:val="Carpredefinitoparagrafo"/>
    <w:link w:val="Pidipagina"/>
    <w:uiPriority w:val="99"/>
    <w:rsid w:val="000959E8"/>
    <w:rPr>
      <w:rFonts w:ascii="Calibri" w:hAnsi="Calibri"/>
      <w:b/>
      <w:sz w:val="20"/>
    </w:rPr>
  </w:style>
  <w:style w:type="paragraph" w:customStyle="1" w:styleId="Versione">
    <w:name w:val="Versione"/>
    <w:basedOn w:val="Normale"/>
    <w:link w:val="VersioneCarattere"/>
    <w:qFormat/>
    <w:rsid w:val="0022707C"/>
    <w:pPr>
      <w:ind w:firstLine="0"/>
      <w:jc w:val="right"/>
    </w:pPr>
    <w:rPr>
      <w:rFonts w:ascii="Arial" w:hAnsi="Arial" w:cs="Arial"/>
      <w:b/>
      <w:color w:val="000000" w:themeColor="text1"/>
    </w:rPr>
  </w:style>
  <w:style w:type="paragraph" w:styleId="Paragrafoelenco">
    <w:name w:val="List Paragraph"/>
    <w:basedOn w:val="Normale"/>
    <w:link w:val="ParagrafoelencoCarattere"/>
    <w:uiPriority w:val="34"/>
    <w:qFormat/>
    <w:rsid w:val="00250B23"/>
    <w:pPr>
      <w:ind w:left="720"/>
      <w:contextualSpacing/>
    </w:pPr>
  </w:style>
  <w:style w:type="character" w:customStyle="1" w:styleId="VersioneCarattere">
    <w:name w:val="Versione Carattere"/>
    <w:basedOn w:val="Carpredefinitoparagrafo"/>
    <w:link w:val="Versione"/>
    <w:rsid w:val="0022707C"/>
    <w:rPr>
      <w:rFonts w:ascii="Arial" w:hAnsi="Arial" w:cs="Arial"/>
      <w:b/>
      <w:color w:val="000000" w:themeColor="text1"/>
      <w:sz w:val="24"/>
      <w:szCs w:val="24"/>
      <w:lang w:val="it-IT"/>
    </w:rPr>
  </w:style>
  <w:style w:type="paragraph" w:styleId="Sommario1">
    <w:name w:val="toc 1"/>
    <w:basedOn w:val="Normale"/>
    <w:next w:val="Normale"/>
    <w:autoRedefine/>
    <w:uiPriority w:val="39"/>
    <w:unhideWhenUsed/>
    <w:rsid w:val="00D3210F"/>
    <w:pPr>
      <w:tabs>
        <w:tab w:val="left" w:pos="1100"/>
        <w:tab w:val="right" w:leader="dot" w:pos="9016"/>
      </w:tabs>
      <w:spacing w:after="100" w:line="240" w:lineRule="auto"/>
    </w:pPr>
    <w:rPr>
      <w:b/>
      <w:color w:val="00298B"/>
    </w:rPr>
  </w:style>
  <w:style w:type="paragraph" w:styleId="Sommario2">
    <w:name w:val="toc 2"/>
    <w:basedOn w:val="Normale"/>
    <w:next w:val="Normale"/>
    <w:autoRedefine/>
    <w:uiPriority w:val="39"/>
    <w:unhideWhenUsed/>
    <w:rsid w:val="007578F2"/>
    <w:pPr>
      <w:spacing w:after="100" w:line="240" w:lineRule="auto"/>
      <w:ind w:left="260"/>
    </w:pPr>
  </w:style>
  <w:style w:type="paragraph" w:styleId="Sommario3">
    <w:name w:val="toc 3"/>
    <w:basedOn w:val="Normale"/>
    <w:next w:val="Normale"/>
    <w:autoRedefine/>
    <w:uiPriority w:val="39"/>
    <w:unhideWhenUsed/>
    <w:rsid w:val="007578F2"/>
    <w:pPr>
      <w:spacing w:after="100" w:line="240" w:lineRule="auto"/>
      <w:ind w:left="520"/>
    </w:pPr>
  </w:style>
  <w:style w:type="paragraph" w:customStyle="1" w:styleId="Premessa">
    <w:name w:val="Premessa"/>
    <w:basedOn w:val="Titolo1"/>
    <w:link w:val="PremessaCarattere"/>
    <w:rsid w:val="00C46EAB"/>
  </w:style>
  <w:style w:type="paragraph" w:customStyle="1" w:styleId="NOTADACANCELLARE">
    <w:name w:val="NOTA DA CANCELLARE"/>
    <w:basedOn w:val="Normale"/>
    <w:link w:val="NOTADACANCELLARECarattere"/>
    <w:rsid w:val="00775D80"/>
    <w:pPr>
      <w:shd w:val="clear" w:color="auto" w:fill="FFFFCC"/>
      <w:spacing w:after="0"/>
    </w:pPr>
    <w:rPr>
      <w:bCs/>
      <w:color w:val="C00000"/>
    </w:rPr>
  </w:style>
  <w:style w:type="character" w:customStyle="1" w:styleId="TitolosommarioCarattere">
    <w:name w:val="Titolo sommario Carattere"/>
    <w:basedOn w:val="Titolo1Carattere"/>
    <w:link w:val="Titolosommario"/>
    <w:uiPriority w:val="39"/>
    <w:rsid w:val="00A5539A"/>
    <w:rPr>
      <w:rFonts w:ascii="Arial" w:eastAsiaTheme="majorEastAsia" w:hAnsi="Arial" w:cstheme="majorBidi"/>
      <w:b/>
      <w:bCs w:val="0"/>
      <w:noProof/>
      <w:sz w:val="32"/>
      <w:szCs w:val="40"/>
      <w:lang w:val="it-IT"/>
    </w:rPr>
  </w:style>
  <w:style w:type="character" w:customStyle="1" w:styleId="PremessaCarattere">
    <w:name w:val="Premessa Carattere"/>
    <w:basedOn w:val="TitolosommarioCarattere"/>
    <w:link w:val="Premessa"/>
    <w:rsid w:val="00C46EAB"/>
    <w:rPr>
      <w:rFonts w:ascii="Verdana" w:eastAsiaTheme="majorEastAsia" w:hAnsi="Verdana" w:cstheme="majorBidi"/>
      <w:b/>
      <w:bCs w:val="0"/>
      <w:caps w:val="0"/>
      <w:noProof/>
      <w:color w:val="0070C0"/>
      <w:sz w:val="36"/>
      <w:szCs w:val="40"/>
      <w:lang w:val="it-IT"/>
    </w:rPr>
  </w:style>
  <w:style w:type="table" w:styleId="Grigliatabella">
    <w:name w:val="Table Grid"/>
    <w:basedOn w:val="Tabellanormale"/>
    <w:uiPriority w:val="39"/>
    <w:rsid w:val="008D66DB"/>
    <w:pPr>
      <w:spacing w:after="0" w:line="240" w:lineRule="auto"/>
    </w:pPr>
    <w:rPr>
      <w:rFonts w:ascii="Times New Roman" w:hAnsi="Times New Roma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jc w:val="center"/>
      </w:pPr>
      <w:rPr>
        <w:rFonts w:ascii="Arial" w:hAnsi="Arial"/>
        <w:b/>
        <w:sz w:val="24"/>
      </w:rPr>
    </w:tblStylePr>
    <w:tblStylePr w:type="firstCol">
      <w:rPr>
        <w:rFonts w:ascii="Arial" w:hAnsi="Arial"/>
        <w:b/>
        <w:sz w:val="24"/>
      </w:rPr>
    </w:tblStylePr>
  </w:style>
  <w:style w:type="character" w:customStyle="1" w:styleId="NOTADACANCELLARECarattere">
    <w:name w:val="NOTA DA CANCELLARE Carattere"/>
    <w:basedOn w:val="Carpredefinitoparagrafo"/>
    <w:link w:val="NOTADACANCELLARE"/>
    <w:rsid w:val="00775D80"/>
    <w:rPr>
      <w:rFonts w:ascii="Times New Roman" w:hAnsi="Times New Roman"/>
      <w:bCs/>
      <w:color w:val="C00000"/>
      <w:sz w:val="20"/>
      <w:shd w:val="clear" w:color="auto" w:fill="FFFFCC"/>
    </w:rPr>
  </w:style>
  <w:style w:type="table" w:styleId="Tabellagriglia2-colore1">
    <w:name w:val="Grid Table 2 Accent 1"/>
    <w:basedOn w:val="Tabellanormale"/>
    <w:uiPriority w:val="47"/>
    <w:rsid w:val="00B6476E"/>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semplice4">
    <w:name w:val="Plain Table 4"/>
    <w:basedOn w:val="Tabellanormale"/>
    <w:uiPriority w:val="44"/>
    <w:rsid w:val="00C7117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0011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nfasigrassetto">
    <w:name w:val="Strong"/>
    <w:basedOn w:val="Carpredefinitoparagrafo"/>
    <w:uiPriority w:val="22"/>
    <w:qFormat/>
    <w:rsid w:val="005A36BD"/>
    <w:rPr>
      <w:b/>
      <w:bCs/>
    </w:rPr>
  </w:style>
  <w:style w:type="paragraph" w:customStyle="1" w:styleId="Sottotitolo1">
    <w:name w:val="Sottotitolo1"/>
    <w:basedOn w:val="Normale"/>
    <w:next w:val="Normale"/>
    <w:uiPriority w:val="11"/>
    <w:rsid w:val="00250B23"/>
    <w:pPr>
      <w:numPr>
        <w:ilvl w:val="1"/>
      </w:numPr>
      <w:ind w:firstLine="720"/>
    </w:pPr>
    <w:rPr>
      <w:rFonts w:ascii="Arial" w:hAnsi="Arial"/>
      <w:b/>
      <w:color w:val="808080" w:themeColor="background1" w:themeShade="80"/>
      <w:spacing w:val="15"/>
      <w:sz w:val="40"/>
    </w:rPr>
  </w:style>
  <w:style w:type="paragraph" w:customStyle="1" w:styleId="Codice">
    <w:name w:val="Codice"/>
    <w:basedOn w:val="Normale"/>
    <w:link w:val="CodiceCarattere"/>
    <w:qFormat/>
    <w:rsid w:val="006773EC"/>
    <w:pPr>
      <w:keepNext/>
      <w:keepLines/>
      <w:pBdr>
        <w:top w:val="single" w:sz="4" w:space="1" w:color="0D0D0D" w:themeColor="text1" w:themeTint="F2"/>
        <w:left w:val="single" w:sz="4" w:space="4" w:color="0D0D0D" w:themeColor="text1" w:themeTint="F2"/>
        <w:bottom w:val="single" w:sz="4" w:space="1" w:color="0D0D0D" w:themeColor="text1" w:themeTint="F2"/>
        <w:right w:val="single" w:sz="4" w:space="4" w:color="0D0D0D" w:themeColor="text1" w:themeTint="F2"/>
      </w:pBdr>
      <w:shd w:val="clear" w:color="auto" w:fill="F2F2F2" w:themeFill="background1" w:themeFillShade="F2"/>
      <w:tabs>
        <w:tab w:val="left" w:pos="284"/>
        <w:tab w:val="left" w:pos="567"/>
        <w:tab w:val="left" w:pos="851"/>
        <w:tab w:val="left" w:pos="1134"/>
        <w:tab w:val="left" w:pos="1418"/>
        <w:tab w:val="left" w:pos="1701"/>
        <w:tab w:val="left" w:pos="1985"/>
        <w:tab w:val="left" w:pos="2268"/>
      </w:tabs>
      <w:suppressAutoHyphens/>
      <w:spacing w:after="0" w:line="240" w:lineRule="atLeast"/>
      <w:textboxTightWrap w:val="allLines"/>
    </w:pPr>
    <w:rPr>
      <w:rFonts w:ascii="Courier New" w:hAnsi="Courier New"/>
      <w:sz w:val="18"/>
    </w:rPr>
  </w:style>
  <w:style w:type="paragraph" w:customStyle="1" w:styleId="Evidenziato1">
    <w:name w:val="Evidenziato 1"/>
    <w:basedOn w:val="Normale"/>
    <w:link w:val="Evidenziato1Carattere"/>
    <w:qFormat/>
    <w:rsid w:val="00A0042C"/>
    <w:rPr>
      <w:b/>
      <w:color w:val="0059B3"/>
    </w:rPr>
  </w:style>
  <w:style w:type="character" w:customStyle="1" w:styleId="CodiceCarattere">
    <w:name w:val="Codice Carattere"/>
    <w:basedOn w:val="Carpredefinitoparagrafo"/>
    <w:link w:val="Codice"/>
    <w:rsid w:val="006773EC"/>
    <w:rPr>
      <w:rFonts w:ascii="Courier New" w:hAnsi="Courier New"/>
      <w:sz w:val="18"/>
      <w:shd w:val="clear" w:color="auto" w:fill="F2F2F2" w:themeFill="background1" w:themeFillShade="F2"/>
    </w:rPr>
  </w:style>
  <w:style w:type="character" w:customStyle="1" w:styleId="Evidenziato1Carattere">
    <w:name w:val="Evidenziato 1 Carattere"/>
    <w:basedOn w:val="Carpredefinitoparagrafo"/>
    <w:link w:val="Evidenziato1"/>
    <w:rsid w:val="00A0042C"/>
    <w:rPr>
      <w:rFonts w:ascii="Times New Roman" w:hAnsi="Times New Roman"/>
      <w:b/>
      <w:color w:val="0059B3"/>
      <w:sz w:val="20"/>
    </w:rPr>
  </w:style>
  <w:style w:type="paragraph" w:customStyle="1" w:styleId="CAPITOLOTEXT">
    <w:name w:val="CAPITOLO_TEXT"/>
    <w:basedOn w:val="Normale"/>
    <w:link w:val="CAPITOLOTEXTCarattere"/>
    <w:qFormat/>
    <w:rsid w:val="00BB34F7"/>
    <w:pPr>
      <w:keepNext/>
      <w:pageBreakBefore/>
      <w:pBdr>
        <w:bottom w:val="single" w:sz="4" w:space="1" w:color="000000" w:themeColor="text1"/>
      </w:pBdr>
      <w:spacing w:before="480" w:after="0" w:line="960" w:lineRule="auto"/>
      <w:jc w:val="right"/>
    </w:pPr>
    <w:rPr>
      <w:rFonts w:ascii="Arial" w:hAnsi="Arial" w:cs="Arial"/>
      <w:sz w:val="28"/>
      <w:szCs w:val="28"/>
    </w:rPr>
  </w:style>
  <w:style w:type="paragraph" w:customStyle="1" w:styleId="Evidenziato2">
    <w:name w:val="Evidenziato 2"/>
    <w:basedOn w:val="Normale"/>
    <w:link w:val="Evidenziato2Carattere"/>
    <w:qFormat/>
    <w:rsid w:val="00A0042C"/>
    <w:rPr>
      <w:b/>
      <w:color w:val="00298B"/>
    </w:rPr>
  </w:style>
  <w:style w:type="character" w:customStyle="1" w:styleId="CAPITOLOTEXTCarattere">
    <w:name w:val="CAPITOLO_TEXT Carattere"/>
    <w:basedOn w:val="Carpredefinitoparagrafo"/>
    <w:link w:val="CAPITOLOTEXT"/>
    <w:rsid w:val="00BB34F7"/>
    <w:rPr>
      <w:rFonts w:ascii="Arial" w:hAnsi="Arial" w:cs="Arial"/>
      <w:sz w:val="28"/>
      <w:szCs w:val="28"/>
    </w:rPr>
  </w:style>
  <w:style w:type="paragraph" w:customStyle="1" w:styleId="Note">
    <w:name w:val="Note"/>
    <w:basedOn w:val="Normale"/>
    <w:link w:val="NoteCarattere"/>
    <w:qFormat/>
    <w:rsid w:val="00310CEB"/>
    <w:pPr>
      <w:pBdr>
        <w:top w:val="single" w:sz="4" w:space="1" w:color="000000" w:themeColor="text1"/>
        <w:bottom w:val="single" w:sz="4" w:space="1" w:color="000000" w:themeColor="text1"/>
      </w:pBdr>
      <w:shd w:val="clear" w:color="auto" w:fill="FFFFC5"/>
      <w:tabs>
        <w:tab w:val="left" w:pos="567"/>
      </w:tabs>
      <w:spacing w:before="120" w:line="240" w:lineRule="auto"/>
      <w:ind w:left="1276" w:right="567" w:hanging="567"/>
    </w:pPr>
    <w:rPr>
      <w:rFonts w:ascii="Calibri" w:hAnsi="Calibri"/>
      <w:sz w:val="20"/>
    </w:rPr>
  </w:style>
  <w:style w:type="character" w:customStyle="1" w:styleId="ParagrafoelencoCarattere">
    <w:name w:val="Paragrafo elenco Carattere"/>
    <w:basedOn w:val="Carpredefinitoparagrafo"/>
    <w:link w:val="Paragrafoelenco"/>
    <w:uiPriority w:val="34"/>
    <w:rsid w:val="00A0042C"/>
    <w:rPr>
      <w:rFonts w:ascii="Times New Roman" w:hAnsi="Times New Roman"/>
      <w:sz w:val="20"/>
    </w:rPr>
  </w:style>
  <w:style w:type="character" w:customStyle="1" w:styleId="Evidenziato2Carattere">
    <w:name w:val="Evidenziato 2 Carattere"/>
    <w:basedOn w:val="ParagrafoelencoCarattere"/>
    <w:link w:val="Evidenziato2"/>
    <w:rsid w:val="00A0042C"/>
    <w:rPr>
      <w:rFonts w:ascii="Times New Roman" w:hAnsi="Times New Roman"/>
      <w:b/>
      <w:color w:val="00298B"/>
      <w:sz w:val="20"/>
    </w:rPr>
  </w:style>
  <w:style w:type="character" w:customStyle="1" w:styleId="NoteCarattere">
    <w:name w:val="Note Carattere"/>
    <w:basedOn w:val="Carpredefinitoparagrafo"/>
    <w:link w:val="Note"/>
    <w:rsid w:val="00310CEB"/>
    <w:rPr>
      <w:rFonts w:ascii="Calibri" w:hAnsi="Calibri"/>
      <w:sz w:val="20"/>
      <w:shd w:val="clear" w:color="auto" w:fill="FFFFC5"/>
    </w:rPr>
  </w:style>
  <w:style w:type="character" w:styleId="Rimandonotaapidipagina">
    <w:name w:val="footnote reference"/>
    <w:basedOn w:val="Carpredefinitoparagrafo"/>
    <w:uiPriority w:val="99"/>
    <w:semiHidden/>
    <w:unhideWhenUsed/>
    <w:rsid w:val="006B6BD1"/>
    <w:rPr>
      <w:vertAlign w:val="superscript"/>
    </w:rPr>
  </w:style>
  <w:style w:type="paragraph" w:styleId="Sommario4">
    <w:name w:val="toc 4"/>
    <w:basedOn w:val="Normale"/>
    <w:next w:val="Normale"/>
    <w:autoRedefine/>
    <w:uiPriority w:val="39"/>
    <w:semiHidden/>
    <w:unhideWhenUsed/>
    <w:rsid w:val="007578F2"/>
    <w:pPr>
      <w:spacing w:after="100" w:line="240" w:lineRule="auto"/>
      <w:ind w:left="600"/>
    </w:pPr>
  </w:style>
  <w:style w:type="paragraph" w:styleId="Sommario5">
    <w:name w:val="toc 5"/>
    <w:basedOn w:val="Normale"/>
    <w:next w:val="Normale"/>
    <w:autoRedefine/>
    <w:uiPriority w:val="39"/>
    <w:semiHidden/>
    <w:unhideWhenUsed/>
    <w:rsid w:val="007578F2"/>
    <w:pPr>
      <w:spacing w:after="100" w:line="240" w:lineRule="auto"/>
      <w:ind w:left="800"/>
    </w:pPr>
  </w:style>
  <w:style w:type="paragraph" w:styleId="NormaleWeb">
    <w:name w:val="Normal (Web)"/>
    <w:basedOn w:val="Normale"/>
    <w:uiPriority w:val="99"/>
    <w:semiHidden/>
    <w:unhideWhenUsed/>
    <w:rsid w:val="003E5593"/>
    <w:pPr>
      <w:spacing w:before="100" w:beforeAutospacing="1" w:after="100" w:afterAutospacing="1" w:line="240" w:lineRule="auto"/>
      <w:ind w:firstLine="0"/>
    </w:pPr>
    <w:rPr>
      <w:rFonts w:ascii="Times New Roman" w:eastAsia="Times New Roman" w:hAnsi="Times New Roman" w:cs="Times New Roman"/>
      <w:lang w:eastAsia="it-IT"/>
    </w:rPr>
  </w:style>
  <w:style w:type="table" w:styleId="Tabellagriglia4-colore2">
    <w:name w:val="Grid Table 4 Accent 2"/>
    <w:basedOn w:val="Tabellanormale"/>
    <w:uiPriority w:val="49"/>
    <w:rsid w:val="007E10B2"/>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griglia1chiara">
    <w:name w:val="Grid Table 1 Light"/>
    <w:basedOn w:val="Tabellanormale"/>
    <w:uiPriority w:val="46"/>
    <w:rsid w:val="008706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a">
    <w:basedOn w:val="TableNormal"/>
    <w:pPr>
      <w:spacing w:after="0" w:line="240" w:lineRule="auto"/>
    </w:pPr>
    <w:rPr>
      <w:rFonts w:ascii="Times New Roman" w:eastAsia="Times New Roman" w:hAnsi="Times New Roman" w:cs="Times New Roman"/>
    </w:rPr>
    <w:tblPr>
      <w:tblStyleRowBandSize w:val="1"/>
      <w:tblStyleColBandSize w:val="1"/>
      <w:tblCellMar>
        <w:left w:w="108" w:type="dxa"/>
        <w:right w:w="108" w:type="dxa"/>
      </w:tblCellMar>
    </w:tblPr>
    <w:tblStylePr w:type="firstRow">
      <w:pPr>
        <w:jc w:val="center"/>
      </w:pPr>
      <w:rPr>
        <w:rFonts w:ascii="Arial" w:eastAsia="Arial" w:hAnsi="Arial" w:cs="Arial"/>
        <w:b/>
        <w:sz w:val="24"/>
        <w:szCs w:val="24"/>
      </w:rPr>
    </w:tblStylePr>
    <w:tblStylePr w:type="firstCol">
      <w:rPr>
        <w:rFonts w:ascii="Arial" w:eastAsia="Arial" w:hAnsi="Arial" w:cs="Arial"/>
        <w:b/>
        <w:sz w:val="24"/>
        <w:szCs w:val="24"/>
      </w:rPr>
    </w:tblStylePr>
  </w:style>
  <w:style w:type="table" w:customStyle="1" w:styleId="a0">
    <w:basedOn w:val="TableNormal"/>
    <w:pPr>
      <w:spacing w:after="0" w:line="240" w:lineRule="auto"/>
    </w:pPr>
    <w:rPr>
      <w:rFonts w:ascii="Times New Roman" w:eastAsia="Times New Roman" w:hAnsi="Times New Roman" w:cs="Times New Roman"/>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rPr>
      <w:rFonts w:ascii="Times New Roman" w:eastAsia="Times New Roman" w:hAnsi="Times New Roman" w:cs="Times New Roman"/>
    </w:rPr>
    <w:tblPr>
      <w:tblStyleRowBandSize w:val="1"/>
      <w:tblStyleColBandSize w:val="1"/>
      <w:tblCellMar>
        <w:left w:w="108" w:type="dxa"/>
        <w:right w:w="108" w:type="dxa"/>
      </w:tblCellMar>
    </w:tblPr>
    <w:tblStylePr w:type="firstRow">
      <w:pPr>
        <w:jc w:val="center"/>
      </w:pPr>
      <w:rPr>
        <w:rFonts w:ascii="Arial" w:eastAsia="Arial" w:hAnsi="Arial" w:cs="Arial"/>
        <w:b/>
        <w:sz w:val="24"/>
        <w:szCs w:val="24"/>
      </w:rPr>
    </w:tblStylePr>
    <w:tblStylePr w:type="firstCol">
      <w:rPr>
        <w:rFonts w:ascii="Arial" w:eastAsia="Arial" w:hAnsi="Arial" w:cs="Arial"/>
        <w:b/>
        <w:sz w:val="24"/>
        <w:szCs w:val="24"/>
      </w:rPr>
    </w:tblStylePr>
  </w:style>
  <w:style w:type="table" w:customStyle="1" w:styleId="a2">
    <w:basedOn w:val="TableNormal"/>
    <w:pPr>
      <w:spacing w:after="0" w:line="240" w:lineRule="auto"/>
    </w:pPr>
    <w:rPr>
      <w:rFonts w:ascii="Times New Roman" w:eastAsia="Times New Roman" w:hAnsi="Times New Roman" w:cs="Times New Roman"/>
    </w:rPr>
    <w:tblPr>
      <w:tblStyleRowBandSize w:val="1"/>
      <w:tblStyleColBandSize w:val="1"/>
      <w:tblCellMar>
        <w:left w:w="108" w:type="dxa"/>
        <w:right w:w="108" w:type="dxa"/>
      </w:tblCellMar>
    </w:tblPr>
    <w:tblStylePr w:type="firstRow">
      <w:pPr>
        <w:jc w:val="center"/>
      </w:pPr>
      <w:rPr>
        <w:rFonts w:ascii="Arial" w:eastAsia="Arial" w:hAnsi="Arial" w:cs="Arial"/>
        <w:b/>
        <w:sz w:val="24"/>
        <w:szCs w:val="24"/>
      </w:rPr>
    </w:tblStylePr>
    <w:tblStylePr w:type="firstCol">
      <w:rPr>
        <w:rFonts w:ascii="Arial" w:eastAsia="Arial" w:hAnsi="Arial" w:cs="Arial"/>
        <w:b/>
        <w:sz w:val="24"/>
        <w:szCs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nYNfAMvSfnOBsm9PTDoUsX2Tjw==">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20</Pages>
  <Words>3702</Words>
  <Characters>21106</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michele.damico@agid.gov.it</dc:creator>
  <cp:lastModifiedBy>IANNIELLO Stefano</cp:lastModifiedBy>
  <cp:revision>9</cp:revision>
  <dcterms:created xsi:type="dcterms:W3CDTF">2021-05-14T10:00:00Z</dcterms:created>
  <dcterms:modified xsi:type="dcterms:W3CDTF">2021-05-30T19:09:00Z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0x010100071B354ED8C2C94CA5779DAD3C0FFD4D</vt:lpwstr>
  </property>
</Properties>
</file>