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C3966" w14:textId="77777777" w:rsidR="00DE117D" w:rsidRDefault="00DE117D">
      <w:proofErr w:type="gramStart"/>
      <w:r>
        <w:t>February,</w:t>
      </w:r>
      <w:proofErr w:type="gramEnd"/>
      <w:r>
        <w:t xml:space="preserve"> 2026</w:t>
      </w:r>
    </w:p>
    <w:p w14:paraId="1D0C22F0" w14:textId="36C16E96" w:rsidR="003F6C10" w:rsidRDefault="00E24624">
      <w:r>
        <w:t>USE cases for BMP database/library:</w:t>
      </w:r>
    </w:p>
    <w:p w14:paraId="2E324469" w14:textId="77777777" w:rsidR="00E24624" w:rsidRDefault="00E24624"/>
    <w:p w14:paraId="4FE55FA6" w14:textId="620283F2" w:rsidR="00E24624" w:rsidRDefault="00E24624">
      <w:r>
        <w:t>Landowner in compliance violation</w:t>
      </w:r>
      <w:r w:rsidR="00350E54">
        <w:t>:</w:t>
      </w:r>
    </w:p>
    <w:p w14:paraId="522FFF96" w14:textId="67942823" w:rsidR="00350E54" w:rsidRDefault="00350E54">
      <w:r>
        <w:t xml:space="preserve">A landowner has heard that they-or a neighbor- is potentially in violation of ag water quality rules, they are directed to the site to find out more prior to the site visit in the letter (or </w:t>
      </w:r>
      <w:proofErr w:type="gramStart"/>
      <w:r>
        <w:t>told</w:t>
      </w:r>
      <w:proofErr w:type="gramEnd"/>
      <w:r>
        <w:t xml:space="preserve"> about it by neighbor, or in SIA open house). They </w:t>
      </w:r>
      <w:proofErr w:type="gramStart"/>
      <w:r>
        <w:t>are able to</w:t>
      </w:r>
      <w:proofErr w:type="gramEnd"/>
      <w:r>
        <w:t xml:space="preserve"> read about water quality rules and program briefly at the beginning of the page and directed to select conditions on their farm which may give them more specific information. The landowner selects their general location, and commodity type- a list is filtered showing them a list of recommended management practices which help to protect water quality, resources such as SWCD contact info and info about a grant offering available in their area. They are also able to see articles about farms in Oregon which have used one or multiple of the selected practices. The landowner clicks on the rules to learn more about them and feels a little confused by what the language is asking they do (layperson explanation of rules- article by Kevin Seifert explaining ag WQ rules). </w:t>
      </w:r>
      <w:proofErr w:type="gramStart"/>
      <w:r>
        <w:t>So</w:t>
      </w:r>
      <w:proofErr w:type="gramEnd"/>
      <w:r>
        <w:t xml:space="preserve"> they refer to the list of recommended practices. Several of the practices are already taking place on their farm but one is new to them. They click on the resource to learn more (BMP one page). They </w:t>
      </w:r>
      <w:proofErr w:type="gramStart"/>
      <w:r>
        <w:t>are able to</w:t>
      </w:r>
      <w:proofErr w:type="gramEnd"/>
      <w:r>
        <w:t xml:space="preserve"> read about how to implement, the benefit to their farm and the environment, and are directed to further resources such as funding, materials, TA partners, and NRCS documents. The landowner is equipped with enough information now to decide whether they want to adopt this practice. They call their TA provider based on the information filtered for them (contact box on the side rather than a list of resources) telling them that this TA partner may also provide funding or materials. The TA provider discusses the landowners concerns and priorities- equipped with resources and common language to help them easily communicate. The TA provider visits </w:t>
      </w:r>
      <w:proofErr w:type="gramStart"/>
      <w:r>
        <w:t>on-farm</w:t>
      </w:r>
      <w:proofErr w:type="gramEnd"/>
      <w:r>
        <w:t xml:space="preserve"> to deliver materials and sees additional resource connections to water quality that they may be able to make. The TA provider advises ODA on resources that may be missing from the </w:t>
      </w:r>
      <w:proofErr w:type="gramStart"/>
      <w:r>
        <w:t>library</w:t>
      </w:r>
      <w:proofErr w:type="gramEnd"/>
      <w:r>
        <w:t xml:space="preserve"> and they are assessed and added. The TA provider also advises ODA that they are working toward water quality improvement with the </w:t>
      </w:r>
      <w:proofErr w:type="gramStart"/>
      <w:r>
        <w:t>landowner</w:t>
      </w:r>
      <w:proofErr w:type="gramEnd"/>
      <w:r>
        <w:t xml:space="preserve"> so compliance work is commuted to landowner photo verification and case is closed.</w:t>
      </w:r>
    </w:p>
    <w:p w14:paraId="23BFB59D" w14:textId="77777777" w:rsidR="00E24624" w:rsidRDefault="00E24624"/>
    <w:p w14:paraId="7D7BBD37" w14:textId="4DEC752B" w:rsidR="00E24624" w:rsidRDefault="00E24624">
      <w:r>
        <w:t>Landowner curious about practices on their farm</w:t>
      </w:r>
    </w:p>
    <w:p w14:paraId="325E9CDD" w14:textId="53A018EF" w:rsidR="00350E54" w:rsidRDefault="00350E54">
      <w:r>
        <w:t xml:space="preserve">A landowner has heard about ag </w:t>
      </w:r>
      <w:proofErr w:type="spellStart"/>
      <w:r>
        <w:t>wq</w:t>
      </w:r>
      <w:proofErr w:type="spellEnd"/>
      <w:r>
        <w:t xml:space="preserve"> concerns from an informational event from one of our TA partners, from their child in science classes, or on the radio. They are curious about ag </w:t>
      </w:r>
      <w:proofErr w:type="spellStart"/>
      <w:r>
        <w:t>wq</w:t>
      </w:r>
      <w:proofErr w:type="spellEnd"/>
      <w:r>
        <w:t xml:space="preserve"> practices in Oregon and do some googling and come across our page (how do we make </w:t>
      </w:r>
      <w:r>
        <w:lastRenderedPageBreak/>
        <w:t xml:space="preserve">this more “findable”?). They see information at the top of the page which briefly mentions ag </w:t>
      </w:r>
      <w:proofErr w:type="spellStart"/>
      <w:r>
        <w:t>wq</w:t>
      </w:r>
      <w:proofErr w:type="spellEnd"/>
      <w:r>
        <w:t xml:space="preserve"> rules in Oregon. They scroll for a while through “library A-Z” and learn about options and resources but don’t know where to start or what to take away. They also see an option: “wondering how you can protect water quality in </w:t>
      </w:r>
      <w:proofErr w:type="gramStart"/>
      <w:r>
        <w:t>Oregon?</w:t>
      </w:r>
      <w:proofErr w:type="gramEnd"/>
      <w:r>
        <w:t xml:space="preserve"> Answer some questions and let us bring you answers from our WQ library!”. They select their area, commodity type, and take a chance on selecting benefits they may want to see on their farm. A list of resources is filtered for them including practices which may support their goals, funding and material resources available to them, and a box on the side which informs them of their local TA providers and their contact info. They scroll through a few resources and continually read about financial and other benefits of these practices so decide to call their TA provider. They </w:t>
      </w:r>
      <w:proofErr w:type="gramStart"/>
      <w:r>
        <w:t>are able to</w:t>
      </w:r>
      <w:proofErr w:type="gramEnd"/>
      <w:r>
        <w:t xml:space="preserve"> “print report”. A summary of concerns, location, commodity type, and potential practices is generated by the system. This serves as a starting point for a conservation plan that a TA provider can create for them during </w:t>
      </w:r>
      <w:proofErr w:type="gramStart"/>
      <w:r>
        <w:t>a</w:t>
      </w:r>
      <w:proofErr w:type="gramEnd"/>
      <w:r>
        <w:t xml:space="preserve"> </w:t>
      </w:r>
      <w:proofErr w:type="gramStart"/>
      <w:r>
        <w:t>SV, and</w:t>
      </w:r>
      <w:proofErr w:type="gramEnd"/>
      <w:r>
        <w:t xml:space="preserve"> helps facilitate the initial conversation.</w:t>
      </w:r>
    </w:p>
    <w:p w14:paraId="45F5AECE" w14:textId="77777777" w:rsidR="00E24624" w:rsidRDefault="00E24624"/>
    <w:p w14:paraId="19272F59" w14:textId="2EAD0271" w:rsidR="00E24624" w:rsidRDefault="00E24624">
      <w:r>
        <w:t>Technical assistant such as SWCD</w:t>
      </w:r>
    </w:p>
    <w:p w14:paraId="78835987" w14:textId="7AA8F4DA" w:rsidR="00350E54" w:rsidRDefault="3ED86EF3">
      <w:r>
        <w:t xml:space="preserve">A landowner calls a TA provider and says that they are concerned with an eroding bank on a stream on their property. It is causing trees to fall into their </w:t>
      </w:r>
      <w:proofErr w:type="gramStart"/>
      <w:r>
        <w:t>creek</w:t>
      </w:r>
      <w:proofErr w:type="gramEnd"/>
      <w:r>
        <w:t xml:space="preserve"> and they worry they will lose shade and habitat on their stream. Their chickens scratch in this area. The TA provider </w:t>
      </w:r>
      <w:proofErr w:type="gramStart"/>
      <w:r>
        <w:t>is able to</w:t>
      </w:r>
      <w:proofErr w:type="gramEnd"/>
      <w:r>
        <w:t xml:space="preserve"> walk through the selection tool while on the phone with the landowner, including inputting conversation notes about the </w:t>
      </w:r>
      <w:proofErr w:type="gramStart"/>
      <w:r>
        <w:t>landowners</w:t>
      </w:r>
      <w:proofErr w:type="gramEnd"/>
      <w:r>
        <w:t xml:space="preserve"> goals and concerns, location and commodity type. A reference box is populated with the other TA providers for the area- which is helpful because they can’t remember who the new NRCS rep is now! The filtered list includes practices which may help with the landowner’s goals and concerns, additional funding available which the TA provider may easily connect them with, and some articles about past successes. The TA provider walks the landowner through an overview of a couple of options and offers a site visit to discuss further. The landowner agrees and the TA provider chooses “print report” which contains the filter criteria of the landowner, resources filtered based on the conversation, TA providers in the area, and notes which the TA provider took during their conversation. During the site visit, the landowner wants more time to think about which practices they might adopt. </w:t>
      </w:r>
      <w:r w:rsidR="602DBC99">
        <w:t>In the report summary left with them by the SWCD, t</w:t>
      </w:r>
      <w:r>
        <w:t>hey have an easy list of practices and their benefits, contact information to follow up with TA providers, and a reminder of what they’ve already discussed. They follow up with th</w:t>
      </w:r>
      <w:r w:rsidR="70599912">
        <w:t xml:space="preserve">eir </w:t>
      </w:r>
      <w:r>
        <w:t xml:space="preserve">NRCS rep, the NRCS rep </w:t>
      </w:r>
      <w:proofErr w:type="gramStart"/>
      <w:r>
        <w:t>is able to</w:t>
      </w:r>
      <w:proofErr w:type="gramEnd"/>
      <w:r>
        <w:t xml:space="preserve"> provide them funding for the practices they want to adopt, they call the SWCD to check if there is anything else they should be offering together or funding match available. The SWCD has the report saved for their future </w:t>
      </w:r>
      <w:r>
        <w:lastRenderedPageBreak/>
        <w:t xml:space="preserve">reporting and can </w:t>
      </w:r>
      <w:proofErr w:type="gramStart"/>
      <w:r>
        <w:t>refer back</w:t>
      </w:r>
      <w:proofErr w:type="gramEnd"/>
      <w:r>
        <w:t xml:space="preserve"> to it to offer more details and </w:t>
      </w:r>
      <w:proofErr w:type="gramStart"/>
      <w:r>
        <w:t>options, and</w:t>
      </w:r>
      <w:proofErr w:type="gramEnd"/>
      <w:r>
        <w:t xml:space="preserve"> also record </w:t>
      </w:r>
      <w:r w:rsidR="5C0C3E6A">
        <w:t xml:space="preserve">in SOW report </w:t>
      </w:r>
      <w:r>
        <w:t>that practices will be implemented based on their SV.</w:t>
      </w:r>
    </w:p>
    <w:p w14:paraId="3DEA630C" w14:textId="77777777" w:rsidR="00E24624" w:rsidRDefault="00E24624"/>
    <w:p w14:paraId="1DC28663" w14:textId="30D656AE" w:rsidR="00E24624" w:rsidRDefault="00E24624">
      <w:r>
        <w:t>RWQS on compliance case</w:t>
      </w:r>
    </w:p>
    <w:p w14:paraId="3CBA4237" w14:textId="3969F8F5" w:rsidR="00350E54" w:rsidRDefault="3ED86EF3">
      <w:r>
        <w:t xml:space="preserve">A RWQS is on an initial compliance case with a landowner who is already aware that there are rules for ag wq in Oregon but is frustrated feeling like nature is working against him </w:t>
      </w:r>
      <w:proofErr w:type="gramStart"/>
      <w:r>
        <w:t>in the area of</w:t>
      </w:r>
      <w:proofErr w:type="gramEnd"/>
      <w:r>
        <w:t xml:space="preserve"> concern. The RWQS walks through the site </w:t>
      </w:r>
      <w:proofErr w:type="gramStart"/>
      <w:r>
        <w:t>visit</w:t>
      </w:r>
      <w:proofErr w:type="gramEnd"/>
      <w:r>
        <w:t xml:space="preserve"> and the landowner is concerned with being able to remember everything discussed </w:t>
      </w:r>
      <w:proofErr w:type="gramStart"/>
      <w:r>
        <w:t>in spite of</w:t>
      </w:r>
      <w:proofErr w:type="gramEnd"/>
      <w:r>
        <w:t xml:space="preserve"> being advised that there will be a follow up letter. The RWQS pulls up the library on their phone and filters by area, commodity type, and wq concern. A list of practices, resources, and articles is generated as well as a list of TA provider contacts. The RWQS uses speech-to-text to quickly fill in notes about the discussion. A report summary is generated which the RWQS can email to the landowner along with the link to the library to explore more. It also saves discussion notes which the RWQS can use for documentation. </w:t>
      </w:r>
      <w:r w:rsidR="5B0FCC3E">
        <w:t xml:space="preserve">The </w:t>
      </w:r>
      <w:r>
        <w:t>RWQS completes documentation on the case, includes the report summary, and checks it for review. A few days later, a TA provider calls and informs ODA that they are working on implementing practices and connecting the LO with resources. The compliance case is commuted to landowner photo</w:t>
      </w:r>
      <w:r w:rsidR="20F92034">
        <w:t xml:space="preserve"> </w:t>
      </w:r>
      <w:proofErr w:type="gramStart"/>
      <w:r w:rsidR="20F92034">
        <w:t>verification</w:t>
      </w:r>
      <w:r>
        <w:t>, and</w:t>
      </w:r>
      <w:proofErr w:type="gramEnd"/>
      <w:r>
        <w:t xml:space="preserve"> closed.</w:t>
      </w:r>
    </w:p>
    <w:p w14:paraId="7FD4DBA2" w14:textId="77777777" w:rsidR="00E24624" w:rsidRDefault="00E24624"/>
    <w:p w14:paraId="66520718" w14:textId="3938F87F" w:rsidR="00E24624" w:rsidRDefault="00E24624">
      <w:r>
        <w:t>Board member finding out more about TMDL</w:t>
      </w:r>
    </w:p>
    <w:p w14:paraId="08D8CC2C" w14:textId="2308E666" w:rsidR="00350E54" w:rsidRDefault="00350E54">
      <w:r>
        <w:t xml:space="preserve">A board member has heard about TMDLs but is confused on who </w:t>
      </w:r>
      <w:proofErr w:type="gramStart"/>
      <w:r>
        <w:t>is in charge of</w:t>
      </w:r>
      <w:proofErr w:type="gramEnd"/>
      <w:r>
        <w:t xml:space="preserve"> what, and what can be done about them, but they keep being asked about them by locals who know they serve on the board. They decide to find out more about the TMDL and are directed to the library from the ODA ag </w:t>
      </w:r>
      <w:proofErr w:type="spellStart"/>
      <w:r>
        <w:t>wq</w:t>
      </w:r>
      <w:proofErr w:type="spellEnd"/>
      <w:r>
        <w:t xml:space="preserve"> TMDL landing page. They select their area, and TMDLs, which generates a drop-down list of TMDLs in the state or in their area. They select all TMDLs they want to learn </w:t>
      </w:r>
      <w:proofErr w:type="gramStart"/>
      <w:r>
        <w:t>about</w:t>
      </w:r>
      <w:proofErr w:type="gramEnd"/>
      <w:r>
        <w:t xml:space="preserve"> and a list of resources is generated for them, as well as a list of contacts for the area. They read a bit about the TMDL, see that there is a list of recommended practices, articles, and info sheets about the TMDL. They give a brief overview to the board at their next meeting, and they all ask ODA to provide a brief presentation for their next meeting. With the report summary, ODA personnel </w:t>
      </w:r>
      <w:proofErr w:type="gramStart"/>
      <w:r>
        <w:t>are able to</w:t>
      </w:r>
      <w:proofErr w:type="gramEnd"/>
      <w:r>
        <w:t xml:space="preserve"> see what the board already knows and efficiently provide further context, so that when they meet with the board, they are not giving an overview of initial information, they are available for questions and discussion. Through the discussion with the board, it is realized that there are some resources which are not advertised on the library page, that there are resource gaps in the area. The board elects to bridge these gaps like monitoring, programs, </w:t>
      </w:r>
      <w:r>
        <w:lastRenderedPageBreak/>
        <w:t>or outreach and education. An MO for the management area is developed based on this discussion and included in the adaptively managed implementation plan. An article about the board prioritizing the TMDL and bringing new resources to the area is circulated and included in the library.</w:t>
      </w:r>
    </w:p>
    <w:p w14:paraId="4DCD2F52" w14:textId="77777777" w:rsidR="00DE117D" w:rsidRDefault="00DE117D"/>
    <w:p w14:paraId="54170FB3" w14:textId="4CBE6543" w:rsidR="00DE117D" w:rsidRDefault="00DE117D">
      <w:r>
        <w:t xml:space="preserve">ODA is </w:t>
      </w:r>
      <w:r w:rsidR="00431C02">
        <w:t xml:space="preserve">required to keep a list of recommended management practices for each TMDL, which is to be published in the TMDL Implementation Plan which is updated every 5 years.  ODA prioritizes the Ag Practices based on results desired.  ODA and conservation partners can utilize this prioritization in funding applications to get higher priority for implementation funding.  This list is available by selecting the TMDL in my area and selecting recommended Ag Practices. </w:t>
      </w:r>
    </w:p>
    <w:sectPr w:rsidR="00DE11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624"/>
    <w:rsid w:val="00350E54"/>
    <w:rsid w:val="003F6C10"/>
    <w:rsid w:val="00431C02"/>
    <w:rsid w:val="005C5DBC"/>
    <w:rsid w:val="0080248E"/>
    <w:rsid w:val="00904AD1"/>
    <w:rsid w:val="00B03E10"/>
    <w:rsid w:val="00C56EEB"/>
    <w:rsid w:val="00D13FC1"/>
    <w:rsid w:val="00DE117D"/>
    <w:rsid w:val="00E24624"/>
    <w:rsid w:val="00E63E00"/>
    <w:rsid w:val="0994A1DA"/>
    <w:rsid w:val="1C9F90B0"/>
    <w:rsid w:val="20F92034"/>
    <w:rsid w:val="3ED86EF3"/>
    <w:rsid w:val="5B0FCC3E"/>
    <w:rsid w:val="5C0C3E6A"/>
    <w:rsid w:val="602DBC99"/>
    <w:rsid w:val="63630A03"/>
    <w:rsid w:val="70599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7AA758"/>
  <w15:chartTrackingRefBased/>
  <w15:docId w15:val="{FCE95E58-8D97-494E-B6D6-FE33083E0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6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46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46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46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46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46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6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6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6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6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46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46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46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46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4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624"/>
    <w:rPr>
      <w:rFonts w:eastAsiaTheme="majorEastAsia" w:cstheme="majorBidi"/>
      <w:color w:val="272727" w:themeColor="text1" w:themeTint="D8"/>
    </w:rPr>
  </w:style>
  <w:style w:type="paragraph" w:styleId="Title">
    <w:name w:val="Title"/>
    <w:basedOn w:val="Normal"/>
    <w:next w:val="Normal"/>
    <w:link w:val="TitleChar"/>
    <w:uiPriority w:val="10"/>
    <w:qFormat/>
    <w:rsid w:val="00E24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624"/>
    <w:pPr>
      <w:spacing w:before="160"/>
      <w:jc w:val="center"/>
    </w:pPr>
    <w:rPr>
      <w:i/>
      <w:iCs/>
      <w:color w:val="404040" w:themeColor="text1" w:themeTint="BF"/>
    </w:rPr>
  </w:style>
  <w:style w:type="character" w:customStyle="1" w:styleId="QuoteChar">
    <w:name w:val="Quote Char"/>
    <w:basedOn w:val="DefaultParagraphFont"/>
    <w:link w:val="Quote"/>
    <w:uiPriority w:val="29"/>
    <w:rsid w:val="00E24624"/>
    <w:rPr>
      <w:i/>
      <w:iCs/>
      <w:color w:val="404040" w:themeColor="text1" w:themeTint="BF"/>
    </w:rPr>
  </w:style>
  <w:style w:type="paragraph" w:styleId="ListParagraph">
    <w:name w:val="List Paragraph"/>
    <w:basedOn w:val="Normal"/>
    <w:uiPriority w:val="34"/>
    <w:qFormat/>
    <w:rsid w:val="00E24624"/>
    <w:pPr>
      <w:ind w:left="720"/>
      <w:contextualSpacing/>
    </w:pPr>
  </w:style>
  <w:style w:type="character" w:styleId="IntenseEmphasis">
    <w:name w:val="Intense Emphasis"/>
    <w:basedOn w:val="DefaultParagraphFont"/>
    <w:uiPriority w:val="21"/>
    <w:qFormat/>
    <w:rsid w:val="00E24624"/>
    <w:rPr>
      <w:i/>
      <w:iCs/>
      <w:color w:val="0F4761" w:themeColor="accent1" w:themeShade="BF"/>
    </w:rPr>
  </w:style>
  <w:style w:type="paragraph" w:styleId="IntenseQuote">
    <w:name w:val="Intense Quote"/>
    <w:basedOn w:val="Normal"/>
    <w:next w:val="Normal"/>
    <w:link w:val="IntenseQuoteChar"/>
    <w:uiPriority w:val="30"/>
    <w:qFormat/>
    <w:rsid w:val="00E246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4624"/>
    <w:rPr>
      <w:i/>
      <w:iCs/>
      <w:color w:val="0F4761" w:themeColor="accent1" w:themeShade="BF"/>
    </w:rPr>
  </w:style>
  <w:style w:type="character" w:styleId="IntenseReference">
    <w:name w:val="Intense Reference"/>
    <w:basedOn w:val="DefaultParagraphFont"/>
    <w:uiPriority w:val="32"/>
    <w:qFormat/>
    <w:rsid w:val="00E246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9956C0CF648D41A939344CD0ADFDA5" ma:contentTypeVersion="17" ma:contentTypeDescription="Create a new document." ma:contentTypeScope="" ma:versionID="c2f26044937f609cf643285c014ce108">
  <xsd:schema xmlns:xsd="http://www.w3.org/2001/XMLSchema" xmlns:xs="http://www.w3.org/2001/XMLSchema" xmlns:p="http://schemas.microsoft.com/office/2006/metadata/properties" xmlns:ns2="a862f229-ecb3-4e4f-81ee-c444dad3699e" xmlns:ns3="1030dd62-3845-4792-9e56-07c1a645cf3a" targetNamespace="http://schemas.microsoft.com/office/2006/metadata/properties" ma:root="true" ma:fieldsID="842812d1f1bf1f5c119dfd4d8258b520" ns2:_="" ns3:_="">
    <xsd:import namespace="a862f229-ecb3-4e4f-81ee-c444dad3699e"/>
    <xsd:import namespace="1030dd62-3845-4792-9e56-07c1a645cf3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62f229-ecb3-4e4f-81ee-c444dad369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bc13bb2-4050-4808-9050-3ebd68b2d7b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030dd62-3845-4792-9e56-07c1a645cf3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7affa967-f135-4377-9db3-eace9cc3c47b}" ma:internalName="TaxCatchAll" ma:showField="CatchAllData" ma:web="1030dd62-3845-4792-9e56-07c1a645cf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030dd62-3845-4792-9e56-07c1a645cf3a" xsi:nil="true"/>
    <lcf76f155ced4ddcb4097134ff3c332f xmlns="a862f229-ecb3-4e4f-81ee-c444dad3699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8643B6-FF25-4606-B9A7-76A707C8F2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62f229-ecb3-4e4f-81ee-c444dad3699e"/>
    <ds:schemaRef ds:uri="1030dd62-3845-4792-9e56-07c1a645cf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DDE09B-0827-4DB4-B225-97BFC1E5A07E}">
  <ds:schemaRefs>
    <ds:schemaRef ds:uri="http://schemas.microsoft.com/office/2006/metadata/properties"/>
    <ds:schemaRef ds:uri="http://schemas.microsoft.com/office/infopath/2007/PartnerControls"/>
    <ds:schemaRef ds:uri="1030dd62-3845-4792-9e56-07c1a645cf3a"/>
    <ds:schemaRef ds:uri="a862f229-ecb3-4e4f-81ee-c444dad3699e"/>
  </ds:schemaRefs>
</ds:datastoreItem>
</file>

<file path=customXml/itemProps3.xml><?xml version="1.0" encoding="utf-8"?>
<ds:datastoreItem xmlns:ds="http://schemas.openxmlformats.org/officeDocument/2006/customXml" ds:itemID="{3E03636F-85C2-4886-A6D9-4A0DB669DDB7}">
  <ds:schemaRefs>
    <ds:schemaRef ds:uri="http://schemas.microsoft.com/sharepoint/v3/contenttype/forms"/>
  </ds:schemaRefs>
</ds:datastoreItem>
</file>

<file path=docMetadata/LabelInfo.xml><?xml version="1.0" encoding="utf-8"?>
<clbl:labelList xmlns:clbl="http://schemas.microsoft.com/office/2020/mipLabelMetadata">
  <clbl:label id="{db79d039-fcd0-4045-9c78-4cfb2eba0904}" enabled="1" method="Privileged" siteId="{aa3f6932-fa7c-47b4-a0ce-a598cad161cf}"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4</Pages>
  <Words>1584</Words>
  <Characters>7621</Characters>
  <Application>Microsoft Office Word</Application>
  <DocSecurity>0</DocSecurity>
  <Lines>117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JASPER Olivia * ODA</dc:creator>
  <cp:keywords/>
  <dc:description/>
  <cp:lastModifiedBy>HIBBS Rob * ODA</cp:lastModifiedBy>
  <cp:revision>3</cp:revision>
  <dcterms:created xsi:type="dcterms:W3CDTF">2026-02-25T19:34:00Z</dcterms:created>
  <dcterms:modified xsi:type="dcterms:W3CDTF">2026-02-25T22:57:00Z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0x010100089956C0CF648D41A939344CD0ADFDA5</vt:lpwstr>
  </property>
  <property fmtid="{D5CDD505-2E9C-101B-9397-08002B2CF9AE}" pid="3" name="MediaServiceImageTags">
    <vt:lpwstr/>
  </property>
</Properties>
</file>