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FACEC" w14:textId="1CDA6B45" w:rsidR="006C4AAD" w:rsidRPr="00D4005D" w:rsidRDefault="00FC5B50" w:rsidP="006C4AAD">
      <w:pPr>
        <w:jc w:val="center"/>
        <w:rPr>
          <w:rFonts w:ascii="Times New Roman" w:eastAsia="Times New Roman" w:hAnsi="Times New Roman" w:cs="Times New Roman"/>
          <w:b/>
          <w:bCs/>
          <w:color w:val="2F5496" w:themeColor="accent1" w:themeShade="BF"/>
          <w:kern w:val="0"/>
          <w:sz w:val="36"/>
          <w:szCs w:val="36"/>
          <w:lang w:eastAsia="en-IN" w:bidi="ar-SA"/>
          <w14:ligatures w14:val="none"/>
        </w:rPr>
      </w:pPr>
      <w:bookmarkStart w:id="0" w:name="_Hlk130496522"/>
      <w:r w:rsidRPr="00D4005D">
        <w:rPr>
          <w:rFonts w:ascii="Times New Roman" w:eastAsia="Times New Roman" w:hAnsi="Times New Roman" w:cs="Times New Roman"/>
          <w:b/>
          <w:bCs/>
          <w:color w:val="2F5496" w:themeColor="accent1" w:themeShade="BF"/>
          <w:kern w:val="0"/>
          <w:sz w:val="36"/>
          <w:szCs w:val="36"/>
          <w:lang w:eastAsia="en-IN" w:bidi="ar-SA"/>
          <w14:ligatures w14:val="none"/>
        </w:rPr>
        <w:t>“</w:t>
      </w:r>
      <w:r w:rsidR="006C4AAD" w:rsidRPr="00D4005D">
        <w:rPr>
          <w:rFonts w:ascii="Times New Roman" w:eastAsia="Times New Roman" w:hAnsi="Times New Roman" w:cs="Times New Roman"/>
          <w:b/>
          <w:bCs/>
          <w:color w:val="2F5496" w:themeColor="accent1" w:themeShade="BF"/>
          <w:kern w:val="0"/>
          <w:sz w:val="36"/>
          <w:szCs w:val="36"/>
          <w:lang w:eastAsia="en-IN" w:bidi="ar-SA"/>
          <w14:ligatures w14:val="none"/>
        </w:rPr>
        <w:t>AI in Meteorology and Earth Science</w:t>
      </w:r>
      <w:r w:rsidRPr="00D4005D">
        <w:rPr>
          <w:rFonts w:ascii="Times New Roman" w:eastAsia="Times New Roman" w:hAnsi="Times New Roman" w:cs="Times New Roman"/>
          <w:b/>
          <w:bCs/>
          <w:color w:val="2F5496" w:themeColor="accent1" w:themeShade="BF"/>
          <w:kern w:val="0"/>
          <w:sz w:val="36"/>
          <w:szCs w:val="36"/>
          <w:lang w:eastAsia="en-IN" w:bidi="ar-SA"/>
          <w14:ligatures w14:val="none"/>
        </w:rPr>
        <w:t>”</w:t>
      </w:r>
    </w:p>
    <w:p w14:paraId="02520126" w14:textId="6075A4CD" w:rsidR="00FC5B50" w:rsidRPr="00D4005D" w:rsidRDefault="00FC5B50" w:rsidP="006C4AAD">
      <w:pPr>
        <w:jc w:val="center"/>
        <w:rPr>
          <w:rFonts w:ascii="Times New Roman" w:eastAsia="Times New Roman" w:hAnsi="Times New Roman" w:cs="Times New Roman"/>
          <w:b/>
          <w:bCs/>
          <w:kern w:val="0"/>
          <w:sz w:val="24"/>
          <w:szCs w:val="24"/>
          <w:u w:val="single"/>
          <w:lang w:eastAsia="en-IN" w:bidi="ar-SA"/>
          <w14:ligatures w14:val="none"/>
        </w:rPr>
      </w:pPr>
      <w:r w:rsidRPr="00D4005D">
        <w:rPr>
          <w:rFonts w:ascii="Times New Roman" w:eastAsia="Times New Roman" w:hAnsi="Times New Roman" w:cs="Times New Roman"/>
          <w:b/>
          <w:bCs/>
          <w:kern w:val="0"/>
          <w:sz w:val="24"/>
          <w:szCs w:val="24"/>
          <w:u w:val="single"/>
          <w:lang w:eastAsia="en-IN" w:bidi="ar-SA"/>
          <w14:ligatures w14:val="none"/>
        </w:rPr>
        <w:t>SUBMITTED BY:</w:t>
      </w:r>
    </w:p>
    <w:p w14:paraId="1C402710" w14:textId="36B73C88" w:rsidR="00FC5B50" w:rsidRPr="00D4005D" w:rsidRDefault="00FC5B50" w:rsidP="00FC5B50">
      <w:pPr>
        <w:jc w:val="center"/>
        <w:rPr>
          <w:rFonts w:ascii="Times New Roman" w:eastAsia="Times New Roman" w:hAnsi="Times New Roman" w:cs="Times New Roman"/>
          <w:kern w:val="0"/>
          <w:sz w:val="24"/>
          <w:szCs w:val="24"/>
          <w:lang w:eastAsia="en-IN" w:bidi="ar-SA"/>
          <w14:ligatures w14:val="none"/>
        </w:rPr>
      </w:pPr>
      <w:r w:rsidRPr="00D4005D">
        <w:rPr>
          <w:rFonts w:ascii="Times New Roman" w:eastAsia="Times New Roman" w:hAnsi="Times New Roman" w:cs="Times New Roman"/>
          <w:kern w:val="0"/>
          <w:sz w:val="24"/>
          <w:szCs w:val="24"/>
          <w:lang w:eastAsia="en-IN" w:bidi="ar-SA"/>
          <w14:ligatures w14:val="none"/>
        </w:rPr>
        <w:t>Agamnoor Singh</w:t>
      </w:r>
    </w:p>
    <w:p w14:paraId="287B1EA1" w14:textId="22200E54" w:rsidR="00FC5B50" w:rsidRPr="00D4005D" w:rsidRDefault="00FC5B50" w:rsidP="00FC5B50">
      <w:pPr>
        <w:jc w:val="center"/>
        <w:rPr>
          <w:rFonts w:ascii="Times New Roman" w:eastAsia="Times New Roman" w:hAnsi="Times New Roman" w:cs="Times New Roman"/>
          <w:kern w:val="0"/>
          <w:sz w:val="24"/>
          <w:szCs w:val="24"/>
          <w:lang w:eastAsia="en-IN" w:bidi="ar-SA"/>
          <w14:ligatures w14:val="none"/>
        </w:rPr>
      </w:pPr>
      <w:r w:rsidRPr="00D4005D">
        <w:rPr>
          <w:rFonts w:ascii="Times New Roman" w:eastAsia="Times New Roman" w:hAnsi="Times New Roman" w:cs="Times New Roman"/>
          <w:kern w:val="0"/>
          <w:sz w:val="24"/>
          <w:szCs w:val="24"/>
          <w:lang w:eastAsia="en-IN" w:bidi="ar-SA"/>
          <w14:ligatures w14:val="none"/>
        </w:rPr>
        <w:t>Reg No. 12105832</w:t>
      </w:r>
    </w:p>
    <w:p w14:paraId="367E1E77" w14:textId="2E9A0D17" w:rsidR="00FC5B50" w:rsidRPr="00D4005D" w:rsidRDefault="00FC5B50" w:rsidP="00FC5B50">
      <w:pPr>
        <w:jc w:val="center"/>
        <w:rPr>
          <w:rFonts w:ascii="Times New Roman" w:eastAsia="Times New Roman" w:hAnsi="Times New Roman" w:cs="Times New Roman"/>
          <w:kern w:val="0"/>
          <w:sz w:val="24"/>
          <w:szCs w:val="24"/>
          <w:lang w:eastAsia="en-IN" w:bidi="ar-SA"/>
          <w14:ligatures w14:val="none"/>
        </w:rPr>
      </w:pPr>
      <w:r w:rsidRPr="00D4005D">
        <w:rPr>
          <w:rFonts w:ascii="Times New Roman" w:eastAsia="Times New Roman" w:hAnsi="Times New Roman" w:cs="Times New Roman"/>
          <w:kern w:val="0"/>
          <w:sz w:val="24"/>
          <w:szCs w:val="24"/>
          <w:lang w:eastAsia="en-IN" w:bidi="ar-SA"/>
          <w14:ligatures w14:val="none"/>
        </w:rPr>
        <w:t>RK21ANB66</w:t>
      </w:r>
    </w:p>
    <w:p w14:paraId="24A94891" w14:textId="77777777" w:rsidR="00FC5B50" w:rsidRPr="00D4005D" w:rsidRDefault="00FC5B50" w:rsidP="006C4AAD">
      <w:pPr>
        <w:jc w:val="center"/>
        <w:rPr>
          <w:rFonts w:ascii="Times New Roman" w:hAnsi="Times New Roman" w:cs="Times New Roman"/>
          <w:color w:val="111B21"/>
          <w:sz w:val="24"/>
          <w:szCs w:val="24"/>
          <w:shd w:val="clear" w:color="auto" w:fill="FFFFFF"/>
        </w:rPr>
      </w:pPr>
    </w:p>
    <w:p w14:paraId="21FC5601" w14:textId="0D51ACA2" w:rsidR="00FC5B50" w:rsidRPr="00D4005D" w:rsidRDefault="00FC5B50" w:rsidP="006C4AAD">
      <w:pPr>
        <w:jc w:val="center"/>
        <w:rPr>
          <w:rFonts w:ascii="Times New Roman" w:hAnsi="Times New Roman" w:cs="Times New Roman"/>
          <w:color w:val="111B21"/>
          <w:sz w:val="24"/>
          <w:szCs w:val="24"/>
          <w:shd w:val="clear" w:color="auto" w:fill="FFFFFF"/>
        </w:rPr>
      </w:pPr>
      <w:r w:rsidRPr="00D4005D">
        <w:rPr>
          <w:rFonts w:ascii="Times New Roman" w:hAnsi="Times New Roman" w:cs="Times New Roman"/>
          <w:color w:val="111B21"/>
          <w:sz w:val="24"/>
          <w:szCs w:val="24"/>
          <w:shd w:val="clear" w:color="auto" w:fill="FFFFFF"/>
        </w:rPr>
        <w:t xml:space="preserve">Rajit Kumar </w:t>
      </w:r>
    </w:p>
    <w:p w14:paraId="6624AEF2" w14:textId="77777777" w:rsidR="00FC5B50" w:rsidRPr="00D4005D" w:rsidRDefault="00FC5B50" w:rsidP="006C4AAD">
      <w:pPr>
        <w:jc w:val="center"/>
        <w:rPr>
          <w:rFonts w:ascii="Times New Roman" w:hAnsi="Times New Roman" w:cs="Times New Roman"/>
          <w:color w:val="111B21"/>
          <w:sz w:val="24"/>
          <w:szCs w:val="24"/>
          <w:shd w:val="clear" w:color="auto" w:fill="FFFFFF"/>
        </w:rPr>
      </w:pPr>
      <w:r w:rsidRPr="00D4005D">
        <w:rPr>
          <w:rFonts w:ascii="Times New Roman" w:hAnsi="Times New Roman" w:cs="Times New Roman"/>
          <w:color w:val="111B21"/>
          <w:sz w:val="24"/>
          <w:szCs w:val="24"/>
          <w:shd w:val="clear" w:color="auto" w:fill="FFFFFF"/>
        </w:rPr>
        <w:t xml:space="preserve">Reg no.12107629 </w:t>
      </w:r>
    </w:p>
    <w:p w14:paraId="526B0B68" w14:textId="0B5B53B3" w:rsidR="00937ACD" w:rsidRDefault="00FC5B50" w:rsidP="006C4AAD">
      <w:pPr>
        <w:jc w:val="center"/>
        <w:rPr>
          <w:rFonts w:ascii="Times New Roman" w:hAnsi="Times New Roman" w:cs="Times New Roman"/>
          <w:color w:val="111B21"/>
          <w:sz w:val="24"/>
          <w:szCs w:val="24"/>
          <w:shd w:val="clear" w:color="auto" w:fill="FFFFFF"/>
        </w:rPr>
      </w:pPr>
      <w:r w:rsidRPr="00D4005D">
        <w:rPr>
          <w:rFonts w:ascii="Times New Roman" w:hAnsi="Times New Roman" w:cs="Times New Roman"/>
          <w:color w:val="111B21"/>
          <w:sz w:val="24"/>
          <w:szCs w:val="24"/>
          <w:shd w:val="clear" w:color="auto" w:fill="FFFFFF"/>
        </w:rPr>
        <w:t>RK21ANA18</w:t>
      </w:r>
    </w:p>
    <w:p w14:paraId="4673C084" w14:textId="77777777" w:rsidR="00221193" w:rsidRDefault="00221193" w:rsidP="006C4AAD">
      <w:pPr>
        <w:jc w:val="center"/>
        <w:rPr>
          <w:rFonts w:ascii="Times New Roman" w:hAnsi="Times New Roman" w:cs="Times New Roman"/>
          <w:color w:val="111B21"/>
          <w:sz w:val="24"/>
          <w:szCs w:val="24"/>
          <w:shd w:val="clear" w:color="auto" w:fill="FFFFFF"/>
        </w:rPr>
      </w:pPr>
    </w:p>
    <w:p w14:paraId="7D9158C7" w14:textId="51F29CA7" w:rsidR="00221193" w:rsidRDefault="00221193" w:rsidP="006C4AAD">
      <w:pPr>
        <w:jc w:val="center"/>
        <w:rPr>
          <w:rFonts w:ascii="Times New Roman" w:hAnsi="Times New Roman" w:cs="Times New Roman"/>
          <w:color w:val="111B21"/>
          <w:sz w:val="24"/>
          <w:szCs w:val="24"/>
          <w:shd w:val="clear" w:color="auto" w:fill="FFFFFF"/>
        </w:rPr>
      </w:pPr>
      <w:r>
        <w:rPr>
          <w:rFonts w:ascii="Times New Roman" w:hAnsi="Times New Roman" w:cs="Times New Roman"/>
          <w:color w:val="111B21"/>
          <w:sz w:val="24"/>
          <w:szCs w:val="24"/>
          <w:shd w:val="clear" w:color="auto" w:fill="FFFFFF"/>
        </w:rPr>
        <w:t>Mohammed Nidal KK</w:t>
      </w:r>
    </w:p>
    <w:p w14:paraId="72C7C67F" w14:textId="79C37E27" w:rsidR="00221193" w:rsidRDefault="00221193" w:rsidP="006C4AAD">
      <w:pPr>
        <w:jc w:val="center"/>
        <w:rPr>
          <w:rFonts w:ascii="Times New Roman" w:hAnsi="Times New Roman" w:cs="Times New Roman"/>
          <w:color w:val="111B21"/>
          <w:sz w:val="24"/>
          <w:szCs w:val="24"/>
          <w:shd w:val="clear" w:color="auto" w:fill="FFFFFF"/>
        </w:rPr>
      </w:pPr>
      <w:r>
        <w:rPr>
          <w:rFonts w:ascii="Times New Roman" w:hAnsi="Times New Roman" w:cs="Times New Roman"/>
          <w:color w:val="111B21"/>
          <w:sz w:val="24"/>
          <w:szCs w:val="24"/>
          <w:shd w:val="clear" w:color="auto" w:fill="FFFFFF"/>
        </w:rPr>
        <w:t>Reg No. 12110986</w:t>
      </w:r>
    </w:p>
    <w:p w14:paraId="2B318F29" w14:textId="5AAC0EF1" w:rsidR="00221193" w:rsidRPr="00D4005D" w:rsidRDefault="00221193" w:rsidP="006C4AAD">
      <w:pPr>
        <w:jc w:val="center"/>
        <w:rPr>
          <w:rFonts w:ascii="Times New Roman" w:hAnsi="Times New Roman" w:cs="Times New Roman"/>
          <w:color w:val="111B21"/>
          <w:sz w:val="24"/>
          <w:szCs w:val="24"/>
          <w:shd w:val="clear" w:color="auto" w:fill="FFFFFF"/>
        </w:rPr>
      </w:pPr>
      <w:r>
        <w:rPr>
          <w:rFonts w:ascii="Times New Roman" w:hAnsi="Times New Roman" w:cs="Times New Roman"/>
          <w:color w:val="111B21"/>
          <w:sz w:val="24"/>
          <w:szCs w:val="24"/>
          <w:shd w:val="clear" w:color="auto" w:fill="FFFFFF"/>
        </w:rPr>
        <w:t>RK21ANB42</w:t>
      </w:r>
    </w:p>
    <w:bookmarkEnd w:id="0"/>
    <w:p w14:paraId="49A69F31" w14:textId="1835F83D" w:rsidR="00FC5B50" w:rsidRPr="00D4005D" w:rsidRDefault="00FC5B50" w:rsidP="006C4AAD">
      <w:pPr>
        <w:jc w:val="center"/>
        <w:rPr>
          <w:rFonts w:ascii="Times New Roman" w:hAnsi="Times New Roman" w:cs="Times New Roman"/>
          <w:color w:val="111B21"/>
          <w:sz w:val="24"/>
          <w:szCs w:val="24"/>
          <w:shd w:val="clear" w:color="auto" w:fill="FFFFFF"/>
        </w:rPr>
      </w:pPr>
    </w:p>
    <w:p w14:paraId="6981030A" w14:textId="77777777" w:rsidR="00FC5B50" w:rsidRPr="00D4005D" w:rsidRDefault="00FC5B50" w:rsidP="006C4AAD">
      <w:pPr>
        <w:jc w:val="center"/>
        <w:rPr>
          <w:rFonts w:ascii="Times New Roman" w:hAnsi="Times New Roman" w:cs="Times New Roman"/>
          <w:color w:val="111B21"/>
          <w:sz w:val="24"/>
          <w:szCs w:val="24"/>
          <w:shd w:val="clear" w:color="auto" w:fill="FFFFFF"/>
        </w:rPr>
      </w:pPr>
    </w:p>
    <w:p w14:paraId="679C4868" w14:textId="77777777" w:rsidR="00FC5B50" w:rsidRPr="00D4005D" w:rsidRDefault="00FC5B50" w:rsidP="006C4AAD">
      <w:pPr>
        <w:jc w:val="center"/>
        <w:rPr>
          <w:rFonts w:ascii="Times New Roman" w:eastAsia="Times New Roman" w:hAnsi="Times New Roman" w:cs="Times New Roman"/>
          <w:b/>
          <w:bCs/>
          <w:color w:val="000000"/>
          <w:kern w:val="0"/>
          <w:sz w:val="24"/>
          <w:szCs w:val="24"/>
          <w:u w:val="single"/>
          <w:lang w:eastAsia="en-IN" w:bidi="ar-SA"/>
          <w14:ligatures w14:val="none"/>
        </w:rPr>
      </w:pPr>
    </w:p>
    <w:p w14:paraId="773EDD9A" w14:textId="12B8FA5B" w:rsidR="00937ACD" w:rsidRPr="00D4005D" w:rsidRDefault="00937ACD" w:rsidP="006C4AAD">
      <w:pPr>
        <w:jc w:val="center"/>
        <w:rPr>
          <w:rFonts w:ascii="Times New Roman" w:eastAsia="Times New Roman" w:hAnsi="Times New Roman" w:cs="Times New Roman"/>
          <w:b/>
          <w:bCs/>
          <w:color w:val="000000"/>
          <w:kern w:val="0"/>
          <w:sz w:val="36"/>
          <w:szCs w:val="36"/>
          <w:u w:val="single"/>
          <w:lang w:eastAsia="en-IN" w:bidi="ar-SA"/>
          <w14:ligatures w14:val="none"/>
        </w:rPr>
      </w:pPr>
      <w:r w:rsidRPr="00D4005D">
        <w:rPr>
          <w:rFonts w:ascii="Times New Roman" w:hAnsi="Times New Roman" w:cs="Times New Roman"/>
          <w:noProof/>
        </w:rPr>
        <w:drawing>
          <wp:inline distT="0" distB="0" distL="0" distR="0" wp14:anchorId="07574A1C" wp14:editId="7AAC6EB8">
            <wp:extent cx="461899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8990" cy="1866900"/>
                    </a:xfrm>
                    <a:prstGeom prst="rect">
                      <a:avLst/>
                    </a:prstGeom>
                    <a:noFill/>
                    <a:ln>
                      <a:noFill/>
                    </a:ln>
                  </pic:spPr>
                </pic:pic>
              </a:graphicData>
            </a:graphic>
          </wp:inline>
        </w:drawing>
      </w:r>
    </w:p>
    <w:p w14:paraId="51A9C841" w14:textId="77777777" w:rsidR="006C4AAD" w:rsidRPr="00D4005D" w:rsidRDefault="006C4AAD">
      <w:pPr>
        <w:rPr>
          <w:rFonts w:ascii="Times New Roman" w:hAnsi="Times New Roman" w:cs="Times New Roman"/>
          <w:b/>
          <w:bCs/>
          <w:sz w:val="36"/>
          <w:szCs w:val="36"/>
          <w:lang w:val="en-US"/>
        </w:rPr>
      </w:pPr>
    </w:p>
    <w:p w14:paraId="657E7779" w14:textId="77777777" w:rsidR="006C4AAD" w:rsidRPr="00D4005D" w:rsidRDefault="006C4AAD" w:rsidP="006C4AAD">
      <w:pPr>
        <w:pBdr>
          <w:bottom w:val="single" w:sz="12" w:space="6" w:color="D5D5D5"/>
        </w:pBdr>
        <w:spacing w:after="0" w:line="240" w:lineRule="auto"/>
        <w:outlineLvl w:val="1"/>
        <w:rPr>
          <w:rFonts w:ascii="Times New Roman" w:eastAsia="Times New Roman" w:hAnsi="Times New Roman" w:cs="Times New Roman"/>
          <w:b/>
          <w:bCs/>
          <w:kern w:val="0"/>
          <w:sz w:val="36"/>
          <w:szCs w:val="36"/>
          <w:lang w:eastAsia="en-IN" w:bidi="ar-SA"/>
          <w14:ligatures w14:val="none"/>
        </w:rPr>
      </w:pPr>
      <w:r w:rsidRPr="00D4005D">
        <w:rPr>
          <w:rFonts w:ascii="Times New Roman" w:eastAsia="Times New Roman" w:hAnsi="Times New Roman" w:cs="Times New Roman"/>
          <w:b/>
          <w:bCs/>
          <w:kern w:val="0"/>
          <w:sz w:val="36"/>
          <w:szCs w:val="36"/>
          <w:lang w:eastAsia="en-IN" w:bidi="ar-SA"/>
          <w14:ligatures w14:val="none"/>
        </w:rPr>
        <w:t>Abstract</w:t>
      </w:r>
    </w:p>
    <w:p w14:paraId="3FBA5092" w14:textId="77777777" w:rsidR="006C4AAD" w:rsidRPr="00D4005D" w:rsidRDefault="006C4AAD" w:rsidP="006C4AAD">
      <w:pPr>
        <w:spacing w:after="360" w:line="240" w:lineRule="auto"/>
        <w:rPr>
          <w:rFonts w:ascii="Times New Roman" w:eastAsia="Times New Roman" w:hAnsi="Times New Roman" w:cs="Times New Roman"/>
          <w:kern w:val="0"/>
          <w:sz w:val="24"/>
          <w:szCs w:val="24"/>
          <w:lang w:eastAsia="en-IN" w:bidi="ar-SA"/>
          <w14:ligatures w14:val="none"/>
        </w:rPr>
      </w:pPr>
      <w:r w:rsidRPr="00D4005D">
        <w:rPr>
          <w:rFonts w:ascii="Times New Roman" w:eastAsia="Times New Roman" w:hAnsi="Times New Roman" w:cs="Times New Roman"/>
          <w:kern w:val="0"/>
          <w:sz w:val="24"/>
          <w:szCs w:val="24"/>
          <w:lang w:eastAsia="en-IN" w:bidi="ar-SA"/>
          <w14:ligatures w14:val="none"/>
        </w:rPr>
        <w:t xml:space="preserve">In recent years, artificial intelligence and specifically artificial neural networks (NNs) have shown great success in solving complex, nonlinear problems in earth sciences. Despite their success, the strategies upon which NNs make decisions are hard to decipher, which prevents scientists from interpreting and building trust in the NN predictions; a highly desired and necessary condition for the further use and exploitation of NNs’ potential. Thus, a variety of methods have been recently introduced with the aim of attributing the NN predictions to specific features in the input space and explaining their strategy. The so-called eXplainable </w:t>
      </w:r>
      <w:r w:rsidRPr="00D4005D">
        <w:rPr>
          <w:rFonts w:ascii="Times New Roman" w:eastAsia="Times New Roman" w:hAnsi="Times New Roman" w:cs="Times New Roman"/>
          <w:kern w:val="0"/>
          <w:sz w:val="24"/>
          <w:szCs w:val="24"/>
          <w:lang w:eastAsia="en-IN" w:bidi="ar-SA"/>
          <w14:ligatures w14:val="none"/>
        </w:rPr>
        <w:lastRenderedPageBreak/>
        <w:t>Artificial Intelligence (XAI) is already seeing great application in a plethora of fields, offering promising results and insights about the decision strategies of NNs. Here, we provide an overview of the most recent work from our group, applying XAI to meteorology and climate science. Specifically, we present results from satellite applications that include weather phenomena identification and image to image translation, applications to climate prediction at subseasonal to decadal timescales, and detection of forced climatic changes and anthropogenic footprint. We also summarize a recently introduced synthetic benchmark dataset that can be used to improve our understanding of different XAI methods and introduce objectivity into the assessment of their fidelity. With this overview, we aim to illustrate how gaining accurate insights about the NN decision strategy can help climate scientists and meteorologists improve practices in fine-tuning model architectures, calibrating trust in climate and weather prediction and attribution, and learning new science.</w:t>
      </w:r>
    </w:p>
    <w:p w14:paraId="69B1D54A" w14:textId="77777777" w:rsidR="006C4AAD" w:rsidRPr="00D4005D" w:rsidRDefault="006C4AAD" w:rsidP="006C4AAD">
      <w:pPr>
        <w:spacing w:after="120" w:line="240" w:lineRule="auto"/>
        <w:outlineLvl w:val="2"/>
        <w:rPr>
          <w:rFonts w:ascii="Times New Roman" w:eastAsia="Times New Roman" w:hAnsi="Times New Roman" w:cs="Times New Roman"/>
          <w:b/>
          <w:bCs/>
          <w:color w:val="222222"/>
          <w:kern w:val="0"/>
          <w:sz w:val="36"/>
          <w:szCs w:val="36"/>
          <w:lang w:eastAsia="en-IN" w:bidi="ar-SA"/>
          <w14:ligatures w14:val="none"/>
        </w:rPr>
      </w:pPr>
      <w:r w:rsidRPr="00D4005D">
        <w:rPr>
          <w:rFonts w:ascii="Times New Roman" w:eastAsia="Times New Roman" w:hAnsi="Times New Roman" w:cs="Times New Roman"/>
          <w:b/>
          <w:bCs/>
          <w:color w:val="222222"/>
          <w:kern w:val="0"/>
          <w:sz w:val="36"/>
          <w:szCs w:val="36"/>
          <w:lang w:eastAsia="en-IN" w:bidi="ar-SA"/>
          <w14:ligatures w14:val="none"/>
        </w:rPr>
        <w:t>Keywords</w:t>
      </w:r>
    </w:p>
    <w:p w14:paraId="6650796F" w14:textId="77777777" w:rsidR="006C4AAD" w:rsidRPr="00D4005D" w:rsidRDefault="006C4AAD" w:rsidP="006C4AAD">
      <w:pPr>
        <w:numPr>
          <w:ilvl w:val="0"/>
          <w:numId w:val="7"/>
        </w:numPr>
        <w:shd w:val="clear" w:color="auto" w:fill="E1E1E1"/>
        <w:spacing w:before="100" w:beforeAutospacing="1" w:after="240" w:line="240" w:lineRule="auto"/>
        <w:ind w:right="225"/>
        <w:rPr>
          <w:rFonts w:ascii="Times New Roman" w:eastAsia="Times New Roman" w:hAnsi="Times New Roman" w:cs="Times New Roman"/>
          <w:b/>
          <w:bCs/>
          <w:kern w:val="0"/>
          <w:sz w:val="24"/>
          <w:szCs w:val="24"/>
          <w:lang w:eastAsia="en-IN" w:bidi="ar-SA"/>
          <w14:ligatures w14:val="none"/>
        </w:rPr>
      </w:pPr>
      <w:r w:rsidRPr="00D4005D">
        <w:rPr>
          <w:rFonts w:ascii="Times New Roman" w:eastAsia="Times New Roman" w:hAnsi="Times New Roman" w:cs="Times New Roman"/>
          <w:b/>
          <w:bCs/>
          <w:kern w:val="0"/>
          <w:sz w:val="24"/>
          <w:szCs w:val="24"/>
          <w:lang w:eastAsia="en-IN" w:bidi="ar-SA"/>
          <w14:ligatures w14:val="none"/>
        </w:rPr>
        <w:t>eXplainable Artificial Intelligence (XAI)</w:t>
      </w:r>
    </w:p>
    <w:p w14:paraId="384F7356" w14:textId="77777777" w:rsidR="006C4AAD" w:rsidRPr="00D4005D" w:rsidRDefault="006C4AAD" w:rsidP="006C4AAD">
      <w:pPr>
        <w:numPr>
          <w:ilvl w:val="0"/>
          <w:numId w:val="7"/>
        </w:numPr>
        <w:shd w:val="clear" w:color="auto" w:fill="E1E1E1"/>
        <w:spacing w:before="100" w:beforeAutospacing="1" w:after="240" w:line="240" w:lineRule="auto"/>
        <w:ind w:right="225"/>
        <w:rPr>
          <w:rFonts w:ascii="Times New Roman" w:eastAsia="Times New Roman" w:hAnsi="Times New Roman" w:cs="Times New Roman"/>
          <w:b/>
          <w:bCs/>
          <w:kern w:val="0"/>
          <w:sz w:val="24"/>
          <w:szCs w:val="24"/>
          <w:lang w:eastAsia="en-IN" w:bidi="ar-SA"/>
          <w14:ligatures w14:val="none"/>
        </w:rPr>
      </w:pPr>
      <w:r w:rsidRPr="00D4005D">
        <w:rPr>
          <w:rFonts w:ascii="Times New Roman" w:eastAsia="Times New Roman" w:hAnsi="Times New Roman" w:cs="Times New Roman"/>
          <w:b/>
          <w:bCs/>
          <w:kern w:val="0"/>
          <w:sz w:val="24"/>
          <w:szCs w:val="24"/>
          <w:lang w:eastAsia="en-IN" w:bidi="ar-SA"/>
          <w14:ligatures w14:val="none"/>
        </w:rPr>
        <w:t>Neural Networks (NNs)</w:t>
      </w:r>
    </w:p>
    <w:p w14:paraId="5B08862E" w14:textId="77777777" w:rsidR="006C4AAD" w:rsidRPr="00D4005D" w:rsidRDefault="006C4AAD" w:rsidP="006C4AAD">
      <w:pPr>
        <w:numPr>
          <w:ilvl w:val="0"/>
          <w:numId w:val="7"/>
        </w:numPr>
        <w:shd w:val="clear" w:color="auto" w:fill="E1E1E1"/>
        <w:spacing w:before="100" w:beforeAutospacing="1" w:after="240" w:line="240" w:lineRule="auto"/>
        <w:ind w:right="225"/>
        <w:rPr>
          <w:rFonts w:ascii="Times New Roman" w:eastAsia="Times New Roman" w:hAnsi="Times New Roman" w:cs="Times New Roman"/>
          <w:b/>
          <w:bCs/>
          <w:kern w:val="0"/>
          <w:sz w:val="24"/>
          <w:szCs w:val="24"/>
          <w:lang w:eastAsia="en-IN" w:bidi="ar-SA"/>
          <w14:ligatures w14:val="none"/>
        </w:rPr>
      </w:pPr>
      <w:r w:rsidRPr="00D4005D">
        <w:rPr>
          <w:rFonts w:ascii="Times New Roman" w:eastAsia="Times New Roman" w:hAnsi="Times New Roman" w:cs="Times New Roman"/>
          <w:b/>
          <w:bCs/>
          <w:kern w:val="0"/>
          <w:sz w:val="24"/>
          <w:szCs w:val="24"/>
          <w:lang w:eastAsia="en-IN" w:bidi="ar-SA"/>
          <w14:ligatures w14:val="none"/>
        </w:rPr>
        <w:t>Geoscience</w:t>
      </w:r>
    </w:p>
    <w:p w14:paraId="711067AD" w14:textId="77777777" w:rsidR="006C4AAD" w:rsidRPr="00D4005D" w:rsidRDefault="006C4AAD" w:rsidP="006C4AAD">
      <w:pPr>
        <w:numPr>
          <w:ilvl w:val="0"/>
          <w:numId w:val="7"/>
        </w:numPr>
        <w:shd w:val="clear" w:color="auto" w:fill="E1E1E1"/>
        <w:spacing w:before="100" w:beforeAutospacing="1" w:after="240" w:line="240" w:lineRule="auto"/>
        <w:ind w:right="225"/>
        <w:rPr>
          <w:rFonts w:ascii="Times New Roman" w:eastAsia="Times New Roman" w:hAnsi="Times New Roman" w:cs="Times New Roman"/>
          <w:b/>
          <w:bCs/>
          <w:kern w:val="0"/>
          <w:sz w:val="24"/>
          <w:szCs w:val="24"/>
          <w:lang w:eastAsia="en-IN" w:bidi="ar-SA"/>
          <w14:ligatures w14:val="none"/>
        </w:rPr>
      </w:pPr>
      <w:r w:rsidRPr="00D4005D">
        <w:rPr>
          <w:rFonts w:ascii="Times New Roman" w:eastAsia="Times New Roman" w:hAnsi="Times New Roman" w:cs="Times New Roman"/>
          <w:b/>
          <w:bCs/>
          <w:kern w:val="0"/>
          <w:sz w:val="24"/>
          <w:szCs w:val="24"/>
          <w:lang w:eastAsia="en-IN" w:bidi="ar-SA"/>
          <w14:ligatures w14:val="none"/>
        </w:rPr>
        <w:t>Climate science</w:t>
      </w:r>
    </w:p>
    <w:p w14:paraId="1D66574E" w14:textId="77777777" w:rsidR="006C4AAD" w:rsidRPr="00D4005D" w:rsidRDefault="006C4AAD" w:rsidP="006C4AAD">
      <w:pPr>
        <w:numPr>
          <w:ilvl w:val="0"/>
          <w:numId w:val="7"/>
        </w:numPr>
        <w:shd w:val="clear" w:color="auto" w:fill="E1E1E1"/>
        <w:spacing w:before="100" w:beforeAutospacing="1" w:after="240" w:line="240" w:lineRule="auto"/>
        <w:ind w:right="225"/>
        <w:rPr>
          <w:rFonts w:ascii="Times New Roman" w:eastAsia="Times New Roman" w:hAnsi="Times New Roman" w:cs="Times New Roman"/>
          <w:b/>
          <w:bCs/>
          <w:kern w:val="0"/>
          <w:sz w:val="24"/>
          <w:szCs w:val="24"/>
          <w:lang w:eastAsia="en-IN" w:bidi="ar-SA"/>
          <w14:ligatures w14:val="none"/>
        </w:rPr>
      </w:pPr>
      <w:r w:rsidRPr="00D4005D">
        <w:rPr>
          <w:rFonts w:ascii="Times New Roman" w:eastAsia="Times New Roman" w:hAnsi="Times New Roman" w:cs="Times New Roman"/>
          <w:b/>
          <w:bCs/>
          <w:kern w:val="0"/>
          <w:sz w:val="24"/>
          <w:szCs w:val="24"/>
          <w:lang w:eastAsia="en-IN" w:bidi="ar-SA"/>
          <w14:ligatures w14:val="none"/>
        </w:rPr>
        <w:t>Meteorology</w:t>
      </w:r>
    </w:p>
    <w:p w14:paraId="7A2FFDC2" w14:textId="77777777" w:rsidR="006C4AAD" w:rsidRPr="00D4005D" w:rsidRDefault="006C4AAD" w:rsidP="006C4AAD">
      <w:pPr>
        <w:numPr>
          <w:ilvl w:val="0"/>
          <w:numId w:val="7"/>
        </w:numPr>
        <w:shd w:val="clear" w:color="auto" w:fill="E1E1E1"/>
        <w:spacing w:before="100" w:beforeAutospacing="1" w:after="240" w:line="240" w:lineRule="auto"/>
        <w:ind w:right="225"/>
        <w:rPr>
          <w:rFonts w:ascii="Times New Roman" w:eastAsia="Times New Roman" w:hAnsi="Times New Roman" w:cs="Times New Roman"/>
          <w:b/>
          <w:bCs/>
          <w:kern w:val="0"/>
          <w:sz w:val="24"/>
          <w:szCs w:val="24"/>
          <w:lang w:eastAsia="en-IN" w:bidi="ar-SA"/>
          <w14:ligatures w14:val="none"/>
        </w:rPr>
      </w:pPr>
      <w:r w:rsidRPr="00D4005D">
        <w:rPr>
          <w:rFonts w:ascii="Times New Roman" w:eastAsia="Times New Roman" w:hAnsi="Times New Roman" w:cs="Times New Roman"/>
          <w:b/>
          <w:bCs/>
          <w:kern w:val="0"/>
          <w:sz w:val="24"/>
          <w:szCs w:val="24"/>
          <w:lang w:eastAsia="en-IN" w:bidi="ar-SA"/>
          <w14:ligatures w14:val="none"/>
        </w:rPr>
        <w:t>Trust</w:t>
      </w:r>
    </w:p>
    <w:p w14:paraId="1E27050C" w14:textId="77777777" w:rsidR="006C4AAD" w:rsidRPr="00D4005D" w:rsidRDefault="006C4AAD" w:rsidP="006C4AAD">
      <w:pPr>
        <w:numPr>
          <w:ilvl w:val="0"/>
          <w:numId w:val="7"/>
        </w:numPr>
        <w:shd w:val="clear" w:color="auto" w:fill="E1E1E1"/>
        <w:spacing w:before="100" w:beforeAutospacing="1" w:line="240" w:lineRule="auto"/>
        <w:ind w:right="225"/>
        <w:rPr>
          <w:rFonts w:ascii="Times New Roman" w:eastAsia="Times New Roman" w:hAnsi="Times New Roman" w:cs="Times New Roman"/>
          <w:b/>
          <w:bCs/>
          <w:kern w:val="0"/>
          <w:sz w:val="24"/>
          <w:szCs w:val="24"/>
          <w:lang w:eastAsia="en-IN" w:bidi="ar-SA"/>
          <w14:ligatures w14:val="none"/>
        </w:rPr>
      </w:pPr>
      <w:r w:rsidRPr="00D4005D">
        <w:rPr>
          <w:rFonts w:ascii="Times New Roman" w:eastAsia="Times New Roman" w:hAnsi="Times New Roman" w:cs="Times New Roman"/>
          <w:b/>
          <w:bCs/>
          <w:kern w:val="0"/>
          <w:sz w:val="24"/>
          <w:szCs w:val="24"/>
          <w:lang w:eastAsia="en-IN" w:bidi="ar-SA"/>
          <w14:ligatures w14:val="none"/>
        </w:rPr>
        <w:t>Black box models</w:t>
      </w:r>
    </w:p>
    <w:p w14:paraId="59F963B7" w14:textId="77777777" w:rsidR="00EC5747" w:rsidRPr="00D4005D" w:rsidRDefault="00EC5747" w:rsidP="006C4AAD">
      <w:pPr>
        <w:pBdr>
          <w:bottom w:val="single" w:sz="12" w:space="6" w:color="D5D5D5"/>
        </w:pBdr>
        <w:shd w:val="clear" w:color="auto" w:fill="FCFCFC"/>
        <w:spacing w:after="0" w:line="240" w:lineRule="auto"/>
        <w:outlineLvl w:val="1"/>
        <w:rPr>
          <w:rFonts w:ascii="Times New Roman" w:eastAsia="Times New Roman" w:hAnsi="Times New Roman" w:cs="Times New Roman"/>
          <w:color w:val="333333"/>
          <w:kern w:val="0"/>
          <w:sz w:val="36"/>
          <w:szCs w:val="36"/>
          <w:lang w:eastAsia="en-IN" w:bidi="ar-SA"/>
          <w14:ligatures w14:val="none"/>
        </w:rPr>
      </w:pPr>
    </w:p>
    <w:p w14:paraId="4F7352D3" w14:textId="77777777" w:rsidR="006C4AAD" w:rsidRPr="00D4005D" w:rsidRDefault="006C4AAD" w:rsidP="006C4AAD">
      <w:pPr>
        <w:pBdr>
          <w:bottom w:val="single" w:sz="12" w:space="6" w:color="D5D5D5"/>
        </w:pBdr>
        <w:shd w:val="clear" w:color="auto" w:fill="FCFCFC"/>
        <w:spacing w:after="0" w:line="240" w:lineRule="auto"/>
        <w:outlineLvl w:val="1"/>
        <w:rPr>
          <w:rFonts w:ascii="Times New Roman" w:eastAsia="Times New Roman" w:hAnsi="Times New Roman" w:cs="Times New Roman"/>
          <w:color w:val="333333"/>
          <w:kern w:val="0"/>
          <w:sz w:val="36"/>
          <w:szCs w:val="36"/>
          <w:lang w:eastAsia="en-IN" w:bidi="ar-SA"/>
          <w14:ligatures w14:val="none"/>
        </w:rPr>
      </w:pPr>
      <w:r w:rsidRPr="00D4005D">
        <w:rPr>
          <w:rFonts w:ascii="Times New Roman" w:eastAsia="Times New Roman" w:hAnsi="Times New Roman" w:cs="Times New Roman"/>
          <w:color w:val="333333"/>
          <w:kern w:val="0"/>
          <w:sz w:val="36"/>
          <w:szCs w:val="36"/>
          <w:lang w:eastAsia="en-IN" w:bidi="ar-SA"/>
          <w14:ligatures w14:val="none"/>
        </w:rPr>
        <w:t>1 </w:t>
      </w:r>
      <w:r w:rsidRPr="00D4005D">
        <w:rPr>
          <w:rFonts w:ascii="Times New Roman" w:eastAsia="Times New Roman" w:hAnsi="Times New Roman" w:cs="Times New Roman"/>
          <w:b/>
          <w:bCs/>
          <w:color w:val="333333"/>
          <w:kern w:val="0"/>
          <w:sz w:val="36"/>
          <w:szCs w:val="36"/>
          <w:lang w:eastAsia="en-IN" w:bidi="ar-SA"/>
          <w14:ligatures w14:val="none"/>
        </w:rPr>
        <w:t>Introduction</w:t>
      </w:r>
    </w:p>
    <w:p w14:paraId="163D3F59"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In the last decade, artificial neural networks (NNs) [</w:t>
      </w:r>
      <w:hyperlink r:id="rId7" w:anchor="ref-CR38" w:tooltip="LeCun, Y., Bengio, Y., Hinton, G.: Deep learning. Nature 521(7553), 436–444 (2015)" w:history="1">
        <w:r w:rsidRPr="00D4005D">
          <w:rPr>
            <w:rFonts w:ascii="Times New Roman" w:eastAsia="Times New Roman" w:hAnsi="Times New Roman" w:cs="Times New Roman"/>
            <w:color w:val="004B83"/>
            <w:kern w:val="0"/>
            <w:sz w:val="24"/>
            <w:szCs w:val="24"/>
            <w:u w:val="single"/>
            <w:lang w:eastAsia="en-IN" w:bidi="ar-SA"/>
            <w14:ligatures w14:val="none"/>
          </w:rPr>
          <w:t>38</w:t>
        </w:r>
      </w:hyperlink>
      <w:r w:rsidRPr="00D4005D">
        <w:rPr>
          <w:rFonts w:ascii="Times New Roman" w:eastAsia="Times New Roman" w:hAnsi="Times New Roman" w:cs="Times New Roman"/>
          <w:color w:val="333333"/>
          <w:kern w:val="0"/>
          <w:sz w:val="24"/>
          <w:szCs w:val="24"/>
          <w:lang w:eastAsia="en-IN" w:bidi="ar-SA"/>
          <w14:ligatures w14:val="none"/>
        </w:rPr>
        <w:t>] have been increasingly used for solving a plethora of problems in the earth sciences [</w:t>
      </w:r>
      <w:hyperlink r:id="rId8" w:anchor="ref-CR5" w:tooltip="Barnes, E.A., Hurrell, J.W., Ebert-Uphoff, I., Anderson, C., Anderson, D.: Viewing forced climate patterns through an AI lens. Geophys. Res. Lett. 46(22), 13389–13398 (2019)" w:history="1">
        <w:r w:rsidRPr="00D4005D">
          <w:rPr>
            <w:rFonts w:ascii="Times New Roman" w:eastAsia="Times New Roman" w:hAnsi="Times New Roman" w:cs="Times New Roman"/>
            <w:color w:val="004B83"/>
            <w:kern w:val="0"/>
            <w:sz w:val="24"/>
            <w:szCs w:val="24"/>
            <w:u w:val="single"/>
            <w:lang w:eastAsia="en-IN" w:bidi="ar-SA"/>
            <w14:ligatures w14:val="none"/>
          </w:rPr>
          <w:t>5</w:t>
        </w:r>
      </w:hyperlink>
      <w:r w:rsidRPr="00D4005D">
        <w:rPr>
          <w:rFonts w:ascii="Times New Roman" w:eastAsia="Times New Roman" w:hAnsi="Times New Roman" w:cs="Times New Roman"/>
          <w:color w:val="333333"/>
          <w:kern w:val="0"/>
          <w:sz w:val="24"/>
          <w:szCs w:val="24"/>
          <w:lang w:eastAsia="en-IN" w:bidi="ar-SA"/>
          <w14:ligatures w14:val="none"/>
        </w:rPr>
        <w:t>, </w:t>
      </w:r>
      <w:hyperlink r:id="rId9" w:anchor="ref-CR7" w:tooltip="Bergen, K.J., Johnson, P.A., Maarten, V., Beroza, G.C.: Machine learning for data-driven discovery in solid earth geoscience. Science 363(6433), eaau0323 (2019)" w:history="1">
        <w:r w:rsidRPr="00D4005D">
          <w:rPr>
            <w:rFonts w:ascii="Times New Roman" w:eastAsia="Times New Roman" w:hAnsi="Times New Roman" w:cs="Times New Roman"/>
            <w:color w:val="004B83"/>
            <w:kern w:val="0"/>
            <w:sz w:val="24"/>
            <w:szCs w:val="24"/>
            <w:u w:val="single"/>
            <w:lang w:eastAsia="en-IN" w:bidi="ar-SA"/>
            <w14:ligatures w14:val="none"/>
          </w:rPr>
          <w:t>7</w:t>
        </w:r>
      </w:hyperlink>
      <w:r w:rsidRPr="00D4005D">
        <w:rPr>
          <w:rFonts w:ascii="Times New Roman" w:eastAsia="Times New Roman" w:hAnsi="Times New Roman" w:cs="Times New Roman"/>
          <w:color w:val="333333"/>
          <w:kern w:val="0"/>
          <w:sz w:val="24"/>
          <w:szCs w:val="24"/>
          <w:lang w:eastAsia="en-IN" w:bidi="ar-SA"/>
          <w14:ligatures w14:val="none"/>
        </w:rPr>
        <w:t>, </w:t>
      </w:r>
      <w:hyperlink r:id="rId10" w:anchor="ref-CR21" w:tooltip="Ham, Y.G., Kim, J.H., Luo, J.J.: Deep learning for multi-year ENSO forecasts. Nature 573(7775), 568–572 (2019)" w:history="1">
        <w:r w:rsidRPr="00D4005D">
          <w:rPr>
            <w:rFonts w:ascii="Times New Roman" w:eastAsia="Times New Roman" w:hAnsi="Times New Roman" w:cs="Times New Roman"/>
            <w:color w:val="004B83"/>
            <w:kern w:val="0"/>
            <w:sz w:val="24"/>
            <w:szCs w:val="24"/>
            <w:u w:val="single"/>
            <w:lang w:eastAsia="en-IN" w:bidi="ar-SA"/>
            <w14:ligatures w14:val="none"/>
          </w:rPr>
          <w:t>21</w:t>
        </w:r>
      </w:hyperlink>
      <w:r w:rsidRPr="00D4005D">
        <w:rPr>
          <w:rFonts w:ascii="Times New Roman" w:eastAsia="Times New Roman" w:hAnsi="Times New Roman" w:cs="Times New Roman"/>
          <w:color w:val="333333"/>
          <w:kern w:val="0"/>
          <w:sz w:val="24"/>
          <w:szCs w:val="24"/>
          <w:lang w:eastAsia="en-IN" w:bidi="ar-SA"/>
          <w14:ligatures w14:val="none"/>
        </w:rPr>
        <w:t>, </w:t>
      </w:r>
      <w:hyperlink r:id="rId11" w:anchor="ref-CR27" w:tooltip="Karpatne, A., Ebert-Uphoff, I., Ravela, S., Babaie, H.A., Kumar, V.: Machine learning for the geosciences: challenges and opportunities. IEEE Trans. Knowl. Data Eng. 31(8), 1544–1554 (2018)" w:history="1">
        <w:r w:rsidRPr="00D4005D">
          <w:rPr>
            <w:rFonts w:ascii="Times New Roman" w:eastAsia="Times New Roman" w:hAnsi="Times New Roman" w:cs="Times New Roman"/>
            <w:color w:val="004B83"/>
            <w:kern w:val="0"/>
            <w:sz w:val="24"/>
            <w:szCs w:val="24"/>
            <w:u w:val="single"/>
            <w:lang w:eastAsia="en-IN" w:bidi="ar-SA"/>
            <w14:ligatures w14:val="none"/>
          </w:rPr>
          <w:t>27</w:t>
        </w:r>
      </w:hyperlink>
      <w:r w:rsidRPr="00D4005D">
        <w:rPr>
          <w:rFonts w:ascii="Times New Roman" w:eastAsia="Times New Roman" w:hAnsi="Times New Roman" w:cs="Times New Roman"/>
          <w:color w:val="333333"/>
          <w:kern w:val="0"/>
          <w:sz w:val="24"/>
          <w:szCs w:val="24"/>
          <w:lang w:eastAsia="en-IN" w:bidi="ar-SA"/>
          <w14:ligatures w14:val="none"/>
        </w:rPr>
        <w:t>, </w:t>
      </w:r>
      <w:hyperlink r:id="rId12" w:anchor="ref-CR36" w:tooltip="Lary, D.J., Alavi, A.H., Gandomi, A.H., Walker, A.L.: Machine learning in geosciences and remote sensing. Geosci. Front. 7(1), 3–10 (2016)" w:history="1">
        <w:r w:rsidRPr="00D4005D">
          <w:rPr>
            <w:rFonts w:ascii="Times New Roman" w:eastAsia="Times New Roman" w:hAnsi="Times New Roman" w:cs="Times New Roman"/>
            <w:color w:val="004B83"/>
            <w:kern w:val="0"/>
            <w:sz w:val="24"/>
            <w:szCs w:val="24"/>
            <w:u w:val="single"/>
            <w:lang w:eastAsia="en-IN" w:bidi="ar-SA"/>
            <w14:ligatures w14:val="none"/>
          </w:rPr>
          <w:t>36</w:t>
        </w:r>
      </w:hyperlink>
      <w:r w:rsidRPr="00D4005D">
        <w:rPr>
          <w:rFonts w:ascii="Times New Roman" w:eastAsia="Times New Roman" w:hAnsi="Times New Roman" w:cs="Times New Roman"/>
          <w:color w:val="333333"/>
          <w:kern w:val="0"/>
          <w:sz w:val="24"/>
          <w:szCs w:val="24"/>
          <w:lang w:eastAsia="en-IN" w:bidi="ar-SA"/>
          <w14:ligatures w14:val="none"/>
        </w:rPr>
        <w:t>, </w:t>
      </w:r>
      <w:hyperlink r:id="rId13" w:anchor="ref-CR41" w:tooltip="Malde, K., Handegard, N.O., Eikvil, L., Salberg, A.B.: Machine intelligence and the data-driven future of marine science. ICES J. Mar. Sci. 77(4), 1274–1285 (2020)" w:history="1">
        <w:r w:rsidRPr="00D4005D">
          <w:rPr>
            <w:rFonts w:ascii="Times New Roman" w:eastAsia="Times New Roman" w:hAnsi="Times New Roman" w:cs="Times New Roman"/>
            <w:color w:val="004B83"/>
            <w:kern w:val="0"/>
            <w:sz w:val="24"/>
            <w:szCs w:val="24"/>
            <w:u w:val="single"/>
            <w:lang w:eastAsia="en-IN" w:bidi="ar-SA"/>
            <w14:ligatures w14:val="none"/>
          </w:rPr>
          <w:t>41</w:t>
        </w:r>
      </w:hyperlink>
      <w:r w:rsidRPr="00D4005D">
        <w:rPr>
          <w:rFonts w:ascii="Times New Roman" w:eastAsia="Times New Roman" w:hAnsi="Times New Roman" w:cs="Times New Roman"/>
          <w:color w:val="333333"/>
          <w:kern w:val="0"/>
          <w:sz w:val="24"/>
          <w:szCs w:val="24"/>
          <w:lang w:eastAsia="en-IN" w:bidi="ar-SA"/>
          <w14:ligatures w14:val="none"/>
        </w:rPr>
        <w:t>, </w:t>
      </w:r>
      <w:hyperlink r:id="rId14" w:anchor="ref-CR60" w:tooltip="Reichstein, M., Camps-Valls, G., Stevens, B., Jung, M., Denzler, J., Carvalhais, N., et al.: Deep learning and process understanding for data-driven earth system science. Nature 566(7743), 195–204 (2019)" w:history="1">
        <w:r w:rsidRPr="00D4005D">
          <w:rPr>
            <w:rFonts w:ascii="Times New Roman" w:eastAsia="Times New Roman" w:hAnsi="Times New Roman" w:cs="Times New Roman"/>
            <w:color w:val="004B83"/>
            <w:kern w:val="0"/>
            <w:sz w:val="24"/>
            <w:szCs w:val="24"/>
            <w:u w:val="single"/>
            <w:lang w:eastAsia="en-IN" w:bidi="ar-SA"/>
            <w14:ligatures w14:val="none"/>
          </w:rPr>
          <w:t>60</w:t>
        </w:r>
      </w:hyperlink>
      <w:r w:rsidRPr="00D4005D">
        <w:rPr>
          <w:rFonts w:ascii="Times New Roman" w:eastAsia="Times New Roman" w:hAnsi="Times New Roman" w:cs="Times New Roman"/>
          <w:color w:val="333333"/>
          <w:kern w:val="0"/>
          <w:sz w:val="24"/>
          <w:szCs w:val="24"/>
          <w:lang w:eastAsia="en-IN" w:bidi="ar-SA"/>
          <w14:ligatures w14:val="none"/>
        </w:rPr>
        <w:t>, </w:t>
      </w:r>
      <w:hyperlink r:id="rId15" w:anchor="ref-CR62" w:tooltip="Rolnick, D., et al.: Tackling climate change with machine learning. arXiv preprint &#10;                    arXiv:1906.05433&#10;                    &#10;                   (2019)" w:history="1">
        <w:r w:rsidRPr="00D4005D">
          <w:rPr>
            <w:rFonts w:ascii="Times New Roman" w:eastAsia="Times New Roman" w:hAnsi="Times New Roman" w:cs="Times New Roman"/>
            <w:color w:val="004B83"/>
            <w:kern w:val="0"/>
            <w:sz w:val="24"/>
            <w:szCs w:val="24"/>
            <w:u w:val="single"/>
            <w:lang w:eastAsia="en-IN" w:bidi="ar-SA"/>
            <w14:ligatures w14:val="none"/>
          </w:rPr>
          <w:t>62</w:t>
        </w:r>
      </w:hyperlink>
      <w:r w:rsidRPr="00D4005D">
        <w:rPr>
          <w:rFonts w:ascii="Times New Roman" w:eastAsia="Times New Roman" w:hAnsi="Times New Roman" w:cs="Times New Roman"/>
          <w:color w:val="333333"/>
          <w:kern w:val="0"/>
          <w:sz w:val="24"/>
          <w:szCs w:val="24"/>
          <w:lang w:eastAsia="en-IN" w:bidi="ar-SA"/>
          <w14:ligatures w14:val="none"/>
        </w:rPr>
        <w:t>, </w:t>
      </w:r>
      <w:hyperlink r:id="rId16" w:anchor="ref-CR68" w:tooltip="Shen, C.: A transdisciplinary review of deep learning research and its relevance for water resources scientists. Water Resour. Res. 54(11), 8558–8593 (2018)" w:history="1">
        <w:r w:rsidRPr="00D4005D">
          <w:rPr>
            <w:rFonts w:ascii="Times New Roman" w:eastAsia="Times New Roman" w:hAnsi="Times New Roman" w:cs="Times New Roman"/>
            <w:color w:val="004B83"/>
            <w:kern w:val="0"/>
            <w:sz w:val="24"/>
            <w:szCs w:val="24"/>
            <w:u w:val="single"/>
            <w:lang w:eastAsia="en-IN" w:bidi="ar-SA"/>
            <w14:ligatures w14:val="none"/>
          </w:rPr>
          <w:t>68</w:t>
        </w:r>
      </w:hyperlink>
      <w:r w:rsidRPr="00D4005D">
        <w:rPr>
          <w:rFonts w:ascii="Times New Roman" w:eastAsia="Times New Roman" w:hAnsi="Times New Roman" w:cs="Times New Roman"/>
          <w:color w:val="333333"/>
          <w:kern w:val="0"/>
          <w:sz w:val="24"/>
          <w:szCs w:val="24"/>
          <w:lang w:eastAsia="en-IN" w:bidi="ar-SA"/>
          <w14:ligatures w14:val="none"/>
        </w:rPr>
        <w:t>, </w:t>
      </w:r>
      <w:hyperlink r:id="rId17" w:anchor="ref-CR72" w:tooltip="Sit, M., Demiray, B.Z., Xiang, Z., Ewing, G.J., Sermet, Y., Demir, I.: A comprehensive review of deep learning applications in hydrology and water resources. Water Sci. Technol. 82(12), 2635–2670 (2020)" w:history="1">
        <w:r w:rsidRPr="00D4005D">
          <w:rPr>
            <w:rFonts w:ascii="Times New Roman" w:eastAsia="Times New Roman" w:hAnsi="Times New Roman" w:cs="Times New Roman"/>
            <w:color w:val="004B83"/>
            <w:kern w:val="0"/>
            <w:sz w:val="24"/>
            <w:szCs w:val="24"/>
            <w:u w:val="single"/>
            <w:lang w:eastAsia="en-IN" w:bidi="ar-SA"/>
            <w14:ligatures w14:val="none"/>
          </w:rPr>
          <w:t>72</w:t>
        </w:r>
      </w:hyperlink>
      <w:r w:rsidRPr="00D4005D">
        <w:rPr>
          <w:rFonts w:ascii="Times New Roman" w:eastAsia="Times New Roman" w:hAnsi="Times New Roman" w:cs="Times New Roman"/>
          <w:color w:val="333333"/>
          <w:kern w:val="0"/>
          <w:sz w:val="24"/>
          <w:szCs w:val="24"/>
          <w:lang w:eastAsia="en-IN" w:bidi="ar-SA"/>
          <w14:ligatures w14:val="none"/>
        </w:rPr>
        <w:t>], including marine science [</w:t>
      </w:r>
      <w:hyperlink r:id="rId18" w:anchor="ref-CR41" w:tooltip="Malde, K., Handegard, N.O., Eikvil, L., Salberg, A.B.: Machine intelligence and the data-driven future of marine science. ICES J. Mar. Sci. 77(4), 1274–1285 (2020)" w:history="1">
        <w:r w:rsidRPr="00D4005D">
          <w:rPr>
            <w:rFonts w:ascii="Times New Roman" w:eastAsia="Times New Roman" w:hAnsi="Times New Roman" w:cs="Times New Roman"/>
            <w:color w:val="004B83"/>
            <w:kern w:val="0"/>
            <w:sz w:val="24"/>
            <w:szCs w:val="24"/>
            <w:u w:val="single"/>
            <w:lang w:eastAsia="en-IN" w:bidi="ar-SA"/>
            <w14:ligatures w14:val="none"/>
          </w:rPr>
          <w:t>41</w:t>
        </w:r>
      </w:hyperlink>
      <w:r w:rsidRPr="00D4005D">
        <w:rPr>
          <w:rFonts w:ascii="Times New Roman" w:eastAsia="Times New Roman" w:hAnsi="Times New Roman" w:cs="Times New Roman"/>
          <w:color w:val="333333"/>
          <w:kern w:val="0"/>
          <w:sz w:val="24"/>
          <w:szCs w:val="24"/>
          <w:lang w:eastAsia="en-IN" w:bidi="ar-SA"/>
          <w14:ligatures w14:val="none"/>
        </w:rPr>
        <w:t>], solid earth science [</w:t>
      </w:r>
      <w:hyperlink r:id="rId19" w:anchor="ref-CR7" w:tooltip="Bergen, K.J., Johnson, P.A., Maarten, V., Beroza, G.C.: Machine learning for data-driven discovery in solid earth geoscience. Science 363(6433), eaau0323 (2019)" w:history="1">
        <w:r w:rsidRPr="00D4005D">
          <w:rPr>
            <w:rFonts w:ascii="Times New Roman" w:eastAsia="Times New Roman" w:hAnsi="Times New Roman" w:cs="Times New Roman"/>
            <w:color w:val="004B83"/>
            <w:kern w:val="0"/>
            <w:sz w:val="24"/>
            <w:szCs w:val="24"/>
            <w:u w:val="single"/>
            <w:lang w:eastAsia="en-IN" w:bidi="ar-SA"/>
            <w14:ligatures w14:val="none"/>
          </w:rPr>
          <w:t>7</w:t>
        </w:r>
      </w:hyperlink>
      <w:r w:rsidRPr="00D4005D">
        <w:rPr>
          <w:rFonts w:ascii="Times New Roman" w:eastAsia="Times New Roman" w:hAnsi="Times New Roman" w:cs="Times New Roman"/>
          <w:color w:val="333333"/>
          <w:kern w:val="0"/>
          <w:sz w:val="24"/>
          <w:szCs w:val="24"/>
          <w:lang w:eastAsia="en-IN" w:bidi="ar-SA"/>
          <w14:ligatures w14:val="none"/>
        </w:rPr>
        <w:t>], and climate science and meteorology [</w:t>
      </w:r>
      <w:hyperlink r:id="rId20" w:anchor="ref-CR5" w:tooltip="Barnes, E.A., Hurrell, J.W., Ebert-Uphoff, I., Anderson, C., Anderson, D.: Viewing forced climate patterns through an AI lens. Geophys. Res. Lett. 46(22), 13389–13398 (2019)" w:history="1">
        <w:r w:rsidRPr="00D4005D">
          <w:rPr>
            <w:rFonts w:ascii="Times New Roman" w:eastAsia="Times New Roman" w:hAnsi="Times New Roman" w:cs="Times New Roman"/>
            <w:color w:val="004B83"/>
            <w:kern w:val="0"/>
            <w:sz w:val="24"/>
            <w:szCs w:val="24"/>
            <w:u w:val="single"/>
            <w:lang w:eastAsia="en-IN" w:bidi="ar-SA"/>
            <w14:ligatures w14:val="none"/>
          </w:rPr>
          <w:t>5</w:t>
        </w:r>
      </w:hyperlink>
      <w:r w:rsidRPr="00D4005D">
        <w:rPr>
          <w:rFonts w:ascii="Times New Roman" w:eastAsia="Times New Roman" w:hAnsi="Times New Roman" w:cs="Times New Roman"/>
          <w:color w:val="333333"/>
          <w:kern w:val="0"/>
          <w:sz w:val="24"/>
          <w:szCs w:val="24"/>
          <w:lang w:eastAsia="en-IN" w:bidi="ar-SA"/>
          <w14:ligatures w14:val="none"/>
        </w:rPr>
        <w:t>, </w:t>
      </w:r>
      <w:hyperlink r:id="rId21" w:anchor="ref-CR21" w:tooltip="Ham, Y.G., Kim, J.H., Luo, J.J.: Deep learning for multi-year ENSO forecasts. Nature 573(7775), 568–572 (2019)" w:history="1">
        <w:r w:rsidRPr="00D4005D">
          <w:rPr>
            <w:rFonts w:ascii="Times New Roman" w:eastAsia="Times New Roman" w:hAnsi="Times New Roman" w:cs="Times New Roman"/>
            <w:color w:val="004B83"/>
            <w:kern w:val="0"/>
            <w:sz w:val="24"/>
            <w:szCs w:val="24"/>
            <w:u w:val="single"/>
            <w:lang w:eastAsia="en-IN" w:bidi="ar-SA"/>
            <w14:ligatures w14:val="none"/>
          </w:rPr>
          <w:t>21</w:t>
        </w:r>
      </w:hyperlink>
      <w:r w:rsidRPr="00D4005D">
        <w:rPr>
          <w:rFonts w:ascii="Times New Roman" w:eastAsia="Times New Roman" w:hAnsi="Times New Roman" w:cs="Times New Roman"/>
          <w:color w:val="333333"/>
          <w:kern w:val="0"/>
          <w:sz w:val="24"/>
          <w:szCs w:val="24"/>
          <w:lang w:eastAsia="en-IN" w:bidi="ar-SA"/>
          <w14:ligatures w14:val="none"/>
        </w:rPr>
        <w:t>, </w:t>
      </w:r>
      <w:hyperlink r:id="rId22" w:anchor="ref-CR62" w:tooltip="Rolnick, D., et al.: Tackling climate change with machine learning. arXiv preprint &#10;                    arXiv:1906.05433&#10;                    &#10;                   (2019)" w:history="1">
        <w:r w:rsidRPr="00D4005D">
          <w:rPr>
            <w:rFonts w:ascii="Times New Roman" w:eastAsia="Times New Roman" w:hAnsi="Times New Roman" w:cs="Times New Roman"/>
            <w:color w:val="004B83"/>
            <w:kern w:val="0"/>
            <w:sz w:val="24"/>
            <w:szCs w:val="24"/>
            <w:u w:val="single"/>
            <w:lang w:eastAsia="en-IN" w:bidi="ar-SA"/>
            <w14:ligatures w14:val="none"/>
          </w:rPr>
          <w:t>62</w:t>
        </w:r>
      </w:hyperlink>
      <w:r w:rsidRPr="00D4005D">
        <w:rPr>
          <w:rFonts w:ascii="Times New Roman" w:eastAsia="Times New Roman" w:hAnsi="Times New Roman" w:cs="Times New Roman"/>
          <w:color w:val="333333"/>
          <w:kern w:val="0"/>
          <w:sz w:val="24"/>
          <w:szCs w:val="24"/>
          <w:lang w:eastAsia="en-IN" w:bidi="ar-SA"/>
          <w14:ligatures w14:val="none"/>
        </w:rPr>
        <w:t>]. The popularity of NNs stems partially from their high performance in capturing/predicting nonlinear system behavior [</w:t>
      </w:r>
      <w:hyperlink r:id="rId23" w:anchor="ref-CR38" w:tooltip="LeCun, Y., Bengio, Y., Hinton, G.: Deep learning. Nature 521(7553), 436–444 (2015)" w:history="1">
        <w:r w:rsidRPr="00D4005D">
          <w:rPr>
            <w:rFonts w:ascii="Times New Roman" w:eastAsia="Times New Roman" w:hAnsi="Times New Roman" w:cs="Times New Roman"/>
            <w:color w:val="004B83"/>
            <w:kern w:val="0"/>
            <w:sz w:val="24"/>
            <w:szCs w:val="24"/>
            <w:u w:val="single"/>
            <w:lang w:eastAsia="en-IN" w:bidi="ar-SA"/>
            <w14:ligatures w14:val="none"/>
          </w:rPr>
          <w:t>38</w:t>
        </w:r>
      </w:hyperlink>
      <w:r w:rsidRPr="00D4005D">
        <w:rPr>
          <w:rFonts w:ascii="Times New Roman" w:eastAsia="Times New Roman" w:hAnsi="Times New Roman" w:cs="Times New Roman"/>
          <w:color w:val="333333"/>
          <w:kern w:val="0"/>
          <w:sz w:val="24"/>
          <w:szCs w:val="24"/>
          <w:lang w:eastAsia="en-IN" w:bidi="ar-SA"/>
          <w14:ligatures w14:val="none"/>
        </w:rPr>
        <w:t>], the increasing availability of observational and simulated data [</w:t>
      </w:r>
      <w:hyperlink r:id="rId24" w:anchor="ref-CR1" w:tooltip="Agapiou, A.: Remote sensing heritage in a petabyte-scale: satellite data and heritage earth engine applications. Int. J. Digit. Earth 10(1), 85–102 (2017)" w:history="1">
        <w:r w:rsidRPr="00D4005D">
          <w:rPr>
            <w:rFonts w:ascii="Times New Roman" w:eastAsia="Times New Roman" w:hAnsi="Times New Roman" w:cs="Times New Roman"/>
            <w:color w:val="004B83"/>
            <w:kern w:val="0"/>
            <w:sz w:val="24"/>
            <w:szCs w:val="24"/>
            <w:u w:val="single"/>
            <w:lang w:eastAsia="en-IN" w:bidi="ar-SA"/>
            <w14:ligatures w14:val="none"/>
          </w:rPr>
          <w:t>1</w:t>
        </w:r>
      </w:hyperlink>
      <w:r w:rsidRPr="00D4005D">
        <w:rPr>
          <w:rFonts w:ascii="Times New Roman" w:eastAsia="Times New Roman" w:hAnsi="Times New Roman" w:cs="Times New Roman"/>
          <w:color w:val="333333"/>
          <w:kern w:val="0"/>
          <w:sz w:val="24"/>
          <w:szCs w:val="24"/>
          <w:lang w:eastAsia="en-IN" w:bidi="ar-SA"/>
          <w14:ligatures w14:val="none"/>
        </w:rPr>
        <w:t>, </w:t>
      </w:r>
      <w:hyperlink r:id="rId25" w:anchor="ref-CR20" w:tooltip="Guo, H.: Big earth data: a new frontier in earth and information sciences. Big Earth Data 1(1–2), 4–20 (2017)" w:history="1">
        <w:r w:rsidRPr="00D4005D">
          <w:rPr>
            <w:rFonts w:ascii="Times New Roman" w:eastAsia="Times New Roman" w:hAnsi="Times New Roman" w:cs="Times New Roman"/>
            <w:color w:val="004B83"/>
            <w:kern w:val="0"/>
            <w:sz w:val="24"/>
            <w:szCs w:val="24"/>
            <w:u w:val="single"/>
            <w:lang w:eastAsia="en-IN" w:bidi="ar-SA"/>
            <w14:ligatures w14:val="none"/>
          </w:rPr>
          <w:t>20</w:t>
        </w:r>
      </w:hyperlink>
      <w:r w:rsidRPr="00D4005D">
        <w:rPr>
          <w:rFonts w:ascii="Times New Roman" w:eastAsia="Times New Roman" w:hAnsi="Times New Roman" w:cs="Times New Roman"/>
          <w:color w:val="333333"/>
          <w:kern w:val="0"/>
          <w:sz w:val="24"/>
          <w:szCs w:val="24"/>
          <w:lang w:eastAsia="en-IN" w:bidi="ar-SA"/>
          <w14:ligatures w14:val="none"/>
        </w:rPr>
        <w:t>, </w:t>
      </w:r>
      <w:hyperlink r:id="rId26" w:anchor="ref-CR56" w:tooltip="Overpeck, J.T., Meehl, G.A., Bony, S., Easterling, D.R.: Climate data challenges in the 21st century. Science 331(6018), 700–702 (2011)" w:history="1">
        <w:r w:rsidRPr="00D4005D">
          <w:rPr>
            <w:rFonts w:ascii="Times New Roman" w:eastAsia="Times New Roman" w:hAnsi="Times New Roman" w:cs="Times New Roman"/>
            <w:color w:val="004B83"/>
            <w:kern w:val="0"/>
            <w:sz w:val="24"/>
            <w:szCs w:val="24"/>
            <w:u w:val="single"/>
            <w:lang w:eastAsia="en-IN" w:bidi="ar-SA"/>
            <w14:ligatures w14:val="none"/>
          </w:rPr>
          <w:t>56</w:t>
        </w:r>
      </w:hyperlink>
      <w:r w:rsidRPr="00D4005D">
        <w:rPr>
          <w:rFonts w:ascii="Times New Roman" w:eastAsia="Times New Roman" w:hAnsi="Times New Roman" w:cs="Times New Roman"/>
          <w:color w:val="333333"/>
          <w:kern w:val="0"/>
          <w:sz w:val="24"/>
          <w:szCs w:val="24"/>
          <w:lang w:eastAsia="en-IN" w:bidi="ar-SA"/>
          <w14:ligatures w14:val="none"/>
        </w:rPr>
        <w:t>, </w:t>
      </w:r>
      <w:hyperlink r:id="rId27" w:anchor="ref-CR61" w:tooltip="Reinsel, D., Gantz, J., Rydning, J.: The digitization of the world from edge to core. Framingham: International Data Corporation, p. 16 (2018)" w:history="1">
        <w:r w:rsidRPr="00D4005D">
          <w:rPr>
            <w:rFonts w:ascii="Times New Roman" w:eastAsia="Times New Roman" w:hAnsi="Times New Roman" w:cs="Times New Roman"/>
            <w:color w:val="004B83"/>
            <w:kern w:val="0"/>
            <w:sz w:val="24"/>
            <w:szCs w:val="24"/>
            <w:u w:val="single"/>
            <w:lang w:eastAsia="en-IN" w:bidi="ar-SA"/>
            <w14:ligatures w14:val="none"/>
          </w:rPr>
          <w:t>61</w:t>
        </w:r>
      </w:hyperlink>
      <w:r w:rsidRPr="00D4005D">
        <w:rPr>
          <w:rFonts w:ascii="Times New Roman" w:eastAsia="Times New Roman" w:hAnsi="Times New Roman" w:cs="Times New Roman"/>
          <w:color w:val="333333"/>
          <w:kern w:val="0"/>
          <w:sz w:val="24"/>
          <w:szCs w:val="24"/>
          <w:lang w:eastAsia="en-IN" w:bidi="ar-SA"/>
          <w14:ligatures w14:val="none"/>
        </w:rPr>
        <w:t>], and the increase in computational power that allows for processing large amounts of data simultaneously. Despite their high predictive skill, NNs are not interpretable (usually referred to as “black box” models), which means that the strategy they use to make predictions is not inherently known (as, in contrast, is the case for e.g., linear models). This may introduce doubt with regard to the reliability of NN predictions and it does not allow scientists to apply NNs to problems where model interpretability is necessary.</w:t>
      </w:r>
    </w:p>
    <w:p w14:paraId="46B3F2E0"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To address the interpretability issue, many different methods have recently been developed [</w:t>
      </w:r>
      <w:hyperlink r:id="rId28" w:anchor="ref-CR3" w:tooltip="Ancona, M., Ceolini, E., Öztireli, C., Gross, M.: Gradient-based attribution methods. In: Samek, W., Montavon, G., Vedaldi, A., Hansen, L.K., Müller, K.-R. (eds.) Explainable AI: Interpreting, Explaining and Visualizing Deep Learning. LNCS (LNAI), vol. 11700, " w:history="1">
        <w:r w:rsidRPr="00D4005D">
          <w:rPr>
            <w:rFonts w:ascii="Times New Roman" w:eastAsia="Times New Roman" w:hAnsi="Times New Roman" w:cs="Times New Roman"/>
            <w:color w:val="004B83"/>
            <w:kern w:val="0"/>
            <w:sz w:val="24"/>
            <w:szCs w:val="24"/>
            <w:u w:val="single"/>
            <w:lang w:eastAsia="en-IN" w:bidi="ar-SA"/>
            <w14:ligatures w14:val="none"/>
          </w:rPr>
          <w:t>3</w:t>
        </w:r>
      </w:hyperlink>
      <w:r w:rsidRPr="00D4005D">
        <w:rPr>
          <w:rFonts w:ascii="Times New Roman" w:eastAsia="Times New Roman" w:hAnsi="Times New Roman" w:cs="Times New Roman"/>
          <w:color w:val="333333"/>
          <w:kern w:val="0"/>
          <w:sz w:val="24"/>
          <w:szCs w:val="24"/>
          <w:lang w:eastAsia="en-IN" w:bidi="ar-SA"/>
          <w14:ligatures w14:val="none"/>
        </w:rPr>
        <w:t>, </w:t>
      </w:r>
      <w:hyperlink r:id="rId29" w:anchor="ref-CR4" w:tooltip="Bach, S., Binder, A., Montavon, G., Klauschen, F., Müller, K.R., Samek, W.: On pixel-wise explanations for non-linear classifier decisions by layer-wise relevance propagation. PLoS ONE 10(7), e0130140 (2015)" w:history="1">
        <w:r w:rsidRPr="00D4005D">
          <w:rPr>
            <w:rFonts w:ascii="Times New Roman" w:eastAsia="Times New Roman" w:hAnsi="Times New Roman" w:cs="Times New Roman"/>
            <w:color w:val="004B83"/>
            <w:kern w:val="0"/>
            <w:sz w:val="24"/>
            <w:szCs w:val="24"/>
            <w:u w:val="single"/>
            <w:lang w:eastAsia="en-IN" w:bidi="ar-SA"/>
            <w14:ligatures w14:val="none"/>
          </w:rPr>
          <w:t>4</w:t>
        </w:r>
      </w:hyperlink>
      <w:r w:rsidRPr="00D4005D">
        <w:rPr>
          <w:rFonts w:ascii="Times New Roman" w:eastAsia="Times New Roman" w:hAnsi="Times New Roman" w:cs="Times New Roman"/>
          <w:color w:val="333333"/>
          <w:kern w:val="0"/>
          <w:sz w:val="24"/>
          <w:szCs w:val="24"/>
          <w:lang w:eastAsia="en-IN" w:bidi="ar-SA"/>
          <w14:ligatures w14:val="none"/>
        </w:rPr>
        <w:t>, </w:t>
      </w:r>
      <w:hyperlink r:id="rId30" w:anchor="ref-CR32" w:tooltip="Kindermans, P.J., et al.: Learning how to explain neural networks: PatternNet and PatternAttribution. arXiv preprint &#10;                    arXiv:1705.05598&#10;                    &#10;                   (2017)" w:history="1">
        <w:r w:rsidRPr="00D4005D">
          <w:rPr>
            <w:rFonts w:ascii="Times New Roman" w:eastAsia="Times New Roman" w:hAnsi="Times New Roman" w:cs="Times New Roman"/>
            <w:color w:val="004B83"/>
            <w:kern w:val="0"/>
            <w:sz w:val="24"/>
            <w:szCs w:val="24"/>
            <w:u w:val="single"/>
            <w:lang w:eastAsia="en-IN" w:bidi="ar-SA"/>
            <w14:ligatures w14:val="none"/>
          </w:rPr>
          <w:t>32</w:t>
        </w:r>
      </w:hyperlink>
      <w:r w:rsidRPr="00D4005D">
        <w:rPr>
          <w:rFonts w:ascii="Times New Roman" w:eastAsia="Times New Roman" w:hAnsi="Times New Roman" w:cs="Times New Roman"/>
          <w:color w:val="333333"/>
          <w:kern w:val="0"/>
          <w:sz w:val="24"/>
          <w:szCs w:val="24"/>
          <w:lang w:eastAsia="en-IN" w:bidi="ar-SA"/>
          <w14:ligatures w14:val="none"/>
        </w:rPr>
        <w:t>, </w:t>
      </w:r>
      <w:hyperlink r:id="rId31" w:anchor="ref-CR53" w:tooltip="Montavon, G., Lapuschkin, S., Binder, A., Samek, W., Müller, K.R.: Explaining nonlinear classification decisions with deep Taylor decomposition. Pattern Recogn. 65, 211–222 (2017)" w:history="1">
        <w:r w:rsidRPr="00D4005D">
          <w:rPr>
            <w:rFonts w:ascii="Times New Roman" w:eastAsia="Times New Roman" w:hAnsi="Times New Roman" w:cs="Times New Roman"/>
            <w:color w:val="004B83"/>
            <w:kern w:val="0"/>
            <w:sz w:val="24"/>
            <w:szCs w:val="24"/>
            <w:u w:val="single"/>
            <w:lang w:eastAsia="en-IN" w:bidi="ar-SA"/>
            <w14:ligatures w14:val="none"/>
          </w:rPr>
          <w:t>53</w:t>
        </w:r>
      </w:hyperlink>
      <w:r w:rsidRPr="00D4005D">
        <w:rPr>
          <w:rFonts w:ascii="Times New Roman" w:eastAsia="Times New Roman" w:hAnsi="Times New Roman" w:cs="Times New Roman"/>
          <w:color w:val="333333"/>
          <w:kern w:val="0"/>
          <w:sz w:val="24"/>
          <w:szCs w:val="24"/>
          <w:lang w:eastAsia="en-IN" w:bidi="ar-SA"/>
          <w14:ligatures w14:val="none"/>
        </w:rPr>
        <w:t>, </w:t>
      </w:r>
      <w:hyperlink r:id="rId32" w:anchor="ref-CR69" w:tooltip="Shrikumar, A., Greenside, P., Kundaje, A.: Learning important features through propagating activation differences. In: International Conference on Machine Learning, pp. 3145–3153. PMLR (2017)" w:history="1">
        <w:r w:rsidRPr="00D4005D">
          <w:rPr>
            <w:rFonts w:ascii="Times New Roman" w:eastAsia="Times New Roman" w:hAnsi="Times New Roman" w:cs="Times New Roman"/>
            <w:color w:val="004B83"/>
            <w:kern w:val="0"/>
            <w:sz w:val="24"/>
            <w:szCs w:val="24"/>
            <w:u w:val="single"/>
            <w:lang w:eastAsia="en-IN" w:bidi="ar-SA"/>
            <w14:ligatures w14:val="none"/>
          </w:rPr>
          <w:t>69</w:t>
        </w:r>
      </w:hyperlink>
      <w:r w:rsidRPr="00D4005D">
        <w:rPr>
          <w:rFonts w:ascii="Times New Roman" w:eastAsia="Times New Roman" w:hAnsi="Times New Roman" w:cs="Times New Roman"/>
          <w:color w:val="333333"/>
          <w:kern w:val="0"/>
          <w:sz w:val="24"/>
          <w:szCs w:val="24"/>
          <w:lang w:eastAsia="en-IN" w:bidi="ar-SA"/>
          <w14:ligatures w14:val="none"/>
        </w:rPr>
        <w:t>, </w:t>
      </w:r>
      <w:hyperlink r:id="rId33" w:anchor="ref-CR70" w:tooltip="Shrikumar, A., Greenside, P., Shcherbina, A., Kundaje, A.: Not just a black box: learning important features through propagating activation differences. arXiv preprint &#10;                    arXiv:1605.01713&#10;                    &#10;                   (2016)" w:history="1">
        <w:r w:rsidRPr="00D4005D">
          <w:rPr>
            <w:rFonts w:ascii="Times New Roman" w:eastAsia="Times New Roman" w:hAnsi="Times New Roman" w:cs="Times New Roman"/>
            <w:color w:val="004B83"/>
            <w:kern w:val="0"/>
            <w:sz w:val="24"/>
            <w:szCs w:val="24"/>
            <w:u w:val="single"/>
            <w:lang w:eastAsia="en-IN" w:bidi="ar-SA"/>
            <w14:ligatures w14:val="none"/>
          </w:rPr>
          <w:t>70</w:t>
        </w:r>
      </w:hyperlink>
      <w:r w:rsidRPr="00D4005D">
        <w:rPr>
          <w:rFonts w:ascii="Times New Roman" w:eastAsia="Times New Roman" w:hAnsi="Times New Roman" w:cs="Times New Roman"/>
          <w:color w:val="333333"/>
          <w:kern w:val="0"/>
          <w:sz w:val="24"/>
          <w:szCs w:val="24"/>
          <w:lang w:eastAsia="en-IN" w:bidi="ar-SA"/>
          <w14:ligatures w14:val="none"/>
        </w:rPr>
        <w:t>, </w:t>
      </w:r>
      <w:hyperlink r:id="rId34" w:anchor="ref-CR73" w:tooltip="Smilkov, D., Thorat, N., Kim, B., Viégas, F., Wattenberg, M.: SmoothGrad: removing noise by adding noise. arXiv preprint &#10;                    arXiv:1706.03825&#10;                    &#10;                   (2017)" w:history="1">
        <w:r w:rsidRPr="00D4005D">
          <w:rPr>
            <w:rFonts w:ascii="Times New Roman" w:eastAsia="Times New Roman" w:hAnsi="Times New Roman" w:cs="Times New Roman"/>
            <w:color w:val="004B83"/>
            <w:kern w:val="0"/>
            <w:sz w:val="24"/>
            <w:szCs w:val="24"/>
            <w:u w:val="single"/>
            <w:lang w:eastAsia="en-IN" w:bidi="ar-SA"/>
            <w14:ligatures w14:val="none"/>
          </w:rPr>
          <w:t>73</w:t>
        </w:r>
      </w:hyperlink>
      <w:r w:rsidRPr="00D4005D">
        <w:rPr>
          <w:rFonts w:ascii="Times New Roman" w:eastAsia="Times New Roman" w:hAnsi="Times New Roman" w:cs="Times New Roman"/>
          <w:color w:val="333333"/>
          <w:kern w:val="0"/>
          <w:sz w:val="24"/>
          <w:szCs w:val="24"/>
          <w:lang w:eastAsia="en-IN" w:bidi="ar-SA"/>
          <w14:ligatures w14:val="none"/>
        </w:rPr>
        <w:t>, </w:t>
      </w:r>
      <w:hyperlink r:id="rId35" w:anchor="ref-CR75" w:tooltip="Springenberg, J.T., Dosovitskiy, A., Brox, T., Riedmiller, M.: Striving for simplicity: the all convolutional net. arXiv preprint &#10;                    arXiv:1412.6806&#10;                    &#10;                   (2014)" w:history="1">
        <w:r w:rsidRPr="00D4005D">
          <w:rPr>
            <w:rFonts w:ascii="Times New Roman" w:eastAsia="Times New Roman" w:hAnsi="Times New Roman" w:cs="Times New Roman"/>
            <w:color w:val="004B83"/>
            <w:kern w:val="0"/>
            <w:sz w:val="24"/>
            <w:szCs w:val="24"/>
            <w:u w:val="single"/>
            <w:lang w:eastAsia="en-IN" w:bidi="ar-SA"/>
            <w14:ligatures w14:val="none"/>
          </w:rPr>
          <w:t>75</w:t>
        </w:r>
      </w:hyperlink>
      <w:r w:rsidRPr="00D4005D">
        <w:rPr>
          <w:rFonts w:ascii="Times New Roman" w:eastAsia="Times New Roman" w:hAnsi="Times New Roman" w:cs="Times New Roman"/>
          <w:color w:val="333333"/>
          <w:kern w:val="0"/>
          <w:sz w:val="24"/>
          <w:szCs w:val="24"/>
          <w:lang w:eastAsia="en-IN" w:bidi="ar-SA"/>
          <w14:ligatures w14:val="none"/>
        </w:rPr>
        <w:t>, </w:t>
      </w:r>
      <w:hyperlink r:id="rId36" w:anchor="ref-CR77" w:tooltip="Sundararajan, M., Taly, A., Yan, Q.: Axiomatic attribution for deep networks. In: International Conference on Machine Learning, pp. 3319–3328. PMLR (2017)" w:history="1">
        <w:r w:rsidRPr="00D4005D">
          <w:rPr>
            <w:rFonts w:ascii="Times New Roman" w:eastAsia="Times New Roman" w:hAnsi="Times New Roman" w:cs="Times New Roman"/>
            <w:color w:val="004B83"/>
            <w:kern w:val="0"/>
            <w:sz w:val="24"/>
            <w:szCs w:val="24"/>
            <w:u w:val="single"/>
            <w:lang w:eastAsia="en-IN" w:bidi="ar-SA"/>
            <w14:ligatures w14:val="none"/>
          </w:rPr>
          <w:t>77</w:t>
        </w:r>
      </w:hyperlink>
      <w:r w:rsidRPr="00D4005D">
        <w:rPr>
          <w:rFonts w:ascii="Times New Roman" w:eastAsia="Times New Roman" w:hAnsi="Times New Roman" w:cs="Times New Roman"/>
          <w:color w:val="333333"/>
          <w:kern w:val="0"/>
          <w:sz w:val="24"/>
          <w:szCs w:val="24"/>
          <w:lang w:eastAsia="en-IN" w:bidi="ar-SA"/>
          <w14:ligatures w14:val="none"/>
        </w:rPr>
        <w:t>, </w:t>
      </w:r>
      <w:hyperlink r:id="rId37" w:anchor="ref-CR84" w:tooltip="Zeiler, M.D., Fergus, R.: Visualizing and understanding convolutional networks. In: Fleet, D., Pajdla, T., Schiele, B., Tuytelaars, T. (eds.) ECCV 2014. LNCS, vol. 8689, pp. 818–833. Springer, Cham (2014). &#10;                    https://doi.org/10.1007/978-3-319" w:history="1">
        <w:r w:rsidRPr="00D4005D">
          <w:rPr>
            <w:rFonts w:ascii="Times New Roman" w:eastAsia="Times New Roman" w:hAnsi="Times New Roman" w:cs="Times New Roman"/>
            <w:color w:val="004B83"/>
            <w:kern w:val="0"/>
            <w:sz w:val="24"/>
            <w:szCs w:val="24"/>
            <w:u w:val="single"/>
            <w:lang w:eastAsia="en-IN" w:bidi="ar-SA"/>
            <w14:ligatures w14:val="none"/>
          </w:rPr>
          <w:t>84</w:t>
        </w:r>
      </w:hyperlink>
      <w:r w:rsidRPr="00D4005D">
        <w:rPr>
          <w:rFonts w:ascii="Times New Roman" w:eastAsia="Times New Roman" w:hAnsi="Times New Roman" w:cs="Times New Roman"/>
          <w:color w:val="333333"/>
          <w:kern w:val="0"/>
          <w:sz w:val="24"/>
          <w:szCs w:val="24"/>
          <w:lang w:eastAsia="en-IN" w:bidi="ar-SA"/>
          <w14:ligatures w14:val="none"/>
        </w:rPr>
        <w:t>] in the emerging field of eXplainable Artificial Intelligence (XAI) [</w:t>
      </w:r>
      <w:hyperlink r:id="rId38" w:anchor="ref-CR9" w:tooltip="Buhrmester, V., Münch, D., Arens, M.: Analysis of explainers of black box deep neural networks for computer vision: a survey. arXiv preprint &#10;                    arXiv:1911.12116&#10;                    &#10;                   (2019)" w:history="1">
        <w:r w:rsidRPr="00D4005D">
          <w:rPr>
            <w:rFonts w:ascii="Times New Roman" w:eastAsia="Times New Roman" w:hAnsi="Times New Roman" w:cs="Times New Roman"/>
            <w:color w:val="004B83"/>
            <w:kern w:val="0"/>
            <w:sz w:val="24"/>
            <w:szCs w:val="24"/>
            <w:u w:val="single"/>
            <w:lang w:eastAsia="en-IN" w:bidi="ar-SA"/>
            <w14:ligatures w14:val="none"/>
          </w:rPr>
          <w:t>9</w:t>
        </w:r>
      </w:hyperlink>
      <w:r w:rsidRPr="00D4005D">
        <w:rPr>
          <w:rFonts w:ascii="Times New Roman" w:eastAsia="Times New Roman" w:hAnsi="Times New Roman" w:cs="Times New Roman"/>
          <w:color w:val="333333"/>
          <w:kern w:val="0"/>
          <w:sz w:val="24"/>
          <w:szCs w:val="24"/>
          <w:lang w:eastAsia="en-IN" w:bidi="ar-SA"/>
          <w14:ligatures w14:val="none"/>
        </w:rPr>
        <w:t>, </w:t>
      </w:r>
      <w:hyperlink r:id="rId39" w:anchor="ref-CR12" w:tooltip="Das, A., Rad, P.: Opportunities and challenges in explainable artificial intelligence (XAI): a survey. arXiv preprint &#10;                    arXiv:2006.11371&#10;                    &#10;                   (2020)" w:history="1">
        <w:r w:rsidRPr="00D4005D">
          <w:rPr>
            <w:rFonts w:ascii="Times New Roman" w:eastAsia="Times New Roman" w:hAnsi="Times New Roman" w:cs="Times New Roman"/>
            <w:color w:val="004B83"/>
            <w:kern w:val="0"/>
            <w:sz w:val="24"/>
            <w:szCs w:val="24"/>
            <w:u w:val="single"/>
            <w:lang w:eastAsia="en-IN" w:bidi="ar-SA"/>
            <w14:ligatures w14:val="none"/>
          </w:rPr>
          <w:t>12</w:t>
        </w:r>
      </w:hyperlink>
      <w:r w:rsidRPr="00D4005D">
        <w:rPr>
          <w:rFonts w:ascii="Times New Roman" w:eastAsia="Times New Roman" w:hAnsi="Times New Roman" w:cs="Times New Roman"/>
          <w:color w:val="333333"/>
          <w:kern w:val="0"/>
          <w:sz w:val="24"/>
          <w:szCs w:val="24"/>
          <w:lang w:eastAsia="en-IN" w:bidi="ar-SA"/>
          <w14:ligatures w14:val="none"/>
        </w:rPr>
        <w:t>, </w:t>
      </w:r>
      <w:hyperlink r:id="rId40" w:anchor="ref-CR78" w:tooltip="Tjoa, E., Guan, C.: A survey on explainable artificial intelligence (XAI): toward medical XAI. IEEE Trans. Neural Netw. Learn. Syst. 32, 4793–4813 (2020)" w:history="1">
        <w:r w:rsidRPr="00D4005D">
          <w:rPr>
            <w:rFonts w:ascii="Times New Roman" w:eastAsia="Times New Roman" w:hAnsi="Times New Roman" w:cs="Times New Roman"/>
            <w:color w:val="004B83"/>
            <w:kern w:val="0"/>
            <w:sz w:val="24"/>
            <w:szCs w:val="24"/>
            <w:u w:val="single"/>
            <w:lang w:eastAsia="en-IN" w:bidi="ar-SA"/>
            <w14:ligatures w14:val="none"/>
          </w:rPr>
          <w:t>78</w:t>
        </w:r>
      </w:hyperlink>
      <w:r w:rsidRPr="00D4005D">
        <w:rPr>
          <w:rFonts w:ascii="Times New Roman" w:eastAsia="Times New Roman" w:hAnsi="Times New Roman" w:cs="Times New Roman"/>
          <w:color w:val="333333"/>
          <w:kern w:val="0"/>
          <w:sz w:val="24"/>
          <w:szCs w:val="24"/>
          <w:lang w:eastAsia="en-IN" w:bidi="ar-SA"/>
          <w14:ligatures w14:val="none"/>
        </w:rPr>
        <w:t>]. These methods aim at a </w:t>
      </w:r>
      <w:r w:rsidRPr="00D4005D">
        <w:rPr>
          <w:rFonts w:ascii="Times New Roman" w:eastAsia="Times New Roman" w:hAnsi="Times New Roman" w:cs="Times New Roman"/>
          <w:i/>
          <w:iCs/>
          <w:color w:val="333333"/>
          <w:kern w:val="0"/>
          <w:sz w:val="24"/>
          <w:szCs w:val="24"/>
          <w:lang w:eastAsia="en-IN" w:bidi="ar-SA"/>
          <w14:ligatures w14:val="none"/>
        </w:rPr>
        <w:t>post hoc</w:t>
      </w:r>
      <w:r w:rsidRPr="00D4005D">
        <w:rPr>
          <w:rFonts w:ascii="Times New Roman" w:eastAsia="Times New Roman" w:hAnsi="Times New Roman" w:cs="Times New Roman"/>
          <w:color w:val="333333"/>
          <w:kern w:val="0"/>
          <w:sz w:val="24"/>
          <w:szCs w:val="24"/>
          <w:lang w:eastAsia="en-IN" w:bidi="ar-SA"/>
          <w14:ligatures w14:val="none"/>
        </w:rPr>
        <w:t xml:space="preserve"> attribution of the NN prediction to specific features in the input domain (usually referred to as attribution/relevance heatmaps), thus identifying relationships between the input and the output that may be </w:t>
      </w:r>
      <w:r w:rsidRPr="00D4005D">
        <w:rPr>
          <w:rFonts w:ascii="Times New Roman" w:eastAsia="Times New Roman" w:hAnsi="Times New Roman" w:cs="Times New Roman"/>
          <w:color w:val="333333"/>
          <w:kern w:val="0"/>
          <w:sz w:val="24"/>
          <w:szCs w:val="24"/>
          <w:lang w:eastAsia="en-IN" w:bidi="ar-SA"/>
          <w14:ligatures w14:val="none"/>
        </w:rPr>
        <w:lastRenderedPageBreak/>
        <w:t>interpreted physically by the scientists. XAI methods have already offered promising results and fruitful insights into how NNs predict in many applications and in various fields, making “black box” models more transparent [</w:t>
      </w:r>
      <w:hyperlink r:id="rId41" w:anchor="ref-CR50" w:tooltip="McGovern, A., et al.: Making the black box more transparent: understanding the physical implications of machine learning. Bull. Am. Meteor. Soc. 100(11), 2175–2199 (2019)" w:history="1">
        <w:r w:rsidRPr="00D4005D">
          <w:rPr>
            <w:rFonts w:ascii="Times New Roman" w:eastAsia="Times New Roman" w:hAnsi="Times New Roman" w:cs="Times New Roman"/>
            <w:color w:val="004B83"/>
            <w:kern w:val="0"/>
            <w:sz w:val="24"/>
            <w:szCs w:val="24"/>
            <w:u w:val="single"/>
            <w:lang w:eastAsia="en-IN" w:bidi="ar-SA"/>
            <w14:ligatures w14:val="none"/>
          </w:rPr>
          <w:t>50</w:t>
        </w:r>
      </w:hyperlink>
      <w:r w:rsidRPr="00D4005D">
        <w:rPr>
          <w:rFonts w:ascii="Times New Roman" w:eastAsia="Times New Roman" w:hAnsi="Times New Roman" w:cs="Times New Roman"/>
          <w:color w:val="333333"/>
          <w:kern w:val="0"/>
          <w:sz w:val="24"/>
          <w:szCs w:val="24"/>
          <w:lang w:eastAsia="en-IN" w:bidi="ar-SA"/>
          <w14:ligatures w14:val="none"/>
        </w:rPr>
        <w:t>]. In the geosciences, physical understanding about how a model predicts is highly desired, so, XAI methods are expected to be a real game-changer for the further application of NNs in this field [</w:t>
      </w:r>
      <w:hyperlink r:id="rId42" w:anchor="ref-CR79" w:tooltip="Toms, B.A., Barnes, E.A., Ebert-Uphoff, I.: Physically interpretable neural networks for the geosciences: applications to earth system variability. J. Adv. Model. Earth Syst. 12(9), e2019MS002002 (2020)" w:history="1">
        <w:r w:rsidRPr="00D4005D">
          <w:rPr>
            <w:rFonts w:ascii="Times New Roman" w:eastAsia="Times New Roman" w:hAnsi="Times New Roman" w:cs="Times New Roman"/>
            <w:color w:val="004B83"/>
            <w:kern w:val="0"/>
            <w:sz w:val="24"/>
            <w:szCs w:val="24"/>
            <w:u w:val="single"/>
            <w:lang w:eastAsia="en-IN" w:bidi="ar-SA"/>
            <w14:ligatures w14:val="none"/>
          </w:rPr>
          <w:t>79</w:t>
        </w:r>
      </w:hyperlink>
      <w:r w:rsidRPr="00D4005D">
        <w:rPr>
          <w:rFonts w:ascii="Times New Roman" w:eastAsia="Times New Roman" w:hAnsi="Times New Roman" w:cs="Times New Roman"/>
          <w:color w:val="333333"/>
          <w:kern w:val="0"/>
          <w:sz w:val="24"/>
          <w:szCs w:val="24"/>
          <w:lang w:eastAsia="en-IN" w:bidi="ar-SA"/>
          <w14:ligatures w14:val="none"/>
        </w:rPr>
        <w:t>].</w:t>
      </w:r>
    </w:p>
    <w:p w14:paraId="00796866"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In this chapter, we provide an overview of the most recent studies from our group that implement XAI in the fields of climate science and meteorology. We focus here on outlining our work, the details of which we are more knowledgeable of, but we highlight that relevant work has been also established by other groups (see e.g., [</w:t>
      </w:r>
      <w:hyperlink r:id="rId43" w:anchor="ref-CR18" w:tooltip="Gagne, D.J., II., Haupt, S.E., Nychka, D.W., Thompson, G.: Interpretable deep learning for spatial analysis of severe hailstorms. Mon. Weather Rev. 147(8), 2827–2845 (2019)" w:history="1">
        <w:r w:rsidRPr="00D4005D">
          <w:rPr>
            <w:rFonts w:ascii="Times New Roman" w:eastAsia="Times New Roman" w:hAnsi="Times New Roman" w:cs="Times New Roman"/>
            <w:color w:val="004B83"/>
            <w:kern w:val="0"/>
            <w:sz w:val="24"/>
            <w:szCs w:val="24"/>
            <w:u w:val="single"/>
            <w:lang w:eastAsia="en-IN" w:bidi="ar-SA"/>
            <w14:ligatures w14:val="none"/>
          </w:rPr>
          <w:t>18</w:t>
        </w:r>
      </w:hyperlink>
      <w:r w:rsidRPr="00D4005D">
        <w:rPr>
          <w:rFonts w:ascii="Times New Roman" w:eastAsia="Times New Roman" w:hAnsi="Times New Roman" w:cs="Times New Roman"/>
          <w:color w:val="333333"/>
          <w:kern w:val="0"/>
          <w:sz w:val="24"/>
          <w:szCs w:val="24"/>
          <w:lang w:eastAsia="en-IN" w:bidi="ar-SA"/>
          <w14:ligatures w14:val="none"/>
        </w:rPr>
        <w:t>, </w:t>
      </w:r>
      <w:hyperlink r:id="rId44" w:anchor="ref-CR34" w:tooltip="Lagerquist, R., McGovern, A., Homeyer, C.R., Gagne, D.J., II., Smith, T.: Deep learning on three-dimensional multiscale data for next-hour tornado prediction. Mon. Weather Rev. 148(7), 2837–2861 (2020)" w:history="1">
        <w:r w:rsidRPr="00D4005D">
          <w:rPr>
            <w:rFonts w:ascii="Times New Roman" w:eastAsia="Times New Roman" w:hAnsi="Times New Roman" w:cs="Times New Roman"/>
            <w:color w:val="004B83"/>
            <w:kern w:val="0"/>
            <w:sz w:val="24"/>
            <w:szCs w:val="24"/>
            <w:u w:val="single"/>
            <w:lang w:eastAsia="en-IN" w:bidi="ar-SA"/>
            <w14:ligatures w14:val="none"/>
          </w:rPr>
          <w:t>34</w:t>
        </w:r>
      </w:hyperlink>
      <w:r w:rsidRPr="00D4005D">
        <w:rPr>
          <w:rFonts w:ascii="Times New Roman" w:eastAsia="Times New Roman" w:hAnsi="Times New Roman" w:cs="Times New Roman"/>
          <w:color w:val="333333"/>
          <w:kern w:val="0"/>
          <w:sz w:val="24"/>
          <w:szCs w:val="24"/>
          <w:lang w:eastAsia="en-IN" w:bidi="ar-SA"/>
          <w14:ligatures w14:val="none"/>
        </w:rPr>
        <w:t>, </w:t>
      </w:r>
      <w:hyperlink r:id="rId45" w:anchor="ref-CR52" w:tooltip="Molina, M.J., Gagne, D.J., Prein, A.F.: A benchmark to test generalization capabilities of deep learning methods to classify severe convective storms in a changing climate. Earth and Space Science Open Archive ESSOAr (2021)" w:history="1">
        <w:r w:rsidRPr="00D4005D">
          <w:rPr>
            <w:rFonts w:ascii="Times New Roman" w:eastAsia="Times New Roman" w:hAnsi="Times New Roman" w:cs="Times New Roman"/>
            <w:color w:val="004B83"/>
            <w:kern w:val="0"/>
            <w:sz w:val="24"/>
            <w:szCs w:val="24"/>
            <w:u w:val="single"/>
            <w:lang w:eastAsia="en-IN" w:bidi="ar-SA"/>
            <w14:ligatures w14:val="none"/>
          </w:rPr>
          <w:t>52</w:t>
        </w:r>
      </w:hyperlink>
      <w:r w:rsidRPr="00D4005D">
        <w:rPr>
          <w:rFonts w:ascii="Times New Roman" w:eastAsia="Times New Roman" w:hAnsi="Times New Roman" w:cs="Times New Roman"/>
          <w:color w:val="333333"/>
          <w:kern w:val="0"/>
          <w:sz w:val="24"/>
          <w:szCs w:val="24"/>
          <w:lang w:eastAsia="en-IN" w:bidi="ar-SA"/>
          <w14:ligatures w14:val="none"/>
        </w:rPr>
        <w:t>, </w:t>
      </w:r>
      <w:hyperlink r:id="rId46" w:anchor="ref-CR74" w:tooltip="Sonnewald, M., Lguensat, R.: Revealing the impact of global heating on north atlantic circulation using transparent machine learning. Earth and Space Science Open Archive ESSOAr (2021)" w:history="1">
        <w:r w:rsidRPr="00D4005D">
          <w:rPr>
            <w:rFonts w:ascii="Times New Roman" w:eastAsia="Times New Roman" w:hAnsi="Times New Roman" w:cs="Times New Roman"/>
            <w:color w:val="004B83"/>
            <w:kern w:val="0"/>
            <w:sz w:val="24"/>
            <w:szCs w:val="24"/>
            <w:u w:val="single"/>
            <w:lang w:eastAsia="en-IN" w:bidi="ar-SA"/>
            <w14:ligatures w14:val="none"/>
          </w:rPr>
          <w:t>74</w:t>
        </w:r>
      </w:hyperlink>
      <w:r w:rsidRPr="00D4005D">
        <w:rPr>
          <w:rFonts w:ascii="Times New Roman" w:eastAsia="Times New Roman" w:hAnsi="Times New Roman" w:cs="Times New Roman"/>
          <w:color w:val="333333"/>
          <w:kern w:val="0"/>
          <w:sz w:val="24"/>
          <w:szCs w:val="24"/>
          <w:lang w:eastAsia="en-IN" w:bidi="ar-SA"/>
          <w14:ligatures w14:val="none"/>
        </w:rPr>
        <w:t>]). The first part of this overview presents results from direct application of XAI to solve various prediction problems that are of particular interest to the community. We start with XAI applications in remote sensing, specifically for image-to-image translation of satellite imagery to inform weather forecasting. Second, we focus on applications of climate prediction at a range of timescales from subseasonal to decadal, and last, we show how XAI can be used to detect forced climatic changes and anthropogenic footprint in observations and simulations. The second part of this overview explores ways that can help scientists gain insights about systematic strengths and weaknesses of different XAI methods and generally improve their assessment. So far in the literature, there has been no objective framework to assess how accurately an XAI method explains the strategy of a NN, since the ground truth of what the explanation should look like is typically unknown. Here, we discuss a recently introduced synthetic benchmark dataset that can introduce objectivity in assessing XAI methods’ fidelity for weather/climate applications, which will lead to better understanding and implementation.</w:t>
      </w:r>
    </w:p>
    <w:p w14:paraId="4CA6CF8B"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The overall aim of this chapter is to illustrate how XAI methods can be used to help scientists fine tune NN models that perform poorly, build trust in models that are successful and investigate new physical insights and connections between the input and the output (see Fig. </w:t>
      </w:r>
      <w:hyperlink r:id="rId47" w:anchor="Fig1" w:history="1">
        <w:r w:rsidRPr="00D4005D">
          <w:rPr>
            <w:rFonts w:ascii="Times New Roman" w:eastAsia="Times New Roman" w:hAnsi="Times New Roman" w:cs="Times New Roman"/>
            <w:color w:val="004B83"/>
            <w:kern w:val="0"/>
            <w:sz w:val="24"/>
            <w:szCs w:val="24"/>
            <w:u w:val="single"/>
            <w:lang w:eastAsia="en-IN" w:bidi="ar-SA"/>
            <w14:ligatures w14:val="none"/>
          </w:rPr>
          <w:t>1</w:t>
        </w:r>
      </w:hyperlink>
      <w:r w:rsidRPr="00D4005D">
        <w:rPr>
          <w:rFonts w:ascii="Times New Roman" w:eastAsia="Times New Roman" w:hAnsi="Times New Roman" w:cs="Times New Roman"/>
          <w:color w:val="333333"/>
          <w:kern w:val="0"/>
          <w:sz w:val="24"/>
          <w:szCs w:val="24"/>
          <w:lang w:eastAsia="en-IN" w:bidi="ar-SA"/>
          <w14:ligatures w14:val="none"/>
        </w:rPr>
        <w:t>).</w:t>
      </w:r>
    </w:p>
    <w:p w14:paraId="3674F412" w14:textId="77777777" w:rsidR="006C4AAD" w:rsidRPr="00D4005D" w:rsidRDefault="006C4AAD" w:rsidP="006C4AAD">
      <w:pPr>
        <w:numPr>
          <w:ilvl w:val="0"/>
          <w:numId w:val="8"/>
        </w:numPr>
        <w:shd w:val="clear" w:color="auto" w:fill="FCFCFC"/>
        <w:spacing w:after="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i/>
          <w:iCs/>
          <w:color w:val="333333"/>
          <w:kern w:val="0"/>
          <w:sz w:val="24"/>
          <w:szCs w:val="24"/>
          <w:lang w:eastAsia="en-IN" w:bidi="ar-SA"/>
          <w14:ligatures w14:val="none"/>
        </w:rPr>
        <w:t>i) XAI to guide the design of the NN architecture.</w:t>
      </w:r>
      <w:r w:rsidRPr="00D4005D">
        <w:rPr>
          <w:rFonts w:ascii="Times New Roman" w:eastAsia="Times New Roman" w:hAnsi="Times New Roman" w:cs="Times New Roman"/>
          <w:color w:val="333333"/>
          <w:kern w:val="0"/>
          <w:sz w:val="24"/>
          <w:szCs w:val="24"/>
          <w:lang w:eastAsia="en-IN" w:bidi="ar-SA"/>
          <w14:ligatures w14:val="none"/>
        </w:rPr>
        <w:t> One of the main challenges when using a NN is how to decide on the proper NN architecture for the problem at hand. We argue that XAI methods can be an effective tool for analysts to get insight into a flawed NN strategy and be able to revise it in order to improve prediction performance.</w:t>
      </w:r>
    </w:p>
    <w:p w14:paraId="3FC41D0C" w14:textId="77777777" w:rsidR="006C4AAD" w:rsidRPr="00D4005D" w:rsidRDefault="006C4AAD" w:rsidP="006C4AAD">
      <w:pPr>
        <w:numPr>
          <w:ilvl w:val="0"/>
          <w:numId w:val="8"/>
        </w:numPr>
        <w:shd w:val="clear" w:color="auto" w:fill="FCFCFC"/>
        <w:spacing w:after="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i/>
          <w:iCs/>
          <w:color w:val="333333"/>
          <w:kern w:val="0"/>
          <w:sz w:val="24"/>
          <w:szCs w:val="24"/>
          <w:lang w:eastAsia="en-IN" w:bidi="ar-SA"/>
          <w14:ligatures w14:val="none"/>
        </w:rPr>
        <w:t>ii) XAI to help calibrate trust in the NN predictions.</w:t>
      </w:r>
      <w:r w:rsidRPr="00D4005D">
        <w:rPr>
          <w:rFonts w:ascii="Times New Roman" w:eastAsia="Times New Roman" w:hAnsi="Times New Roman" w:cs="Times New Roman"/>
          <w:color w:val="333333"/>
          <w:kern w:val="0"/>
          <w:sz w:val="24"/>
          <w:szCs w:val="24"/>
          <w:lang w:eastAsia="en-IN" w:bidi="ar-SA"/>
          <w14:ligatures w14:val="none"/>
        </w:rPr>
        <w:t> Even in cases when a NN (i.e., or any black model in general) exhibits a high predictive performance, it is not guaranteed that the underlying strategy that is used for prediction is correct. This has famously been depicted in the example of “clever Hans”, a horse that was correctly solving mathematical sums and problems based on the reaction of the audience [</w:t>
      </w:r>
      <w:hyperlink r:id="rId48" w:anchor="ref-CR35" w:tooltip="Lapuschkin, S., Wäldchen, S., Binder, A., Montavon, G., Samek, W., Müller, K.R.: Unmasking clever HANs predictors and assessing what machines really learn. Nat. Commun. 10(1), 1–8 (2019)" w:history="1">
        <w:r w:rsidRPr="00D4005D">
          <w:rPr>
            <w:rFonts w:ascii="Times New Roman" w:eastAsia="Times New Roman" w:hAnsi="Times New Roman" w:cs="Times New Roman"/>
            <w:color w:val="004B83"/>
            <w:kern w:val="0"/>
            <w:sz w:val="24"/>
            <w:szCs w:val="24"/>
            <w:u w:val="single"/>
            <w:lang w:eastAsia="en-IN" w:bidi="ar-SA"/>
            <w14:ligatures w14:val="none"/>
          </w:rPr>
          <w:t>35</w:t>
        </w:r>
      </w:hyperlink>
      <w:r w:rsidRPr="00D4005D">
        <w:rPr>
          <w:rFonts w:ascii="Times New Roman" w:eastAsia="Times New Roman" w:hAnsi="Times New Roman" w:cs="Times New Roman"/>
          <w:color w:val="333333"/>
          <w:kern w:val="0"/>
          <w:sz w:val="24"/>
          <w:szCs w:val="24"/>
          <w:lang w:eastAsia="en-IN" w:bidi="ar-SA"/>
          <w14:ligatures w14:val="none"/>
        </w:rPr>
        <w:t>]. By using XAI methods, scientists can verify when a prediction is successful for the right reasons (i.e., they can test against “clever Hans” prediction models [</w:t>
      </w:r>
      <w:hyperlink r:id="rId49" w:anchor="ref-CR35" w:tooltip="Lapuschkin, S., Wäldchen, S., Binder, A., Montavon, G., Samek, W., Müller, K.R.: Unmasking clever HANs predictors and assessing what machines really learn. Nat. Commun. 10(1), 1–8 (2019)" w:history="1">
        <w:r w:rsidRPr="00D4005D">
          <w:rPr>
            <w:rFonts w:ascii="Times New Roman" w:eastAsia="Times New Roman" w:hAnsi="Times New Roman" w:cs="Times New Roman"/>
            <w:color w:val="004B83"/>
            <w:kern w:val="0"/>
            <w:sz w:val="24"/>
            <w:szCs w:val="24"/>
            <w:u w:val="single"/>
            <w:lang w:eastAsia="en-IN" w:bidi="ar-SA"/>
            <w14:ligatures w14:val="none"/>
          </w:rPr>
          <w:t>35</w:t>
        </w:r>
      </w:hyperlink>
      <w:r w:rsidRPr="00D4005D">
        <w:rPr>
          <w:rFonts w:ascii="Times New Roman" w:eastAsia="Times New Roman" w:hAnsi="Times New Roman" w:cs="Times New Roman"/>
          <w:color w:val="333333"/>
          <w:kern w:val="0"/>
          <w:sz w:val="24"/>
          <w:szCs w:val="24"/>
          <w:lang w:eastAsia="en-IN" w:bidi="ar-SA"/>
          <w14:ligatures w14:val="none"/>
        </w:rPr>
        <w:t>]), thus helping build model trust.</w:t>
      </w:r>
    </w:p>
    <w:p w14:paraId="619B2C46" w14:textId="77777777" w:rsidR="006C4AAD" w:rsidRPr="00D4005D" w:rsidRDefault="006C4AAD" w:rsidP="006C4AAD">
      <w:pPr>
        <w:numPr>
          <w:ilvl w:val="0"/>
          <w:numId w:val="8"/>
        </w:numPr>
        <w:shd w:val="clear" w:color="auto" w:fill="FCFCFC"/>
        <w:spacing w:after="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i/>
          <w:iCs/>
          <w:color w:val="333333"/>
          <w:kern w:val="0"/>
          <w:sz w:val="24"/>
          <w:szCs w:val="24"/>
          <w:lang w:eastAsia="en-IN" w:bidi="ar-SA"/>
          <w14:ligatures w14:val="none"/>
        </w:rPr>
        <w:t>iii) XAI to help learn new science.</w:t>
      </w:r>
      <w:r w:rsidRPr="00D4005D">
        <w:rPr>
          <w:rFonts w:ascii="Times New Roman" w:eastAsia="Times New Roman" w:hAnsi="Times New Roman" w:cs="Times New Roman"/>
          <w:color w:val="333333"/>
          <w:kern w:val="0"/>
          <w:sz w:val="24"/>
          <w:szCs w:val="24"/>
          <w:lang w:eastAsia="en-IN" w:bidi="ar-SA"/>
          <w14:ligatures w14:val="none"/>
        </w:rPr>
        <w:t xml:space="preserve"> XAI methods allow scientists to gain physical insights about the connections between the input variables and the predicted output, and generally about the problem at hand. In cases where the highlighted connections are not fully anticipated/understood by already established science, further research and investigation may be warranted, which can accelerate learning new science. We highlight though that XAI methods will most often motivate new analysis to learn and </w:t>
      </w:r>
      <w:r w:rsidRPr="00D4005D">
        <w:rPr>
          <w:rFonts w:ascii="Times New Roman" w:eastAsia="Times New Roman" w:hAnsi="Times New Roman" w:cs="Times New Roman"/>
          <w:color w:val="333333"/>
          <w:kern w:val="0"/>
          <w:sz w:val="24"/>
          <w:szCs w:val="24"/>
          <w:lang w:eastAsia="en-IN" w:bidi="ar-SA"/>
          <w14:ligatures w14:val="none"/>
        </w:rPr>
        <w:lastRenderedPageBreak/>
        <w:t>establish new science, but cannot prove the existence of a physical phenomenon, link or mechanism, since correlation does not imply causation.</w:t>
      </w:r>
    </w:p>
    <w:p w14:paraId="18FE6E3F"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The content of the chapter is mainly based on previously published work from our group [</w:t>
      </w:r>
      <w:hyperlink r:id="rId50" w:anchor="ref-CR6" w:tooltip="Barnes, E.A., Toms, B., Hurrell, J.W., Ebert-Uphoff, I., Anderson, C., Anderson, D.: Indicator patterns of forced change learned by an artificial neural network. J. Adv. Model. Earth Syst. 12(9), e2020MS002195 (2020)" w:history="1">
        <w:r w:rsidRPr="00D4005D">
          <w:rPr>
            <w:rFonts w:ascii="Times New Roman" w:eastAsia="Times New Roman" w:hAnsi="Times New Roman" w:cs="Times New Roman"/>
            <w:color w:val="004B83"/>
            <w:kern w:val="0"/>
            <w:sz w:val="24"/>
            <w:szCs w:val="24"/>
            <w:u w:val="single"/>
            <w:lang w:eastAsia="en-IN" w:bidi="ar-SA"/>
            <w14:ligatures w14:val="none"/>
          </w:rPr>
          <w:t>6</w:t>
        </w:r>
      </w:hyperlink>
      <w:r w:rsidRPr="00D4005D">
        <w:rPr>
          <w:rFonts w:ascii="Times New Roman" w:eastAsia="Times New Roman" w:hAnsi="Times New Roman" w:cs="Times New Roman"/>
          <w:color w:val="333333"/>
          <w:kern w:val="0"/>
          <w:sz w:val="24"/>
          <w:szCs w:val="24"/>
          <w:lang w:eastAsia="en-IN" w:bidi="ar-SA"/>
          <w14:ligatures w14:val="none"/>
        </w:rPr>
        <w:t>, </w:t>
      </w:r>
      <w:hyperlink r:id="rId51" w:anchor="ref-CR16" w:tooltip="Ebert-Uphoff, I., Hilburn, K.: Evaluation, tuning, and interpretation of neural networks for working with images in meteorological applications. Bull. Am. Meteor. Soc. 101(12), E2149–E2170 (2020)" w:history="1">
        <w:r w:rsidRPr="00D4005D">
          <w:rPr>
            <w:rFonts w:ascii="Times New Roman" w:eastAsia="Times New Roman" w:hAnsi="Times New Roman" w:cs="Times New Roman"/>
            <w:color w:val="004B83"/>
            <w:kern w:val="0"/>
            <w:sz w:val="24"/>
            <w:szCs w:val="24"/>
            <w:u w:val="single"/>
            <w:lang w:eastAsia="en-IN" w:bidi="ar-SA"/>
            <w14:ligatures w14:val="none"/>
          </w:rPr>
          <w:t>16</w:t>
        </w:r>
      </w:hyperlink>
      <w:r w:rsidRPr="00D4005D">
        <w:rPr>
          <w:rFonts w:ascii="Times New Roman" w:eastAsia="Times New Roman" w:hAnsi="Times New Roman" w:cs="Times New Roman"/>
          <w:color w:val="333333"/>
          <w:kern w:val="0"/>
          <w:sz w:val="24"/>
          <w:szCs w:val="24"/>
          <w:lang w:eastAsia="en-IN" w:bidi="ar-SA"/>
          <w14:ligatures w14:val="none"/>
        </w:rPr>
        <w:t>, </w:t>
      </w:r>
      <w:hyperlink r:id="rId52" w:anchor="ref-CR25" w:tooltip="Hilburn, K.A., Ebert-Uphoff, I., Miller, S.D.: Development and interpretation of a neural-network-based synthetic radar reflectivity estimator using GOES-R satellite observations. J. Appl. Meteorol. Climatol. 60(1), 3–21 (2021)" w:history="1">
        <w:r w:rsidRPr="00D4005D">
          <w:rPr>
            <w:rFonts w:ascii="Times New Roman" w:eastAsia="Times New Roman" w:hAnsi="Times New Roman" w:cs="Times New Roman"/>
            <w:color w:val="004B83"/>
            <w:kern w:val="0"/>
            <w:sz w:val="24"/>
            <w:szCs w:val="24"/>
            <w:u w:val="single"/>
            <w:lang w:eastAsia="en-IN" w:bidi="ar-SA"/>
            <w14:ligatures w14:val="none"/>
          </w:rPr>
          <w:t>25</w:t>
        </w:r>
      </w:hyperlink>
      <w:r w:rsidRPr="00D4005D">
        <w:rPr>
          <w:rFonts w:ascii="Times New Roman" w:eastAsia="Times New Roman" w:hAnsi="Times New Roman" w:cs="Times New Roman"/>
          <w:color w:val="333333"/>
          <w:kern w:val="0"/>
          <w:sz w:val="24"/>
          <w:szCs w:val="24"/>
          <w:lang w:eastAsia="en-IN" w:bidi="ar-SA"/>
          <w14:ligatures w14:val="none"/>
        </w:rPr>
        <w:t>, </w:t>
      </w:r>
      <w:hyperlink r:id="rId53" w:anchor="ref-CR29" w:tooltip="Keys, P.W., Barnes, E.A., Carter, N.H.: A machine-learning approach to human footprint index estimation with applications to sustainable development. Environ. Res. Lett. 16(4), 044061 (2021)" w:history="1">
        <w:r w:rsidRPr="00D4005D">
          <w:rPr>
            <w:rFonts w:ascii="Times New Roman" w:eastAsia="Times New Roman" w:hAnsi="Times New Roman" w:cs="Times New Roman"/>
            <w:color w:val="004B83"/>
            <w:kern w:val="0"/>
            <w:sz w:val="24"/>
            <w:szCs w:val="24"/>
            <w:u w:val="single"/>
            <w:lang w:eastAsia="en-IN" w:bidi="ar-SA"/>
            <w14:ligatures w14:val="none"/>
          </w:rPr>
          <w:t>29</w:t>
        </w:r>
      </w:hyperlink>
      <w:r w:rsidRPr="00D4005D">
        <w:rPr>
          <w:rFonts w:ascii="Times New Roman" w:eastAsia="Times New Roman" w:hAnsi="Times New Roman" w:cs="Times New Roman"/>
          <w:color w:val="333333"/>
          <w:kern w:val="0"/>
          <w:sz w:val="24"/>
          <w:szCs w:val="24"/>
          <w:lang w:eastAsia="en-IN" w:bidi="ar-SA"/>
          <w14:ligatures w14:val="none"/>
        </w:rPr>
        <w:t>, </w:t>
      </w:r>
      <w:hyperlink r:id="rId54" w:anchor="ref-CR43" w:tooltip="Mamalakis, A., Ebert-Uphoff, I., Barnes, E.A.: Neural network attribution methods for problems in geoscience: a novel synthetic benchmark dataset. arXiv preprint &#10;                    arXiv:2103.10005&#10;                    &#10;                   (2021)" w:history="1">
        <w:r w:rsidRPr="00D4005D">
          <w:rPr>
            <w:rFonts w:ascii="Times New Roman" w:eastAsia="Times New Roman" w:hAnsi="Times New Roman" w:cs="Times New Roman"/>
            <w:color w:val="004B83"/>
            <w:kern w:val="0"/>
            <w:sz w:val="24"/>
            <w:szCs w:val="24"/>
            <w:u w:val="single"/>
            <w:lang w:eastAsia="en-IN" w:bidi="ar-SA"/>
            <w14:ligatures w14:val="none"/>
          </w:rPr>
          <w:t>43</w:t>
        </w:r>
      </w:hyperlink>
      <w:r w:rsidRPr="00D4005D">
        <w:rPr>
          <w:rFonts w:ascii="Times New Roman" w:eastAsia="Times New Roman" w:hAnsi="Times New Roman" w:cs="Times New Roman"/>
          <w:color w:val="333333"/>
          <w:kern w:val="0"/>
          <w:sz w:val="24"/>
          <w:szCs w:val="24"/>
          <w:lang w:eastAsia="en-IN" w:bidi="ar-SA"/>
          <w14:ligatures w14:val="none"/>
        </w:rPr>
        <w:t>, </w:t>
      </w:r>
      <w:hyperlink r:id="rId55" w:anchor="ref-CR47" w:tooltip="Mayer, K.J., Barnes, E.A.: Subseasonal forecasts of opportunity identified by an explainable neural network. Geophys. Res. Lett. 48(10), e2020GL092092 (2021)" w:history="1">
        <w:r w:rsidRPr="00D4005D">
          <w:rPr>
            <w:rFonts w:ascii="Times New Roman" w:eastAsia="Times New Roman" w:hAnsi="Times New Roman" w:cs="Times New Roman"/>
            <w:color w:val="004B83"/>
            <w:kern w:val="0"/>
            <w:sz w:val="24"/>
            <w:szCs w:val="24"/>
            <w:u w:val="single"/>
            <w:lang w:eastAsia="en-IN" w:bidi="ar-SA"/>
            <w14:ligatures w14:val="none"/>
          </w:rPr>
          <w:t>47</w:t>
        </w:r>
      </w:hyperlink>
      <w:r w:rsidRPr="00D4005D">
        <w:rPr>
          <w:rFonts w:ascii="Times New Roman" w:eastAsia="Times New Roman" w:hAnsi="Times New Roman" w:cs="Times New Roman"/>
          <w:color w:val="333333"/>
          <w:kern w:val="0"/>
          <w:sz w:val="24"/>
          <w:szCs w:val="24"/>
          <w:lang w:eastAsia="en-IN" w:bidi="ar-SA"/>
          <w14:ligatures w14:val="none"/>
        </w:rPr>
        <w:t>, </w:t>
      </w:r>
      <w:hyperlink r:id="rId56" w:anchor="ref-CR80" w:tooltip="Toms, B.A., Barnes, E.A., Hurrell, J.W.: Assessing decadal predictability in an earth-system model using explainable neural networks. Geophys. Res. Lett. 48, e2021GL093842 (2021)" w:history="1">
        <w:r w:rsidRPr="00D4005D">
          <w:rPr>
            <w:rFonts w:ascii="Times New Roman" w:eastAsia="Times New Roman" w:hAnsi="Times New Roman" w:cs="Times New Roman"/>
            <w:color w:val="004B83"/>
            <w:kern w:val="0"/>
            <w:sz w:val="24"/>
            <w:szCs w:val="24"/>
            <w:u w:val="single"/>
            <w:lang w:eastAsia="en-IN" w:bidi="ar-SA"/>
            <w14:ligatures w14:val="none"/>
          </w:rPr>
          <w:t>80</w:t>
        </w:r>
      </w:hyperlink>
      <w:r w:rsidRPr="00D4005D">
        <w:rPr>
          <w:rFonts w:ascii="Times New Roman" w:eastAsia="Times New Roman" w:hAnsi="Times New Roman" w:cs="Times New Roman"/>
          <w:color w:val="333333"/>
          <w:kern w:val="0"/>
          <w:sz w:val="24"/>
          <w:szCs w:val="24"/>
          <w:lang w:eastAsia="en-IN" w:bidi="ar-SA"/>
          <w14:ligatures w14:val="none"/>
        </w:rPr>
        <w:t>], and is re-organized here to be easily followed by the non-expert reader. In Sect. </w:t>
      </w:r>
      <w:hyperlink r:id="rId57" w:anchor="Sec2" w:history="1">
        <w:r w:rsidRPr="00D4005D">
          <w:rPr>
            <w:rFonts w:ascii="Times New Roman" w:eastAsia="Times New Roman" w:hAnsi="Times New Roman" w:cs="Times New Roman"/>
            <w:color w:val="004B83"/>
            <w:kern w:val="0"/>
            <w:sz w:val="24"/>
            <w:szCs w:val="24"/>
            <w:u w:val="single"/>
            <w:lang w:eastAsia="en-IN" w:bidi="ar-SA"/>
            <w14:ligatures w14:val="none"/>
          </w:rPr>
          <w:t>2</w:t>
        </w:r>
      </w:hyperlink>
      <w:r w:rsidRPr="00D4005D">
        <w:rPr>
          <w:rFonts w:ascii="Times New Roman" w:eastAsia="Times New Roman" w:hAnsi="Times New Roman" w:cs="Times New Roman"/>
          <w:color w:val="333333"/>
          <w:kern w:val="0"/>
          <w:sz w:val="24"/>
          <w:szCs w:val="24"/>
          <w:lang w:eastAsia="en-IN" w:bidi="ar-SA"/>
          <w14:ligatures w14:val="none"/>
        </w:rPr>
        <w:t>, we present results from various XAI applications in climate science and meteorology. In Sect. </w:t>
      </w:r>
      <w:hyperlink r:id="rId58" w:anchor="Sec6" w:history="1">
        <w:r w:rsidRPr="00D4005D">
          <w:rPr>
            <w:rFonts w:ascii="Times New Roman" w:eastAsia="Times New Roman" w:hAnsi="Times New Roman" w:cs="Times New Roman"/>
            <w:color w:val="004B83"/>
            <w:kern w:val="0"/>
            <w:sz w:val="24"/>
            <w:szCs w:val="24"/>
            <w:u w:val="single"/>
            <w:lang w:eastAsia="en-IN" w:bidi="ar-SA"/>
            <w14:ligatures w14:val="none"/>
          </w:rPr>
          <w:t>3</w:t>
        </w:r>
      </w:hyperlink>
      <w:r w:rsidRPr="00D4005D">
        <w:rPr>
          <w:rFonts w:ascii="Times New Roman" w:eastAsia="Times New Roman" w:hAnsi="Times New Roman" w:cs="Times New Roman"/>
          <w:color w:val="333333"/>
          <w:kern w:val="0"/>
          <w:sz w:val="24"/>
          <w:szCs w:val="24"/>
          <w:lang w:eastAsia="en-IN" w:bidi="ar-SA"/>
          <w14:ligatures w14:val="none"/>
        </w:rPr>
        <w:t>, we outline a new framework to generate attribution benchmark datasets to objectively evaluate XAI methods’ fidelity, and in Sect. </w:t>
      </w:r>
      <w:hyperlink r:id="rId59" w:anchor="Sec9" w:history="1">
        <w:r w:rsidRPr="00D4005D">
          <w:rPr>
            <w:rFonts w:ascii="Times New Roman" w:eastAsia="Times New Roman" w:hAnsi="Times New Roman" w:cs="Times New Roman"/>
            <w:color w:val="004B83"/>
            <w:kern w:val="0"/>
            <w:sz w:val="24"/>
            <w:szCs w:val="24"/>
            <w:u w:val="single"/>
            <w:lang w:eastAsia="en-IN" w:bidi="ar-SA"/>
            <w14:ligatures w14:val="none"/>
          </w:rPr>
          <w:t>4</w:t>
        </w:r>
      </w:hyperlink>
      <w:r w:rsidRPr="00D4005D">
        <w:rPr>
          <w:rFonts w:ascii="Times New Roman" w:eastAsia="Times New Roman" w:hAnsi="Times New Roman" w:cs="Times New Roman"/>
          <w:color w:val="333333"/>
          <w:kern w:val="0"/>
          <w:sz w:val="24"/>
          <w:szCs w:val="24"/>
          <w:lang w:eastAsia="en-IN" w:bidi="ar-SA"/>
          <w14:ligatures w14:val="none"/>
        </w:rPr>
        <w:t>, we state our conclusions.</w:t>
      </w:r>
    </w:p>
    <w:p w14:paraId="555BD70B" w14:textId="77777777" w:rsidR="00412BAE" w:rsidRPr="00D4005D" w:rsidRDefault="00412BAE"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54E4F599" w14:textId="77777777" w:rsidR="00412BAE" w:rsidRPr="00D4005D" w:rsidRDefault="00412BAE"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458783A9" w14:textId="77777777" w:rsidR="00412BAE" w:rsidRPr="00D4005D" w:rsidRDefault="00412BAE"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030F7FDA" w14:textId="77777777" w:rsidR="00412BAE" w:rsidRPr="00D4005D" w:rsidRDefault="00412BAE"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4F6C7631" w14:textId="77777777" w:rsidR="00412BAE" w:rsidRPr="00D4005D" w:rsidRDefault="00412BAE"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6C99BE9F" w14:textId="77777777" w:rsidR="00412BAE" w:rsidRPr="00D4005D" w:rsidRDefault="00412BAE"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730C76A6" w14:textId="77777777" w:rsidR="00412BAE" w:rsidRPr="00D4005D" w:rsidRDefault="00412BAE"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28EF7437" w14:textId="77777777" w:rsidR="00412BAE" w:rsidRPr="00D4005D" w:rsidRDefault="00412BAE"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07FA8619" w14:textId="77777777" w:rsidR="00412BAE" w:rsidRPr="00D4005D" w:rsidRDefault="00412BAE"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16691FF0" w14:textId="77777777" w:rsidR="00412BAE" w:rsidRPr="00D4005D" w:rsidRDefault="00412BAE"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73D8212E" w14:textId="30F732EB"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b/>
          <w:bCs/>
          <w:color w:val="333333"/>
          <w:kern w:val="0"/>
          <w:sz w:val="27"/>
          <w:szCs w:val="27"/>
          <w:lang w:eastAsia="en-IN" w:bidi="ar-SA"/>
          <w14:ligatures w14:val="none"/>
        </w:rPr>
        <w:t>Fig. 1.</w:t>
      </w:r>
    </w:p>
    <w:p w14:paraId="457DC7B0"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noProof/>
          <w:color w:val="004B83"/>
          <w:kern w:val="0"/>
          <w:sz w:val="27"/>
          <w:szCs w:val="27"/>
          <w:lang w:eastAsia="en-IN" w:bidi="ar-SA"/>
          <w14:ligatures w14:val="none"/>
        </w:rPr>
        <w:drawing>
          <wp:inline distT="0" distB="0" distL="0" distR="0" wp14:anchorId="632A445D" wp14:editId="678D90E1">
            <wp:extent cx="5731510" cy="4733925"/>
            <wp:effectExtent l="0" t="0" r="2540" b="9525"/>
            <wp:docPr id="18" name="Picture 18" descr="figure 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1">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733925"/>
                    </a:xfrm>
                    <a:prstGeom prst="rect">
                      <a:avLst/>
                    </a:prstGeom>
                    <a:noFill/>
                    <a:ln>
                      <a:noFill/>
                    </a:ln>
                  </pic:spPr>
                </pic:pic>
              </a:graphicData>
            </a:graphic>
          </wp:inline>
        </w:drawing>
      </w:r>
    </w:p>
    <w:p w14:paraId="05628D06" w14:textId="77777777" w:rsidR="006C4AAD" w:rsidRPr="00D4005D" w:rsidRDefault="006C4AAD" w:rsidP="006C4AAD">
      <w:pPr>
        <w:shd w:val="clear" w:color="auto" w:fill="FCFCFC"/>
        <w:spacing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lastRenderedPageBreak/>
        <w:t>XAI offers the opportunity for scientists to gain insights about the decision strategy of NNs, and help fine tune and optimize models, gauge trust and investigate new physical insights to establish new science.</w:t>
      </w:r>
    </w:p>
    <w:p w14:paraId="50C60527" w14:textId="77777777" w:rsidR="00412BAE" w:rsidRPr="00D4005D" w:rsidRDefault="00412BAE" w:rsidP="006C4AAD">
      <w:pPr>
        <w:pBdr>
          <w:bottom w:val="single" w:sz="12" w:space="6" w:color="D5D5D5"/>
        </w:pBdr>
        <w:shd w:val="clear" w:color="auto" w:fill="FCFCFC"/>
        <w:spacing w:after="0" w:line="240" w:lineRule="auto"/>
        <w:outlineLvl w:val="1"/>
        <w:rPr>
          <w:rFonts w:ascii="Times New Roman" w:hAnsi="Times New Roman" w:cs="Times New Roman"/>
        </w:rPr>
      </w:pPr>
    </w:p>
    <w:p w14:paraId="10F5A3D0" w14:textId="77777777" w:rsidR="00412BAE" w:rsidRPr="00D4005D" w:rsidRDefault="00412BAE" w:rsidP="006C4AAD">
      <w:pPr>
        <w:pBdr>
          <w:bottom w:val="single" w:sz="12" w:space="6" w:color="D5D5D5"/>
        </w:pBdr>
        <w:shd w:val="clear" w:color="auto" w:fill="FCFCFC"/>
        <w:spacing w:after="0" w:line="240" w:lineRule="auto"/>
        <w:outlineLvl w:val="1"/>
        <w:rPr>
          <w:rFonts w:ascii="Times New Roman" w:hAnsi="Times New Roman" w:cs="Times New Roman"/>
        </w:rPr>
      </w:pPr>
    </w:p>
    <w:p w14:paraId="4679F637" w14:textId="77777777" w:rsidR="00412BAE" w:rsidRPr="00D4005D" w:rsidRDefault="00412BAE" w:rsidP="006C4AAD">
      <w:pPr>
        <w:pBdr>
          <w:bottom w:val="single" w:sz="12" w:space="6" w:color="D5D5D5"/>
        </w:pBdr>
        <w:shd w:val="clear" w:color="auto" w:fill="FCFCFC"/>
        <w:spacing w:after="0" w:line="240" w:lineRule="auto"/>
        <w:outlineLvl w:val="1"/>
        <w:rPr>
          <w:rFonts w:ascii="Times New Roman" w:hAnsi="Times New Roman" w:cs="Times New Roman"/>
        </w:rPr>
      </w:pPr>
    </w:p>
    <w:p w14:paraId="21F03818" w14:textId="3A9A2493" w:rsidR="006C4AAD" w:rsidRPr="00D4005D" w:rsidRDefault="006C4AAD" w:rsidP="006C4AAD">
      <w:pPr>
        <w:pBdr>
          <w:bottom w:val="single" w:sz="12" w:space="6" w:color="D5D5D5"/>
        </w:pBdr>
        <w:shd w:val="clear" w:color="auto" w:fill="FCFCFC"/>
        <w:spacing w:after="0" w:line="240" w:lineRule="auto"/>
        <w:outlineLvl w:val="1"/>
        <w:rPr>
          <w:rFonts w:ascii="Times New Roman" w:eastAsia="Times New Roman" w:hAnsi="Times New Roman" w:cs="Times New Roman"/>
          <w:b/>
          <w:bCs/>
          <w:color w:val="333333"/>
          <w:kern w:val="0"/>
          <w:sz w:val="36"/>
          <w:szCs w:val="36"/>
          <w:lang w:eastAsia="en-IN" w:bidi="ar-SA"/>
          <w14:ligatures w14:val="none"/>
        </w:rPr>
      </w:pPr>
      <w:r w:rsidRPr="00D4005D">
        <w:rPr>
          <w:rFonts w:ascii="Times New Roman" w:eastAsia="Times New Roman" w:hAnsi="Times New Roman" w:cs="Times New Roman"/>
          <w:color w:val="333333"/>
          <w:kern w:val="0"/>
          <w:sz w:val="36"/>
          <w:szCs w:val="36"/>
          <w:lang w:eastAsia="en-IN" w:bidi="ar-SA"/>
          <w14:ligatures w14:val="none"/>
        </w:rPr>
        <w:t>2 </w:t>
      </w:r>
      <w:r w:rsidRPr="00D4005D">
        <w:rPr>
          <w:rFonts w:ascii="Times New Roman" w:eastAsia="Times New Roman" w:hAnsi="Times New Roman" w:cs="Times New Roman"/>
          <w:b/>
          <w:bCs/>
          <w:color w:val="333333"/>
          <w:kern w:val="0"/>
          <w:sz w:val="36"/>
          <w:szCs w:val="36"/>
          <w:lang w:eastAsia="en-IN" w:bidi="ar-SA"/>
          <w14:ligatures w14:val="none"/>
        </w:rPr>
        <w:t>XAI Applications</w:t>
      </w:r>
    </w:p>
    <w:p w14:paraId="17A4C1CB" w14:textId="77777777" w:rsidR="006C4AAD" w:rsidRPr="00D4005D" w:rsidRDefault="006C4AAD" w:rsidP="006C4AAD">
      <w:pPr>
        <w:shd w:val="clear" w:color="auto" w:fill="FCFCFC"/>
        <w:spacing w:after="120" w:line="240" w:lineRule="auto"/>
        <w:outlineLvl w:val="2"/>
        <w:rPr>
          <w:rFonts w:ascii="Times New Roman" w:eastAsia="Times New Roman" w:hAnsi="Times New Roman" w:cs="Times New Roman"/>
          <w:color w:val="222222"/>
          <w:kern w:val="0"/>
          <w:sz w:val="24"/>
          <w:szCs w:val="24"/>
          <w:lang w:eastAsia="en-IN" w:bidi="ar-SA"/>
          <w14:ligatures w14:val="none"/>
        </w:rPr>
      </w:pPr>
      <w:r w:rsidRPr="00D4005D">
        <w:rPr>
          <w:rFonts w:ascii="Times New Roman" w:eastAsia="Times New Roman" w:hAnsi="Times New Roman" w:cs="Times New Roman"/>
          <w:color w:val="222222"/>
          <w:kern w:val="0"/>
          <w:sz w:val="24"/>
          <w:szCs w:val="24"/>
          <w:lang w:eastAsia="en-IN" w:bidi="ar-SA"/>
          <w14:ligatures w14:val="none"/>
        </w:rPr>
        <w:t>2.1 XAI in Remote Sensing and Weather Forecasting</w:t>
      </w:r>
    </w:p>
    <w:p w14:paraId="26AB50C1"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As a first application of XAI, we focus on the field of remote sensing and short-term weather forecasting. When it comes to forecasting high impact weather hazards, imagery from geostationary satellites has been excessively used as a tool for situation awareness by human forecasters, since it supports the need for high spatial resolution and temporally rapid refreshing [</w:t>
      </w:r>
      <w:hyperlink r:id="rId62" w:anchor="ref-CR40" w:tooltip="Line, W.E., Schmit, T.J., Lindsey, D.T., Goodman, S.J.: Use of geostationary super rapid scan satellite imagery by the storm prediction center. Weather Forecast. 31(2), 483–494 (2016)" w:history="1">
        <w:r w:rsidRPr="00D4005D">
          <w:rPr>
            <w:rFonts w:ascii="Times New Roman" w:eastAsia="Times New Roman" w:hAnsi="Times New Roman" w:cs="Times New Roman"/>
            <w:color w:val="004B83"/>
            <w:kern w:val="0"/>
            <w:sz w:val="24"/>
            <w:szCs w:val="24"/>
            <w:u w:val="single"/>
            <w:lang w:eastAsia="en-IN" w:bidi="ar-SA"/>
            <w14:ligatures w14:val="none"/>
          </w:rPr>
          <w:t>40</w:t>
        </w:r>
      </w:hyperlink>
      <w:r w:rsidRPr="00D4005D">
        <w:rPr>
          <w:rFonts w:ascii="Times New Roman" w:eastAsia="Times New Roman" w:hAnsi="Times New Roman" w:cs="Times New Roman"/>
          <w:color w:val="333333"/>
          <w:kern w:val="0"/>
          <w:sz w:val="24"/>
          <w:szCs w:val="24"/>
          <w:lang w:eastAsia="en-IN" w:bidi="ar-SA"/>
          <w14:ligatures w14:val="none"/>
        </w:rPr>
        <w:t>]. However, information from geostationary satellite imagery has less frequently been used in data assimilation or integrated into weather-forecasting numerical models, despite the advantages that these data could offer in improving numerical forecasts.</w:t>
      </w:r>
    </w:p>
    <w:p w14:paraId="1545C4F2"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In recent work [</w:t>
      </w:r>
      <w:hyperlink r:id="rId63" w:anchor="ref-CR25" w:tooltip="Hilburn, K.A., Ebert-Uphoff, I., Miller, S.D.: Development and interpretation of a neural-network-based synthetic radar reflectivity estimator using GOES-R satellite observations. J. Appl. Meteorol. Climatol. 60(1), 3–21 (2021)" w:history="1">
        <w:r w:rsidRPr="00D4005D">
          <w:rPr>
            <w:rFonts w:ascii="Times New Roman" w:eastAsia="Times New Roman" w:hAnsi="Times New Roman" w:cs="Times New Roman"/>
            <w:color w:val="004B83"/>
            <w:kern w:val="0"/>
            <w:sz w:val="24"/>
            <w:szCs w:val="24"/>
            <w:u w:val="single"/>
            <w:lang w:eastAsia="en-IN" w:bidi="ar-SA"/>
            <w14:ligatures w14:val="none"/>
          </w:rPr>
          <w:t>25</w:t>
        </w:r>
      </w:hyperlink>
      <w:r w:rsidRPr="00D4005D">
        <w:rPr>
          <w:rFonts w:ascii="Times New Roman" w:eastAsia="Times New Roman" w:hAnsi="Times New Roman" w:cs="Times New Roman"/>
          <w:color w:val="333333"/>
          <w:kern w:val="0"/>
          <w:sz w:val="24"/>
          <w:szCs w:val="24"/>
          <w:lang w:eastAsia="en-IN" w:bidi="ar-SA"/>
          <w14:ligatures w14:val="none"/>
        </w:rPr>
        <w:t>], scientists have used XAI to estimate precipitation over the contiguous United States from satellite imagery. These precipitating scenes that are typically produced by radars and come in the form of radar reflectivity can then be integrated into numerical models to spin up convection. Thus, the motivation of this research was to exploit the NNs’ high potential in capturing spatial information together with the large quantity, high quality and low latency of satellite imagery, in order to inform numerical modeling and forecasting. This could be greatly advantageous for mitigation of weather hazards.</w:t>
      </w:r>
    </w:p>
    <w:p w14:paraId="30A140AC" w14:textId="129B3CBC"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For their analysis, Hilburn et al. (2021) [</w:t>
      </w:r>
      <w:hyperlink r:id="rId64" w:anchor="ref-CR25" w:tooltip="Hilburn, K.A., Ebert-Uphoff, I., Miller, S.D.: Development and interpretation of a neural-network-based synthetic radar reflectivity estimator using GOES-R satellite observations. J. Appl. Meteorol. Climatol. 60(1), 3–21 (2021)" w:history="1">
        <w:r w:rsidRPr="00D4005D">
          <w:rPr>
            <w:rFonts w:ascii="Times New Roman" w:eastAsia="Times New Roman" w:hAnsi="Times New Roman" w:cs="Times New Roman"/>
            <w:color w:val="004B83"/>
            <w:kern w:val="0"/>
            <w:sz w:val="24"/>
            <w:szCs w:val="24"/>
            <w:u w:val="single"/>
            <w:lang w:eastAsia="en-IN" w:bidi="ar-SA"/>
            <w14:ligatures w14:val="none"/>
          </w:rPr>
          <w:t>25</w:t>
        </w:r>
      </w:hyperlink>
      <w:r w:rsidRPr="00D4005D">
        <w:rPr>
          <w:rFonts w:ascii="Times New Roman" w:eastAsia="Times New Roman" w:hAnsi="Times New Roman" w:cs="Times New Roman"/>
          <w:color w:val="333333"/>
          <w:kern w:val="0"/>
          <w:sz w:val="24"/>
          <w:szCs w:val="24"/>
          <w:lang w:eastAsia="en-IN" w:bidi="ar-SA"/>
          <w14:ligatures w14:val="none"/>
        </w:rPr>
        <w:t>] developed a convolutional NN with a U-Net architecture (dubbed GREMLIN in the original paper). The inputs to the network were four-channel satellite images, each one containing brightness temperature and lightning information, over various regions around the US. As output, the network was trained to predict a single-channel image (i.e., an image-to-image translation application) that represents precipitation over the same region as the input, in the form of radar reflectivity and measured in dBZ. The network was trained against radar observations, and its overall prediction performance across testing samples was quite successful. Specifically, predictions from the GREMLIN model exhibited an overall coefficient of determination on the order of </w:t>
      </w:r>
      <w:r w:rsidRPr="00D4005D">
        <w:rPr>
          <w:rFonts w:ascii="Times New Roman" w:eastAsia="Times New Roman" w:hAnsi="Times New Roman" w:cs="Times New Roman"/>
          <w:color w:val="333333"/>
          <w:kern w:val="0"/>
          <w:sz w:val="24"/>
          <w:szCs w:val="24"/>
          <w:bdr w:val="none" w:sz="0" w:space="0" w:color="auto" w:frame="1"/>
          <w:lang w:eastAsia="en-IN" w:bidi="ar-SA"/>
          <w14:ligatures w14:val="none"/>
        </w:rPr>
        <w:t>R2=0.74</w:t>
      </w:r>
      <w:r w:rsidR="00D4005D" w:rsidRPr="00D4005D">
        <w:rPr>
          <w:rFonts w:ascii="Times New Roman" w:eastAsia="Times New Roman" w:hAnsi="Times New Roman" w:cs="Times New Roman"/>
          <w:color w:val="333333"/>
          <w:kern w:val="0"/>
          <w:sz w:val="24"/>
          <w:szCs w:val="24"/>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4"/>
          <w:szCs w:val="24"/>
          <w:bdr w:val="none" w:sz="0" w:space="0" w:color="auto" w:frame="1"/>
          <w:lang w:eastAsia="en-IN" w:bidi="ar-SA"/>
          <w14:ligatures w14:val="none"/>
        </w:rPr>
        <w:t>2=0.74</w:t>
      </w:r>
      <w:r w:rsidRPr="00D4005D">
        <w:rPr>
          <w:rFonts w:ascii="Times New Roman" w:eastAsia="Times New Roman" w:hAnsi="Times New Roman" w:cs="Times New Roman"/>
          <w:color w:val="333333"/>
          <w:kern w:val="0"/>
          <w:sz w:val="24"/>
          <w:szCs w:val="24"/>
          <w:lang w:eastAsia="en-IN" w:bidi="ar-SA"/>
          <w14:ligatures w14:val="none"/>
        </w:rPr>
        <w:t> against the radar observations and a root mean squared difference on the order of 5.53 dBZ.</w:t>
      </w:r>
    </w:p>
    <w:p w14:paraId="353AC846"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Apart from statistically evaluating the performance of GREMLIN predictions in reproducing reflectivity fields, it was also very important to assess the strategy upon which the model predicted. For this purpose, Hilburn et al. made use of a well-known XAI method, the Layer-wise Relevance Propagation (LRP [</w:t>
      </w:r>
      <w:hyperlink r:id="rId65" w:anchor="ref-CR4" w:tooltip="Bach, S., Binder, A., Montavon, G., Klauschen, F., Müller, K.R., Samek, W.: On pixel-wise explanations for non-linear classifier decisions by layer-wise relevance propagation. PLoS ONE 10(7), e0130140 (2015)" w:history="1">
        <w:r w:rsidRPr="00D4005D">
          <w:rPr>
            <w:rFonts w:ascii="Times New Roman" w:eastAsia="Times New Roman" w:hAnsi="Times New Roman" w:cs="Times New Roman"/>
            <w:color w:val="004B83"/>
            <w:kern w:val="0"/>
            <w:sz w:val="24"/>
            <w:szCs w:val="24"/>
            <w:u w:val="single"/>
            <w:lang w:eastAsia="en-IN" w:bidi="ar-SA"/>
            <w14:ligatures w14:val="none"/>
          </w:rPr>
          <w:t>4</w:t>
        </w:r>
      </w:hyperlink>
      <w:r w:rsidRPr="00D4005D">
        <w:rPr>
          <w:rFonts w:ascii="Times New Roman" w:eastAsia="Times New Roman" w:hAnsi="Times New Roman" w:cs="Times New Roman"/>
          <w:color w:val="333333"/>
          <w:kern w:val="0"/>
          <w:sz w:val="24"/>
          <w:szCs w:val="24"/>
          <w:lang w:eastAsia="en-IN" w:bidi="ar-SA"/>
          <w14:ligatures w14:val="none"/>
        </w:rPr>
        <w:t>]). Given an input sample and an output pixel, LRP reveals which features in the input contributed the most in deriving the value of the output. This is accomplished by sequentially propagating backwards the relevance from the output pixel to the neurons of the previous layers and eventually to the input features. So far, numerous different rules have been proposed in the literature as to how this propagation of relevance can be performed, and in this XAI application the alpha-beta rule was used [</w:t>
      </w:r>
      <w:hyperlink r:id="rId66" w:anchor="ref-CR4" w:tooltip="Bach, S., Binder, A., Montavon, G., Klauschen, F., Müller, K.R., Samek, W.: On pixel-wise explanations for non-linear classifier decisions by layer-wise relevance propagation. PLoS ONE 10(7), e0130140 (2015)" w:history="1">
        <w:r w:rsidRPr="00D4005D">
          <w:rPr>
            <w:rFonts w:ascii="Times New Roman" w:eastAsia="Times New Roman" w:hAnsi="Times New Roman" w:cs="Times New Roman"/>
            <w:color w:val="004B83"/>
            <w:kern w:val="0"/>
            <w:sz w:val="24"/>
            <w:szCs w:val="24"/>
            <w:u w:val="single"/>
            <w:lang w:eastAsia="en-IN" w:bidi="ar-SA"/>
            <w14:ligatures w14:val="none"/>
          </w:rPr>
          <w:t>4</w:t>
        </w:r>
      </w:hyperlink>
      <w:r w:rsidRPr="00D4005D">
        <w:rPr>
          <w:rFonts w:ascii="Times New Roman" w:eastAsia="Times New Roman" w:hAnsi="Times New Roman" w:cs="Times New Roman"/>
          <w:color w:val="333333"/>
          <w:kern w:val="0"/>
          <w:sz w:val="24"/>
          <w:szCs w:val="24"/>
          <w:lang w:eastAsia="en-IN" w:bidi="ar-SA"/>
          <w14:ligatures w14:val="none"/>
        </w:rPr>
        <w:t>], with alpha = 1 and beta = 0. The alpha-beta rule distinguishes between strictly positive and strictly negative pre-activations, which helps avoid the possibility of infinitely growing relevancies in the propagation phase, and it provides more stable results.</w:t>
      </w:r>
    </w:p>
    <w:p w14:paraId="2B21EB57"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lastRenderedPageBreak/>
        <w:t>In Fig. </w:t>
      </w:r>
      <w:hyperlink r:id="rId67" w:anchor="Fig2" w:history="1">
        <w:r w:rsidRPr="00D4005D">
          <w:rPr>
            <w:rFonts w:ascii="Times New Roman" w:eastAsia="Times New Roman" w:hAnsi="Times New Roman" w:cs="Times New Roman"/>
            <w:color w:val="004B83"/>
            <w:kern w:val="0"/>
            <w:sz w:val="24"/>
            <w:szCs w:val="24"/>
            <w:u w:val="single"/>
            <w:lang w:eastAsia="en-IN" w:bidi="ar-SA"/>
            <w14:ligatures w14:val="none"/>
          </w:rPr>
          <w:t>2</w:t>
        </w:r>
      </w:hyperlink>
      <w:r w:rsidRPr="00D4005D">
        <w:rPr>
          <w:rFonts w:ascii="Times New Roman" w:eastAsia="Times New Roman" w:hAnsi="Times New Roman" w:cs="Times New Roman"/>
          <w:color w:val="333333"/>
          <w:kern w:val="0"/>
          <w:sz w:val="24"/>
          <w:szCs w:val="24"/>
          <w:lang w:eastAsia="en-IN" w:bidi="ar-SA"/>
          <w14:ligatures w14:val="none"/>
        </w:rPr>
        <w:t>, we show LRP results for GREMLIN for a specific sample, and a specific output pixel (namely, the central location of the shown sample), chosen for its close proximity to strong lightning activity. The first row of the figure shows the input channels and the corresponding desired output (i.e., the radar observation). The second row shows the LRP maps, highlighting which features in the input channels the neural network paid attention to in order to estimate the value of the chosen central output pixel for this sample.</w:t>
      </w:r>
    </w:p>
    <w:p w14:paraId="4F4E2E23"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The LRP results for the channel with lightning information show that the network focused only on regions where lightning was present in that channel. The LRP results for the other channels show that even in those channels the NN’s attention was drawn to focus on regions where lightning was present. Hilburn et al. then performed a new experiment by modifying the input sample to have all lightning removed, that is, all the lightning values were set to zero. In this case, LRP highlighted that the network’s focus shifted entirely in the first three input channels, as expected. More specifically, the focus shifted to two types of locations, namely, (i) cloud boundaries, or (ii) areas where the input channels had high brightness (cold temperatures), as can be seen by comparing the three leftmost panels of the first, and third row. In fact, near the center of the third-row panels, it can be seen that the LRP patterns represent the union of the cloud boundaries and the locations of strongest brightness in the first row. LRP vanishes further away from the center location, as it is expected considering the nature of the effective receptive field that corresponds to the output pixel.</w:t>
      </w:r>
    </w:p>
    <w:p w14:paraId="054CE423"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b/>
          <w:bCs/>
          <w:color w:val="333333"/>
          <w:kern w:val="0"/>
          <w:sz w:val="27"/>
          <w:szCs w:val="27"/>
          <w:lang w:eastAsia="en-IN" w:bidi="ar-SA"/>
          <w14:ligatures w14:val="none"/>
        </w:rPr>
        <w:t>Fig. 2.</w:t>
      </w:r>
    </w:p>
    <w:p w14:paraId="71D8CA02"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noProof/>
          <w:color w:val="004B83"/>
          <w:kern w:val="0"/>
          <w:sz w:val="27"/>
          <w:szCs w:val="27"/>
          <w:lang w:eastAsia="en-IN" w:bidi="ar-SA"/>
          <w14:ligatures w14:val="none"/>
        </w:rPr>
        <w:drawing>
          <wp:inline distT="0" distB="0" distL="0" distR="0" wp14:anchorId="3CFBF390" wp14:editId="28BB9D67">
            <wp:extent cx="5731510" cy="4131310"/>
            <wp:effectExtent l="0" t="0" r="2540" b="2540"/>
            <wp:docPr id="17" name="Picture 17" descr="figure 2">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2">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131310"/>
                    </a:xfrm>
                    <a:prstGeom prst="rect">
                      <a:avLst/>
                    </a:prstGeom>
                    <a:noFill/>
                    <a:ln>
                      <a:noFill/>
                    </a:ln>
                  </pic:spPr>
                </pic:pic>
              </a:graphicData>
            </a:graphic>
          </wp:inline>
        </w:drawing>
      </w:r>
    </w:p>
    <w:p w14:paraId="24CAB0E1" w14:textId="77777777" w:rsidR="006C4AAD" w:rsidRPr="00D4005D" w:rsidRDefault="006C4AAD" w:rsidP="006C4AAD">
      <w:pPr>
        <w:shd w:val="clear" w:color="auto" w:fill="FCFCFC"/>
        <w:spacing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 xml:space="preserve">LRP results for the GREMLIN model. (top) The four input channels and the corresponding observed radar image (ground truth). (middle) LRP results for the original four input channels and the chosen output pixel, and the prediction from GREMLIN. (bottom) The equivalent of </w:t>
      </w:r>
      <w:r w:rsidRPr="00D4005D">
        <w:rPr>
          <w:rFonts w:ascii="Times New Roman" w:eastAsia="Times New Roman" w:hAnsi="Times New Roman" w:cs="Times New Roman"/>
          <w:color w:val="333333"/>
          <w:kern w:val="0"/>
          <w:sz w:val="24"/>
          <w:szCs w:val="24"/>
          <w:lang w:eastAsia="en-IN" w:bidi="ar-SA"/>
          <w14:ligatures w14:val="none"/>
        </w:rPr>
        <w:lastRenderedPageBreak/>
        <w:t>the middle row, but after all lighting values were set to zero. Note that all images are zoomed into a region centered at the pixel of interest. Adapted from Hilburn et al., 2021 [</w:t>
      </w:r>
      <w:hyperlink r:id="rId70" w:anchor="ref-CR25" w:tooltip="Hilburn, K.A., Ebert-Uphoff, I., Miller, S.D.: Development and interpretation of a neural-network-based synthetic radar reflectivity estimator using GOES-R satellite observations. J. Appl. Meteorol. Climatol. 60(1), 3–21 (2021)" w:history="1">
        <w:r w:rsidRPr="00D4005D">
          <w:rPr>
            <w:rFonts w:ascii="Times New Roman" w:eastAsia="Times New Roman" w:hAnsi="Times New Roman" w:cs="Times New Roman"/>
            <w:color w:val="004B83"/>
            <w:kern w:val="0"/>
            <w:sz w:val="24"/>
            <w:szCs w:val="24"/>
            <w:u w:val="single"/>
            <w:lang w:eastAsia="en-IN" w:bidi="ar-SA"/>
            <w14:ligatures w14:val="none"/>
          </w:rPr>
          <w:t>25</w:t>
        </w:r>
      </w:hyperlink>
      <w:r w:rsidRPr="00D4005D">
        <w:rPr>
          <w:rFonts w:ascii="Times New Roman" w:eastAsia="Times New Roman" w:hAnsi="Times New Roman" w:cs="Times New Roman"/>
          <w:color w:val="333333"/>
          <w:kern w:val="0"/>
          <w:sz w:val="24"/>
          <w:szCs w:val="24"/>
          <w:lang w:eastAsia="en-IN" w:bidi="ar-SA"/>
          <w14:ligatures w14:val="none"/>
        </w:rPr>
        <w:t>].</w:t>
      </w:r>
    </w:p>
    <w:p w14:paraId="06E823F5" w14:textId="77777777" w:rsidR="00412BAE" w:rsidRPr="00D4005D" w:rsidRDefault="00412BAE" w:rsidP="006C4AAD">
      <w:pPr>
        <w:shd w:val="clear" w:color="auto" w:fill="FCFCFC"/>
        <w:spacing w:after="360" w:line="240" w:lineRule="auto"/>
        <w:rPr>
          <w:rFonts w:ascii="Times New Roman" w:hAnsi="Times New Roman" w:cs="Times New Roman"/>
        </w:rPr>
      </w:pPr>
    </w:p>
    <w:p w14:paraId="38D93CC5" w14:textId="78A90315"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The LRP results as presented above provide very valuable insight about how the network derives its estimates. Specifically, the results indicate the following strategy used by GREMLIN: whenever lightning is present near the output pixel, the NN primarily focuses on the values of input pixels where lightning is present, not only in the channel that contains the lightning information, but in all four input channels. It seems that the network has learned that locations containing lightning are good indicators of high reflectivity, even in the other input channels. When no lightning is present, the NN focuses primarily on cloud boundaries (locations where the gradient is strong) or locations of very cold cloud tops. The network seems to have learned that these locations have the highest predictive power for estimating reflectivity.</w:t>
      </w:r>
    </w:p>
    <w:p w14:paraId="00FD256A"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In this application of XAI in remote sensing, the obtained insights from LRP have given scientists the confidence that the network derived predictions based on a physically reasonable strategy and thus helped build more trust about its predictions. Moreover, if scientists wish to improve the model further by testing different model architectures, knowing how much</w:t>
      </w:r>
      <w:r w:rsidRPr="00D4005D">
        <w:rPr>
          <w:rFonts w:ascii="Times New Roman" w:eastAsia="Times New Roman" w:hAnsi="Times New Roman" w:cs="Times New Roman"/>
          <w:color w:val="333333"/>
          <w:kern w:val="0"/>
          <w:sz w:val="27"/>
          <w:szCs w:val="27"/>
          <w:lang w:eastAsia="en-IN" w:bidi="ar-SA"/>
          <w14:ligatures w14:val="none"/>
        </w:rPr>
        <w:t xml:space="preserve"> </w:t>
      </w:r>
      <w:r w:rsidRPr="00D4005D">
        <w:rPr>
          <w:rFonts w:ascii="Times New Roman" w:eastAsia="Times New Roman" w:hAnsi="Times New Roman" w:cs="Times New Roman"/>
          <w:color w:val="333333"/>
          <w:kern w:val="0"/>
          <w:sz w:val="24"/>
          <w:szCs w:val="24"/>
          <w:lang w:eastAsia="en-IN" w:bidi="ar-SA"/>
          <w14:ligatures w14:val="none"/>
        </w:rPr>
        <w:t>physically consistent the different decision strategies of the models are offers a criterion to distinguish between models, which goes beyond prediction performance.</w:t>
      </w:r>
    </w:p>
    <w:p w14:paraId="0A9110CE" w14:textId="77777777" w:rsidR="006C4AAD" w:rsidRPr="00D4005D" w:rsidRDefault="006C4AAD" w:rsidP="006C4AAD">
      <w:pPr>
        <w:shd w:val="clear" w:color="auto" w:fill="FCFCFC"/>
        <w:spacing w:after="120" w:line="240" w:lineRule="auto"/>
        <w:outlineLvl w:val="2"/>
        <w:rPr>
          <w:rFonts w:ascii="Times New Roman" w:eastAsia="Times New Roman" w:hAnsi="Times New Roman" w:cs="Times New Roman"/>
          <w:color w:val="222222"/>
          <w:kern w:val="0"/>
          <w:sz w:val="24"/>
          <w:szCs w:val="24"/>
          <w:lang w:eastAsia="en-IN" w:bidi="ar-SA"/>
          <w14:ligatures w14:val="none"/>
        </w:rPr>
      </w:pPr>
      <w:r w:rsidRPr="00D4005D">
        <w:rPr>
          <w:rFonts w:ascii="Times New Roman" w:eastAsia="Times New Roman" w:hAnsi="Times New Roman" w:cs="Times New Roman"/>
          <w:color w:val="222222"/>
          <w:kern w:val="0"/>
          <w:sz w:val="24"/>
          <w:szCs w:val="24"/>
          <w:lang w:eastAsia="en-IN" w:bidi="ar-SA"/>
          <w14:ligatures w14:val="none"/>
        </w:rPr>
        <w:t>2.2 XAI in Climate Prediction</w:t>
      </w:r>
    </w:p>
    <w:p w14:paraId="7A3E5246"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Similar to weather forecasting, climate prediction at subseasonal, seasonal and decadal timescales is among the most important challenges in climate science, with great societal risks and implications for the economy, water security, and ecosystem management for many regions around the world [</w:t>
      </w:r>
      <w:hyperlink r:id="rId71" w:anchor="ref-CR8" w:tooltip="Ocean Studies Board, The National Academies of Sciences, Engineering, and Medicine et al.: Next Generation Earth System Prediction: Strategies for Subseasonal to Seasonal Forecasts. National Academies Press (2016)" w:history="1">
        <w:r w:rsidRPr="00D4005D">
          <w:rPr>
            <w:rFonts w:ascii="Times New Roman" w:eastAsia="Times New Roman" w:hAnsi="Times New Roman" w:cs="Times New Roman"/>
            <w:color w:val="004B83"/>
            <w:kern w:val="0"/>
            <w:sz w:val="24"/>
            <w:szCs w:val="24"/>
            <w:u w:val="single"/>
            <w:lang w:eastAsia="en-IN" w:bidi="ar-SA"/>
            <w14:ligatures w14:val="none"/>
          </w:rPr>
          <w:t>8</w:t>
        </w:r>
      </w:hyperlink>
      <w:r w:rsidRPr="00D4005D">
        <w:rPr>
          <w:rFonts w:ascii="Times New Roman" w:eastAsia="Times New Roman" w:hAnsi="Times New Roman" w:cs="Times New Roman"/>
          <w:color w:val="333333"/>
          <w:kern w:val="0"/>
          <w:sz w:val="24"/>
          <w:szCs w:val="24"/>
          <w:lang w:eastAsia="en-IN" w:bidi="ar-SA"/>
          <w14:ligatures w14:val="none"/>
        </w:rPr>
        <w:t>]. Typically, climate prediction draws upon sea surface temperature (SST) information (especially on seasonal timescales and beyond), which are considered as the principal forcing variable of the atmospheric circulation that ultimately drives regional climate [</w:t>
      </w:r>
      <w:hyperlink r:id="rId72" w:anchor="ref-CR19" w:tooltip="Goddard, L., Mason, S.J., Zebiak, S.E., Ropelewski, C.F., Basher, R., Cane, M.A.: Current approaches to seasonal to interannual climate predictions. Int. J. Climatol. J. R. Meteorol. Soc. 21(9), 1111–1152 (2001)" w:history="1">
        <w:r w:rsidRPr="00D4005D">
          <w:rPr>
            <w:rFonts w:ascii="Times New Roman" w:eastAsia="Times New Roman" w:hAnsi="Times New Roman" w:cs="Times New Roman"/>
            <w:color w:val="004B83"/>
            <w:kern w:val="0"/>
            <w:sz w:val="24"/>
            <w:szCs w:val="24"/>
            <w:u w:val="single"/>
            <w:lang w:eastAsia="en-IN" w:bidi="ar-SA"/>
            <w14:ligatures w14:val="none"/>
          </w:rPr>
          <w:t>19</w:t>
        </w:r>
      </w:hyperlink>
      <w:r w:rsidRPr="00D4005D">
        <w:rPr>
          <w:rFonts w:ascii="Times New Roman" w:eastAsia="Times New Roman" w:hAnsi="Times New Roman" w:cs="Times New Roman"/>
          <w:color w:val="333333"/>
          <w:kern w:val="0"/>
          <w:sz w:val="24"/>
          <w:szCs w:val="24"/>
          <w:lang w:eastAsia="en-IN" w:bidi="ar-SA"/>
          <w14:ligatures w14:val="none"/>
        </w:rPr>
        <w:t>, </w:t>
      </w:r>
      <w:hyperlink r:id="rId73" w:anchor="ref-CR23" w:tooltip="Hao, Z., Singh, V.P., Xia, Y.: Seasonal drought prediction: advances, challenges, and future prospects. Rev. Geophys. 56(1), 108–141 (2018)" w:history="1">
        <w:r w:rsidRPr="00D4005D">
          <w:rPr>
            <w:rFonts w:ascii="Times New Roman" w:eastAsia="Times New Roman" w:hAnsi="Times New Roman" w:cs="Times New Roman"/>
            <w:color w:val="004B83"/>
            <w:kern w:val="0"/>
            <w:sz w:val="24"/>
            <w:szCs w:val="24"/>
            <w:u w:val="single"/>
            <w:lang w:eastAsia="en-IN" w:bidi="ar-SA"/>
            <w14:ligatures w14:val="none"/>
          </w:rPr>
          <w:t>23</w:t>
        </w:r>
      </w:hyperlink>
      <w:r w:rsidRPr="00D4005D">
        <w:rPr>
          <w:rFonts w:ascii="Times New Roman" w:eastAsia="Times New Roman" w:hAnsi="Times New Roman" w:cs="Times New Roman"/>
          <w:color w:val="333333"/>
          <w:kern w:val="0"/>
          <w:sz w:val="24"/>
          <w:szCs w:val="24"/>
          <w:lang w:eastAsia="en-IN" w:bidi="ar-SA"/>
          <w14:ligatures w14:val="none"/>
        </w:rPr>
        <w:t>, </w:t>
      </w:r>
      <w:hyperlink r:id="rId74" w:anchor="ref-CR30" w:tooltip="Khan, M.Z.K., Sharma, A., Mehrotra, R.: Global seasonal precipitation forecasts using improved sea surface temperature predictions. J. Geophys. Res. Atmos. 122(9), 4773–4785 (2017)" w:history="1">
        <w:r w:rsidRPr="00D4005D">
          <w:rPr>
            <w:rFonts w:ascii="Times New Roman" w:eastAsia="Times New Roman" w:hAnsi="Times New Roman" w:cs="Times New Roman"/>
            <w:color w:val="004B83"/>
            <w:kern w:val="0"/>
            <w:sz w:val="24"/>
            <w:szCs w:val="24"/>
            <w:u w:val="single"/>
            <w:lang w:eastAsia="en-IN" w:bidi="ar-SA"/>
            <w14:ligatures w14:val="none"/>
          </w:rPr>
          <w:t>30</w:t>
        </w:r>
      </w:hyperlink>
      <w:r w:rsidRPr="00D4005D">
        <w:rPr>
          <w:rFonts w:ascii="Times New Roman" w:eastAsia="Times New Roman" w:hAnsi="Times New Roman" w:cs="Times New Roman"/>
          <w:color w:val="333333"/>
          <w:kern w:val="0"/>
          <w:sz w:val="24"/>
          <w:szCs w:val="24"/>
          <w:lang w:eastAsia="en-IN" w:bidi="ar-SA"/>
          <w14:ligatures w14:val="none"/>
        </w:rPr>
        <w:t>, </w:t>
      </w:r>
      <w:hyperlink r:id="rId75" w:anchor="ref-CR44" w:tooltip="Mamalakis, A., Yu, J.Y., Randerson, J.T., AghaKouchak, A., Foufoula-Georgiou, E.: A new interhemispheric teleconnection increases predictability of winter precipitation in southwestern us. Nat. Commun. 9(1), 1–10 (2018)" w:history="1">
        <w:r w:rsidRPr="00D4005D">
          <w:rPr>
            <w:rFonts w:ascii="Times New Roman" w:eastAsia="Times New Roman" w:hAnsi="Times New Roman" w:cs="Times New Roman"/>
            <w:color w:val="004B83"/>
            <w:kern w:val="0"/>
            <w:sz w:val="24"/>
            <w:szCs w:val="24"/>
            <w:u w:val="single"/>
            <w:lang w:eastAsia="en-IN" w:bidi="ar-SA"/>
            <w14:ligatures w14:val="none"/>
          </w:rPr>
          <w:t>44</w:t>
        </w:r>
      </w:hyperlink>
      <w:r w:rsidRPr="00D4005D">
        <w:rPr>
          <w:rFonts w:ascii="Times New Roman" w:eastAsia="Times New Roman" w:hAnsi="Times New Roman" w:cs="Times New Roman"/>
          <w:color w:val="333333"/>
          <w:kern w:val="0"/>
          <w:sz w:val="24"/>
          <w:szCs w:val="24"/>
          <w:lang w:eastAsia="en-IN" w:bidi="ar-SA"/>
          <w14:ligatures w14:val="none"/>
        </w:rPr>
        <w:t>, </w:t>
      </w:r>
      <w:hyperlink r:id="rId76" w:anchor="ref-CR57" w:tooltip="Palmer, T.N., Anderson, D.L.T.: The prospects for seasonal forecasting-a review paper. Q. J. R. Meteorol. Soc. 120(518), 755–793 (1994)" w:history="1">
        <w:r w:rsidRPr="00D4005D">
          <w:rPr>
            <w:rFonts w:ascii="Times New Roman" w:eastAsia="Times New Roman" w:hAnsi="Times New Roman" w:cs="Times New Roman"/>
            <w:color w:val="004B83"/>
            <w:kern w:val="0"/>
            <w:sz w:val="24"/>
            <w:szCs w:val="24"/>
            <w:u w:val="single"/>
            <w:lang w:eastAsia="en-IN" w:bidi="ar-SA"/>
            <w14:ligatures w14:val="none"/>
          </w:rPr>
          <w:t>57</w:t>
        </w:r>
      </w:hyperlink>
      <w:r w:rsidRPr="00D4005D">
        <w:rPr>
          <w:rFonts w:ascii="Times New Roman" w:eastAsia="Times New Roman" w:hAnsi="Times New Roman" w:cs="Times New Roman"/>
          <w:color w:val="333333"/>
          <w:kern w:val="0"/>
          <w:sz w:val="24"/>
          <w:szCs w:val="24"/>
          <w:lang w:eastAsia="en-IN" w:bidi="ar-SA"/>
          <w14:ligatures w14:val="none"/>
        </w:rPr>
        <w:t>]. SST information is used for prediction either through deterministic models (i.e., SST-forced climate model simulations) or statistical models which aim to exploit physically- and historically- established teleconnections of regional climate with large-scale modes of climate variability (e.g., the El Niño-Southern Oscillation, ENSO; [</w:t>
      </w:r>
      <w:hyperlink r:id="rId77" w:anchor="ref-CR11" w:tooltip="Dai, A.: The influence of the inter-decadal pacific oscillation on us precipitation during 1923–2010. Clim. Dyn. 41(3–4), 633–646 (2013)" w:history="1">
        <w:r w:rsidRPr="00D4005D">
          <w:rPr>
            <w:rFonts w:ascii="Times New Roman" w:eastAsia="Times New Roman" w:hAnsi="Times New Roman" w:cs="Times New Roman"/>
            <w:color w:val="004B83"/>
            <w:kern w:val="0"/>
            <w:sz w:val="24"/>
            <w:szCs w:val="24"/>
            <w:u w:val="single"/>
            <w:lang w:eastAsia="en-IN" w:bidi="ar-SA"/>
            <w14:ligatures w14:val="none"/>
          </w:rPr>
          <w:t>11</w:t>
        </w:r>
      </w:hyperlink>
      <w:r w:rsidRPr="00D4005D">
        <w:rPr>
          <w:rFonts w:ascii="Times New Roman" w:eastAsia="Times New Roman" w:hAnsi="Times New Roman" w:cs="Times New Roman"/>
          <w:color w:val="333333"/>
          <w:kern w:val="0"/>
          <w:sz w:val="24"/>
          <w:szCs w:val="24"/>
          <w:lang w:eastAsia="en-IN" w:bidi="ar-SA"/>
          <w14:ligatures w14:val="none"/>
        </w:rPr>
        <w:t>, </w:t>
      </w:r>
      <w:hyperlink r:id="rId78" w:anchor="ref-CR17" w:tooltip="Enfield, D.B., Mestas-Nuñez, A.M., Trimble, P.J.: The Atlantic multidecadal oscillation and its relation to rainfall and river flows in the continental us. Geophys. Res. Lett. 28(10), 2077–2080 (2001)" w:history="1">
        <w:r w:rsidRPr="00D4005D">
          <w:rPr>
            <w:rFonts w:ascii="Times New Roman" w:eastAsia="Times New Roman" w:hAnsi="Times New Roman" w:cs="Times New Roman"/>
            <w:color w:val="004B83"/>
            <w:kern w:val="0"/>
            <w:sz w:val="24"/>
            <w:szCs w:val="24"/>
            <w:u w:val="single"/>
            <w:lang w:eastAsia="en-IN" w:bidi="ar-SA"/>
            <w14:ligatures w14:val="none"/>
          </w:rPr>
          <w:t>17</w:t>
        </w:r>
      </w:hyperlink>
      <w:r w:rsidRPr="00D4005D">
        <w:rPr>
          <w:rFonts w:ascii="Times New Roman" w:eastAsia="Times New Roman" w:hAnsi="Times New Roman" w:cs="Times New Roman"/>
          <w:color w:val="333333"/>
          <w:kern w:val="0"/>
          <w:sz w:val="24"/>
          <w:szCs w:val="24"/>
          <w:lang w:eastAsia="en-IN" w:bidi="ar-SA"/>
          <w14:ligatures w14:val="none"/>
        </w:rPr>
        <w:t>, </w:t>
      </w:r>
      <w:hyperlink r:id="rId79" w:anchor="ref-CR44" w:tooltip="Mamalakis, A., Yu, J.Y., Randerson, J.T., AghaKouchak, A., Foufoula-Georgiou, E.: A new interhemispheric teleconnection increases predictability of winter precipitation in southwestern us. Nat. Commun. 9(1), 1–10 (2018)" w:history="1">
        <w:r w:rsidRPr="00D4005D">
          <w:rPr>
            <w:rFonts w:ascii="Times New Roman" w:eastAsia="Times New Roman" w:hAnsi="Times New Roman" w:cs="Times New Roman"/>
            <w:color w:val="004B83"/>
            <w:kern w:val="0"/>
            <w:sz w:val="24"/>
            <w:szCs w:val="24"/>
            <w:u w:val="single"/>
            <w:lang w:eastAsia="en-IN" w:bidi="ar-SA"/>
            <w14:ligatures w14:val="none"/>
          </w:rPr>
          <w:t>44</w:t>
        </w:r>
      </w:hyperlink>
      <w:r w:rsidRPr="00D4005D">
        <w:rPr>
          <w:rFonts w:ascii="Times New Roman" w:eastAsia="Times New Roman" w:hAnsi="Times New Roman" w:cs="Times New Roman"/>
          <w:color w:val="333333"/>
          <w:kern w:val="0"/>
          <w:sz w:val="24"/>
          <w:szCs w:val="24"/>
          <w:lang w:eastAsia="en-IN" w:bidi="ar-SA"/>
          <w14:ligatures w14:val="none"/>
        </w:rPr>
        <w:t>, </w:t>
      </w:r>
      <w:hyperlink r:id="rId80" w:anchor="ref-CR45" w:tooltip="Mamalakis, A., Yu, J.Y., Randerson, J.T., AghaKouchak, A., Foufoula-Georgiou, E.: Reply to: a critical examination of a newly proposed interhemispheric teleconnection to southwestern us winter precipitation. Nat. Commun. 10(1), 1–5 (2019)" w:history="1">
        <w:r w:rsidRPr="00D4005D">
          <w:rPr>
            <w:rFonts w:ascii="Times New Roman" w:eastAsia="Times New Roman" w:hAnsi="Times New Roman" w:cs="Times New Roman"/>
            <w:color w:val="004B83"/>
            <w:kern w:val="0"/>
            <w:sz w:val="24"/>
            <w:szCs w:val="24"/>
            <w:u w:val="single"/>
            <w:lang w:eastAsia="en-IN" w:bidi="ar-SA"/>
            <w14:ligatures w14:val="none"/>
          </w:rPr>
          <w:t>45</w:t>
        </w:r>
      </w:hyperlink>
      <w:r w:rsidRPr="00D4005D">
        <w:rPr>
          <w:rFonts w:ascii="Times New Roman" w:eastAsia="Times New Roman" w:hAnsi="Times New Roman" w:cs="Times New Roman"/>
          <w:color w:val="333333"/>
          <w:kern w:val="0"/>
          <w:sz w:val="24"/>
          <w:szCs w:val="24"/>
          <w:lang w:eastAsia="en-IN" w:bidi="ar-SA"/>
          <w14:ligatures w14:val="none"/>
        </w:rPr>
        <w:t>, </w:t>
      </w:r>
      <w:hyperlink r:id="rId81" w:anchor="ref-CR48" w:tooltip="McCABE, G.J., Dettinger, M.D.: Decadal variations in the strength of ENSO teleconnections with precipitation in the western united states. Int. J. Climatol. J. R. Meteorol. Soc. 19(13), 1399–1410 (1999)" w:history="1">
        <w:r w:rsidRPr="00D4005D">
          <w:rPr>
            <w:rFonts w:ascii="Times New Roman" w:eastAsia="Times New Roman" w:hAnsi="Times New Roman" w:cs="Times New Roman"/>
            <w:color w:val="004B83"/>
            <w:kern w:val="0"/>
            <w:sz w:val="24"/>
            <w:szCs w:val="24"/>
            <w:u w:val="single"/>
            <w:lang w:eastAsia="en-IN" w:bidi="ar-SA"/>
            <w14:ligatures w14:val="none"/>
          </w:rPr>
          <w:t>48</w:t>
        </w:r>
      </w:hyperlink>
      <w:r w:rsidRPr="00D4005D">
        <w:rPr>
          <w:rFonts w:ascii="Times New Roman" w:eastAsia="Times New Roman" w:hAnsi="Times New Roman" w:cs="Times New Roman"/>
          <w:color w:val="333333"/>
          <w:kern w:val="0"/>
          <w:sz w:val="24"/>
          <w:szCs w:val="24"/>
          <w:lang w:eastAsia="en-IN" w:bidi="ar-SA"/>
          <w14:ligatures w14:val="none"/>
        </w:rPr>
        <w:t>, </w:t>
      </w:r>
      <w:hyperlink r:id="rId82" w:anchor="ref-CR49" w:tooltip="McCabe, G.J., Palecki, M.A., Betancourt, J.L.: Pacific and Atlantic ocean influences on multidecadal drought frequency in the united states. Proc. Natl. Acad. Sci. 101(12), 4136–4141 (2004)" w:history="1">
        <w:r w:rsidRPr="00D4005D">
          <w:rPr>
            <w:rFonts w:ascii="Times New Roman" w:eastAsia="Times New Roman" w:hAnsi="Times New Roman" w:cs="Times New Roman"/>
            <w:color w:val="004B83"/>
            <w:kern w:val="0"/>
            <w:sz w:val="24"/>
            <w:szCs w:val="24"/>
            <w:u w:val="single"/>
            <w:lang w:eastAsia="en-IN" w:bidi="ar-SA"/>
            <w14:ligatures w14:val="none"/>
          </w:rPr>
          <w:t>49</w:t>
        </w:r>
      </w:hyperlink>
      <w:r w:rsidRPr="00D4005D">
        <w:rPr>
          <w:rFonts w:ascii="Times New Roman" w:eastAsia="Times New Roman" w:hAnsi="Times New Roman" w:cs="Times New Roman"/>
          <w:color w:val="333333"/>
          <w:kern w:val="0"/>
          <w:sz w:val="24"/>
          <w:szCs w:val="24"/>
          <w:lang w:eastAsia="en-IN" w:bidi="ar-SA"/>
          <w14:ligatures w14:val="none"/>
        </w:rPr>
        <w:t>, </w:t>
      </w:r>
      <w:hyperlink r:id="rId83" w:anchor="ref-CR54" w:tooltip="Newman, M., et al.: The pacific decadal oscillation, revisited. J. Clim. 29(12), 4399–4427 (2016)" w:history="1">
        <w:r w:rsidRPr="00D4005D">
          <w:rPr>
            <w:rFonts w:ascii="Times New Roman" w:eastAsia="Times New Roman" w:hAnsi="Times New Roman" w:cs="Times New Roman"/>
            <w:color w:val="004B83"/>
            <w:kern w:val="0"/>
            <w:sz w:val="24"/>
            <w:szCs w:val="24"/>
            <w:u w:val="single"/>
            <w:lang w:eastAsia="en-IN" w:bidi="ar-SA"/>
            <w14:ligatures w14:val="none"/>
          </w:rPr>
          <w:t>54</w:t>
        </w:r>
      </w:hyperlink>
      <w:r w:rsidRPr="00D4005D">
        <w:rPr>
          <w:rFonts w:ascii="Times New Roman" w:eastAsia="Times New Roman" w:hAnsi="Times New Roman" w:cs="Times New Roman"/>
          <w:color w:val="333333"/>
          <w:kern w:val="0"/>
          <w:sz w:val="24"/>
          <w:szCs w:val="24"/>
          <w:lang w:eastAsia="en-IN" w:bidi="ar-SA"/>
          <w14:ligatures w14:val="none"/>
        </w:rPr>
        <w:t>, </w:t>
      </w:r>
      <w:hyperlink r:id="rId84" w:anchor="ref-CR59" w:tooltip="Redmond, K.T., Koch, R.W.: Surface climate and streamflow variability in the western united states and their relationship to large-scale circulation indices. Water Resour. Res. 27(9), 2381–2399 (1991)" w:history="1">
        <w:r w:rsidRPr="00D4005D">
          <w:rPr>
            <w:rFonts w:ascii="Times New Roman" w:eastAsia="Times New Roman" w:hAnsi="Times New Roman" w:cs="Times New Roman"/>
            <w:color w:val="004B83"/>
            <w:kern w:val="0"/>
            <w:sz w:val="24"/>
            <w:szCs w:val="24"/>
            <w:u w:val="single"/>
            <w:lang w:eastAsia="en-IN" w:bidi="ar-SA"/>
            <w14:ligatures w14:val="none"/>
          </w:rPr>
          <w:t>59</w:t>
        </w:r>
      </w:hyperlink>
      <w:r w:rsidRPr="00D4005D">
        <w:rPr>
          <w:rFonts w:ascii="Times New Roman" w:eastAsia="Times New Roman" w:hAnsi="Times New Roman" w:cs="Times New Roman"/>
          <w:color w:val="333333"/>
          <w:kern w:val="0"/>
          <w:sz w:val="24"/>
          <w:szCs w:val="24"/>
          <w:lang w:eastAsia="en-IN" w:bidi="ar-SA"/>
          <w14:ligatures w14:val="none"/>
        </w:rPr>
        <w:t>, </w:t>
      </w:r>
      <w:hyperlink r:id="rId85" w:anchor="ref-CR67" w:tooltip="Schonher, T., Nicholson, S.: The relationship between California rainfall and ENSO events. J. Clim. 2(11), 1258–1269 (1989)" w:history="1">
        <w:r w:rsidRPr="00D4005D">
          <w:rPr>
            <w:rFonts w:ascii="Times New Roman" w:eastAsia="Times New Roman" w:hAnsi="Times New Roman" w:cs="Times New Roman"/>
            <w:color w:val="004B83"/>
            <w:kern w:val="0"/>
            <w:sz w:val="24"/>
            <w:szCs w:val="24"/>
            <w:u w:val="single"/>
            <w:lang w:eastAsia="en-IN" w:bidi="ar-SA"/>
            <w14:ligatures w14:val="none"/>
          </w:rPr>
          <w:t>67</w:t>
        </w:r>
      </w:hyperlink>
      <w:r w:rsidRPr="00D4005D">
        <w:rPr>
          <w:rFonts w:ascii="Times New Roman" w:eastAsia="Times New Roman" w:hAnsi="Times New Roman" w:cs="Times New Roman"/>
          <w:color w:val="333333"/>
          <w:kern w:val="0"/>
          <w:sz w:val="24"/>
          <w:szCs w:val="24"/>
          <w:lang w:eastAsia="en-IN" w:bidi="ar-SA"/>
          <w14:ligatures w14:val="none"/>
        </w:rPr>
        <w:t>]). Limits to predictive skill of dynamical models arise from incomplete knowledge of initial conditions, uncertainties and biases in model physics, and limits on computational resources that place constraints on the grid resolution used in operational systems. Similarly, empirical statistical models exhibit limited predictive skill, arising primarily from the complex and non-stationary nature of the relationship between large scale modes and regional climate.</w:t>
      </w:r>
    </w:p>
    <w:p w14:paraId="43E74FE9"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To address the latter, in more recent years, data-driven machine learning methods that leverage information from the entire globe (i.e., beyond predefined climate indices) have been suggested in the literature and they have shown improvements in predictive skill [</w:t>
      </w:r>
      <w:hyperlink r:id="rId86" w:anchor="ref-CR13" w:tooltip="DelSole, T., Banerjee, A.: Statistical seasonal prediction based on regularized regression. J. Clim. 30(4), 1345–1361 (2017)" w:history="1">
        <w:r w:rsidRPr="00D4005D">
          <w:rPr>
            <w:rFonts w:ascii="Times New Roman" w:eastAsia="Times New Roman" w:hAnsi="Times New Roman" w:cs="Times New Roman"/>
            <w:color w:val="004B83"/>
            <w:kern w:val="0"/>
            <w:sz w:val="24"/>
            <w:szCs w:val="24"/>
            <w:u w:val="single"/>
            <w:lang w:eastAsia="en-IN" w:bidi="ar-SA"/>
            <w14:ligatures w14:val="none"/>
          </w:rPr>
          <w:t>13</w:t>
        </w:r>
      </w:hyperlink>
      <w:r w:rsidRPr="00D4005D">
        <w:rPr>
          <w:rFonts w:ascii="Times New Roman" w:eastAsia="Times New Roman" w:hAnsi="Times New Roman" w:cs="Times New Roman"/>
          <w:color w:val="333333"/>
          <w:kern w:val="0"/>
          <w:sz w:val="24"/>
          <w:szCs w:val="24"/>
          <w:lang w:eastAsia="en-IN" w:bidi="ar-SA"/>
          <w14:ligatures w14:val="none"/>
        </w:rPr>
        <w:t>, </w:t>
      </w:r>
      <w:hyperlink r:id="rId87" w:anchor="ref-CR76" w:tooltip="Stevens, A., et al.: Graph-guided regularized regression of pacific ocean climate variables to increase predictive skill of southwestern us winter precipitation. J. Clim. 34(2), 737–754 (2021)" w:history="1">
        <w:r w:rsidRPr="00D4005D">
          <w:rPr>
            <w:rFonts w:ascii="Times New Roman" w:eastAsia="Times New Roman" w:hAnsi="Times New Roman" w:cs="Times New Roman"/>
            <w:color w:val="004B83"/>
            <w:kern w:val="0"/>
            <w:sz w:val="24"/>
            <w:szCs w:val="24"/>
            <w:u w:val="single"/>
            <w:lang w:eastAsia="en-IN" w:bidi="ar-SA"/>
            <w14:ligatures w14:val="none"/>
          </w:rPr>
          <w:t>76</w:t>
        </w:r>
      </w:hyperlink>
      <w:r w:rsidRPr="00D4005D">
        <w:rPr>
          <w:rFonts w:ascii="Times New Roman" w:eastAsia="Times New Roman" w:hAnsi="Times New Roman" w:cs="Times New Roman"/>
          <w:color w:val="333333"/>
          <w:kern w:val="0"/>
          <w:sz w:val="24"/>
          <w:szCs w:val="24"/>
          <w:lang w:eastAsia="en-IN" w:bidi="ar-SA"/>
          <w14:ligatures w14:val="none"/>
        </w:rPr>
        <w:t>]. A number of studies have specifically shown the potential of neural networks in predicting climate across a range of scales, capitalizing on their ability to capture nonlinear dependencies (see e.g., [</w:t>
      </w:r>
      <w:hyperlink r:id="rId88" w:anchor="ref-CR21" w:tooltip="Ham, Y.G., Kim, J.H., Luo, J.J.: Deep learning for multi-year ENSO forecasts. Nature 573(7775), 568–572 (2019)" w:history="1">
        <w:r w:rsidRPr="00D4005D">
          <w:rPr>
            <w:rFonts w:ascii="Times New Roman" w:eastAsia="Times New Roman" w:hAnsi="Times New Roman" w:cs="Times New Roman"/>
            <w:color w:val="004B83"/>
            <w:kern w:val="0"/>
            <w:sz w:val="24"/>
            <w:szCs w:val="24"/>
            <w:u w:val="single"/>
            <w:lang w:eastAsia="en-IN" w:bidi="ar-SA"/>
            <w14:ligatures w14:val="none"/>
          </w:rPr>
          <w:t>21</w:t>
        </w:r>
      </w:hyperlink>
      <w:r w:rsidRPr="00D4005D">
        <w:rPr>
          <w:rFonts w:ascii="Times New Roman" w:eastAsia="Times New Roman" w:hAnsi="Times New Roman" w:cs="Times New Roman"/>
          <w:color w:val="333333"/>
          <w:kern w:val="0"/>
          <w:sz w:val="24"/>
          <w:szCs w:val="24"/>
          <w:lang w:eastAsia="en-IN" w:bidi="ar-SA"/>
          <w14:ligatures w14:val="none"/>
        </w:rPr>
        <w:t>]), while more recent studies have used XAI methods</w:t>
      </w:r>
      <w:hyperlink r:id="rId89" w:anchor="Fn1" w:history="1">
        <w:r w:rsidRPr="00D4005D">
          <w:rPr>
            <w:rFonts w:ascii="Times New Roman" w:eastAsia="Times New Roman" w:hAnsi="Times New Roman" w:cs="Times New Roman"/>
            <w:color w:val="004B83"/>
            <w:kern w:val="0"/>
            <w:sz w:val="24"/>
            <w:szCs w:val="24"/>
            <w:u w:val="single"/>
            <w:bdr w:val="none" w:sz="0" w:space="0" w:color="auto" w:frame="1"/>
            <w:vertAlign w:val="superscript"/>
            <w:lang w:eastAsia="en-IN" w:bidi="ar-SA"/>
            <w14:ligatures w14:val="none"/>
          </w:rPr>
          <w:t>Footnote</w:t>
        </w:r>
        <w:r w:rsidRPr="00D4005D">
          <w:rPr>
            <w:rFonts w:ascii="Times New Roman" w:eastAsia="Times New Roman" w:hAnsi="Times New Roman" w:cs="Times New Roman"/>
            <w:color w:val="004B83"/>
            <w:kern w:val="0"/>
            <w:sz w:val="24"/>
            <w:szCs w:val="24"/>
            <w:u w:val="single"/>
            <w:vertAlign w:val="superscript"/>
            <w:lang w:eastAsia="en-IN" w:bidi="ar-SA"/>
            <w14:ligatures w14:val="none"/>
          </w:rPr>
          <w:t>1</w:t>
        </w:r>
      </w:hyperlink>
      <w:r w:rsidRPr="00D4005D">
        <w:rPr>
          <w:rFonts w:ascii="Times New Roman" w:eastAsia="Times New Roman" w:hAnsi="Times New Roman" w:cs="Times New Roman"/>
          <w:color w:val="333333"/>
          <w:kern w:val="0"/>
          <w:sz w:val="24"/>
          <w:szCs w:val="24"/>
          <w:lang w:eastAsia="en-IN" w:bidi="ar-SA"/>
          <w14:ligatures w14:val="none"/>
        </w:rPr>
        <w:t> to explain these networks and their strategies to increase trust and learn new science [</w:t>
      </w:r>
      <w:hyperlink r:id="rId90" w:anchor="ref-CR47" w:tooltip="Mayer, K.J., Barnes, E.A.: Subseasonal forecasts of opportunity identified by an explainable neural network. Geophys. Res. Lett. 48(10), e2020GL092092 (2021)" w:history="1">
        <w:r w:rsidRPr="00D4005D">
          <w:rPr>
            <w:rFonts w:ascii="Times New Roman" w:eastAsia="Times New Roman" w:hAnsi="Times New Roman" w:cs="Times New Roman"/>
            <w:color w:val="004B83"/>
            <w:kern w:val="0"/>
            <w:sz w:val="24"/>
            <w:szCs w:val="24"/>
            <w:u w:val="single"/>
            <w:lang w:eastAsia="en-IN" w:bidi="ar-SA"/>
            <w14:ligatures w14:val="none"/>
          </w:rPr>
          <w:t>47</w:t>
        </w:r>
      </w:hyperlink>
      <w:r w:rsidRPr="00D4005D">
        <w:rPr>
          <w:rFonts w:ascii="Times New Roman" w:eastAsia="Times New Roman" w:hAnsi="Times New Roman" w:cs="Times New Roman"/>
          <w:color w:val="333333"/>
          <w:kern w:val="0"/>
          <w:sz w:val="24"/>
          <w:szCs w:val="24"/>
          <w:lang w:eastAsia="en-IN" w:bidi="ar-SA"/>
          <w14:ligatures w14:val="none"/>
        </w:rPr>
        <w:t>, </w:t>
      </w:r>
      <w:hyperlink r:id="rId91" w:anchor="ref-CR79" w:tooltip="Toms, B.A., Barnes, E.A., Ebert-Uphoff, I.: Physically interpretable neural networks for the geosciences: applications to earth system variability. J. Adv. Model. Earth Syst. 12(9), e2019MS002002 (2020)" w:history="1">
        <w:r w:rsidRPr="00D4005D">
          <w:rPr>
            <w:rFonts w:ascii="Times New Roman" w:eastAsia="Times New Roman" w:hAnsi="Times New Roman" w:cs="Times New Roman"/>
            <w:color w:val="004B83"/>
            <w:kern w:val="0"/>
            <w:sz w:val="24"/>
            <w:szCs w:val="24"/>
            <w:u w:val="single"/>
            <w:lang w:eastAsia="en-IN" w:bidi="ar-SA"/>
            <w14:ligatures w14:val="none"/>
          </w:rPr>
          <w:t>79</w:t>
        </w:r>
      </w:hyperlink>
      <w:r w:rsidRPr="00D4005D">
        <w:rPr>
          <w:rFonts w:ascii="Times New Roman" w:eastAsia="Times New Roman" w:hAnsi="Times New Roman" w:cs="Times New Roman"/>
          <w:color w:val="333333"/>
          <w:kern w:val="0"/>
          <w:sz w:val="24"/>
          <w:szCs w:val="24"/>
          <w:lang w:eastAsia="en-IN" w:bidi="ar-SA"/>
          <w14:ligatures w14:val="none"/>
        </w:rPr>
        <w:t>, </w:t>
      </w:r>
      <w:hyperlink r:id="rId92" w:anchor="ref-CR80" w:tooltip="Toms, B.A., Barnes, E.A., Hurrell, J.W.: Assessing decadal predictability in an earth-system model using explainable neural networks. Geophys. Res. Lett. 48, e2021GL093842 (2021)" w:history="1">
        <w:r w:rsidRPr="00D4005D">
          <w:rPr>
            <w:rFonts w:ascii="Times New Roman" w:eastAsia="Times New Roman" w:hAnsi="Times New Roman" w:cs="Times New Roman"/>
            <w:color w:val="004B83"/>
            <w:kern w:val="0"/>
            <w:sz w:val="24"/>
            <w:szCs w:val="24"/>
            <w:u w:val="single"/>
            <w:lang w:eastAsia="en-IN" w:bidi="ar-SA"/>
            <w14:ligatures w14:val="none"/>
          </w:rPr>
          <w:t>80</w:t>
        </w:r>
      </w:hyperlink>
      <w:r w:rsidRPr="00D4005D">
        <w:rPr>
          <w:rFonts w:ascii="Times New Roman" w:eastAsia="Times New Roman" w:hAnsi="Times New Roman" w:cs="Times New Roman"/>
          <w:color w:val="333333"/>
          <w:kern w:val="0"/>
          <w:sz w:val="24"/>
          <w:szCs w:val="24"/>
          <w:lang w:eastAsia="en-IN" w:bidi="ar-SA"/>
          <w14:ligatures w14:val="none"/>
        </w:rPr>
        <w:t>].</w:t>
      </w:r>
    </w:p>
    <w:p w14:paraId="1BF18546"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lastRenderedPageBreak/>
        <w:t>In the first study outlined herein, Mayer and Barnes (2021) [</w:t>
      </w:r>
      <w:hyperlink r:id="rId93" w:anchor="ref-CR47" w:tooltip="Mayer, K.J., Barnes, E.A.: Subseasonal forecasts of opportunity identified by an explainable neural network. Geophys. Res. Lett. 48(10), e2020GL092092 (2021)" w:history="1">
        <w:r w:rsidRPr="00D4005D">
          <w:rPr>
            <w:rFonts w:ascii="Times New Roman" w:eastAsia="Times New Roman" w:hAnsi="Times New Roman" w:cs="Times New Roman"/>
            <w:color w:val="004B83"/>
            <w:kern w:val="0"/>
            <w:sz w:val="24"/>
            <w:szCs w:val="24"/>
            <w:u w:val="single"/>
            <w:lang w:eastAsia="en-IN" w:bidi="ar-SA"/>
            <w14:ligatures w14:val="none"/>
          </w:rPr>
          <w:t>47</w:t>
        </w:r>
      </w:hyperlink>
      <w:r w:rsidRPr="00D4005D">
        <w:rPr>
          <w:rFonts w:ascii="Times New Roman" w:eastAsia="Times New Roman" w:hAnsi="Times New Roman" w:cs="Times New Roman"/>
          <w:color w:val="333333"/>
          <w:kern w:val="0"/>
          <w:sz w:val="24"/>
          <w:szCs w:val="24"/>
          <w:lang w:eastAsia="en-IN" w:bidi="ar-SA"/>
          <w14:ligatures w14:val="none"/>
        </w:rPr>
        <w:t>] used XAI in an innovative way to show that NNs can identify when favorable conditions that lead to enhanced predictive skill of regional climate are present in the atmosphere (the so called “forecasts of opportunity”) or not. More specifically, the authors based their analysis on the known climate teleconnections between the Madden-Julian Oscillation in the tropics (MJO; an eastward moving disturbance of convection in the tropical atmosphere) and the North Atlantic atmospheric pressure [</w:t>
      </w:r>
      <w:hyperlink r:id="rId94" w:anchor="ref-CR10" w:tooltip="Cassou, C.: Intraseasonal interaction between the Madden-Julian oscillation and the North Atlantic oscillation. Nature 455(7212), 523–527 (2008)" w:history="1">
        <w:r w:rsidRPr="00D4005D">
          <w:rPr>
            <w:rFonts w:ascii="Times New Roman" w:eastAsia="Times New Roman" w:hAnsi="Times New Roman" w:cs="Times New Roman"/>
            <w:color w:val="004B83"/>
            <w:kern w:val="0"/>
            <w:sz w:val="24"/>
            <w:szCs w:val="24"/>
            <w:u w:val="single"/>
            <w:lang w:eastAsia="en-IN" w:bidi="ar-SA"/>
            <w14:ligatures w14:val="none"/>
          </w:rPr>
          <w:t>10</w:t>
        </w:r>
      </w:hyperlink>
      <w:r w:rsidRPr="00D4005D">
        <w:rPr>
          <w:rFonts w:ascii="Times New Roman" w:eastAsia="Times New Roman" w:hAnsi="Times New Roman" w:cs="Times New Roman"/>
          <w:color w:val="333333"/>
          <w:kern w:val="0"/>
          <w:sz w:val="24"/>
          <w:szCs w:val="24"/>
          <w:lang w:eastAsia="en-IN" w:bidi="ar-SA"/>
          <w14:ligatures w14:val="none"/>
        </w:rPr>
        <w:t>, </w:t>
      </w:r>
      <w:hyperlink r:id="rId95" w:anchor="ref-CR24" w:tooltip="Henderson, S.A., Maloney, E.D., Barnes, E.A.: The influence of the Madden-Julian oscillation on northern hemisphere winter blocking. J. Clim. 29(12), 4597–4616 (2016)" w:history="1">
        <w:r w:rsidRPr="00D4005D">
          <w:rPr>
            <w:rFonts w:ascii="Times New Roman" w:eastAsia="Times New Roman" w:hAnsi="Times New Roman" w:cs="Times New Roman"/>
            <w:color w:val="004B83"/>
            <w:kern w:val="0"/>
            <w:sz w:val="24"/>
            <w:szCs w:val="24"/>
            <w:u w:val="single"/>
            <w:lang w:eastAsia="en-IN" w:bidi="ar-SA"/>
            <w14:ligatures w14:val="none"/>
          </w:rPr>
          <w:t>24</w:t>
        </w:r>
      </w:hyperlink>
      <w:r w:rsidRPr="00D4005D">
        <w:rPr>
          <w:rFonts w:ascii="Times New Roman" w:eastAsia="Times New Roman" w:hAnsi="Times New Roman" w:cs="Times New Roman"/>
          <w:color w:val="333333"/>
          <w:kern w:val="0"/>
          <w:sz w:val="24"/>
          <w:szCs w:val="24"/>
          <w:lang w:eastAsia="en-IN" w:bidi="ar-SA"/>
          <w14:ligatures w14:val="none"/>
        </w:rPr>
        <w:t>]. When the MJO is active, it leads to a consistent and coherent modulation of the midlatitude climate on subseasonal timescales, and thus, corresponds to enhanced predictive potential for the midlatitudes. The question that Mayer and Barnes put forward was whether or not NNs can capture this inherent property of the climate system of exhibiting periods of enhanced predictability (i.e. forecasts of opportunity).</w:t>
      </w:r>
    </w:p>
    <w:p w14:paraId="1B9289ED"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The authors used daily data of outgoing longwave radiation (OLR; a measure of convective activity) over the tropics of the globe and trained a fully connected NN to predict the sign of the 500 hPa geopotential height anomalies (a measure of atmospheric pressure) over the North Atlantic, 22 days later. Their results showed that when the network was assigning higher confidence to a prediction (i.e., the likelihood of either the positive or the negative geopotential height class was much higher than the opposite class), it was much more likely for that prediction to end up being correct. On the contrary, when the network was assigning low confidence to a prediction (i.e., the likelihoods of the positive or negative geopotential height classes were very similar), the predictive performance of the network was much poorer, almost identical to a random guess. This meant that the NN was able to correctly capture the presence of forecasts of opportunity in the climate system.</w:t>
      </w:r>
    </w:p>
    <w:p w14:paraId="5FC2051D"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b/>
          <w:bCs/>
          <w:color w:val="333333"/>
          <w:kern w:val="0"/>
          <w:sz w:val="27"/>
          <w:szCs w:val="27"/>
          <w:lang w:eastAsia="en-IN" w:bidi="ar-SA"/>
          <w14:ligatures w14:val="none"/>
        </w:rPr>
        <w:t>Fig. 3.</w:t>
      </w:r>
    </w:p>
    <w:p w14:paraId="314B1655"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noProof/>
          <w:color w:val="004B83"/>
          <w:kern w:val="0"/>
          <w:sz w:val="27"/>
          <w:szCs w:val="27"/>
          <w:lang w:eastAsia="en-IN" w:bidi="ar-SA"/>
          <w14:ligatures w14:val="none"/>
        </w:rPr>
        <w:drawing>
          <wp:inline distT="0" distB="0" distL="0" distR="0" wp14:anchorId="409233D6" wp14:editId="43DB7428">
            <wp:extent cx="5731510" cy="1312545"/>
            <wp:effectExtent l="0" t="0" r="2540" b="1905"/>
            <wp:docPr id="16" name="Picture 16" descr="figure 3">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3">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312545"/>
                    </a:xfrm>
                    <a:prstGeom prst="rect">
                      <a:avLst/>
                    </a:prstGeom>
                    <a:noFill/>
                    <a:ln>
                      <a:noFill/>
                    </a:ln>
                  </pic:spPr>
                </pic:pic>
              </a:graphicData>
            </a:graphic>
          </wp:inline>
        </w:drawing>
      </w:r>
    </w:p>
    <w:p w14:paraId="28A48AD4" w14:textId="77777777" w:rsidR="006C4AAD" w:rsidRPr="00D4005D" w:rsidRDefault="006C4AAD" w:rsidP="006C4AAD">
      <w:pPr>
        <w:shd w:val="clear" w:color="auto" w:fill="FCFCFC"/>
        <w:spacing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Maps of LRP composites corresponding to the 10% most confident and correct predictions of positive and negative geopotential height anomalies. Contours indicate the corresponding composite fields of the outgoing longwave radiation with solid lines representing positive values and dashed lines negative values. Adapted from Mayer and Barnes et al., 2021 [</w:t>
      </w:r>
      <w:hyperlink r:id="rId98" w:anchor="ref-CR47" w:tooltip="Mayer, K.J., Barnes, E.A.: Subseasonal forecasts of opportunity identified by an explainable neural network. Geophys. Res. Lett. 48(10), e2020GL092092 (2021)" w:history="1">
        <w:r w:rsidRPr="00D4005D">
          <w:rPr>
            <w:rFonts w:ascii="Times New Roman" w:eastAsia="Times New Roman" w:hAnsi="Times New Roman" w:cs="Times New Roman"/>
            <w:color w:val="004B83"/>
            <w:kern w:val="0"/>
            <w:sz w:val="24"/>
            <w:szCs w:val="24"/>
            <w:u w:val="single"/>
            <w:lang w:eastAsia="en-IN" w:bidi="ar-SA"/>
            <w14:ligatures w14:val="none"/>
          </w:rPr>
          <w:t>47</w:t>
        </w:r>
      </w:hyperlink>
      <w:r w:rsidRPr="00D4005D">
        <w:rPr>
          <w:rFonts w:ascii="Times New Roman" w:eastAsia="Times New Roman" w:hAnsi="Times New Roman" w:cs="Times New Roman"/>
          <w:color w:val="333333"/>
          <w:kern w:val="0"/>
          <w:sz w:val="24"/>
          <w:szCs w:val="24"/>
          <w:lang w:eastAsia="en-IN" w:bidi="ar-SA"/>
          <w14:ligatures w14:val="none"/>
        </w:rPr>
        <w:t>].</w:t>
      </w:r>
    </w:p>
    <w:p w14:paraId="4B6EB996" w14:textId="77777777" w:rsidR="00EC5747" w:rsidRPr="00D4005D" w:rsidRDefault="00EC5747"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p>
    <w:p w14:paraId="71D28FC6"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Mayer and Barnes continued in exploring which features over the tropics made the network highly confident during forecasts of opportunity, by using the LRP method. Figure </w:t>
      </w:r>
      <w:hyperlink r:id="rId99" w:anchor="Fig3" w:history="1">
        <w:r w:rsidRPr="00D4005D">
          <w:rPr>
            <w:rFonts w:ascii="Times New Roman" w:eastAsia="Times New Roman" w:hAnsi="Times New Roman" w:cs="Times New Roman"/>
            <w:color w:val="004B83"/>
            <w:kern w:val="0"/>
            <w:sz w:val="24"/>
            <w:szCs w:val="24"/>
            <w:u w:val="single"/>
            <w:lang w:eastAsia="en-IN" w:bidi="ar-SA"/>
            <w14:ligatures w14:val="none"/>
          </w:rPr>
          <w:t>3</w:t>
        </w:r>
      </w:hyperlink>
      <w:r w:rsidRPr="00D4005D">
        <w:rPr>
          <w:rFonts w:ascii="Times New Roman" w:eastAsia="Times New Roman" w:hAnsi="Times New Roman" w:cs="Times New Roman"/>
          <w:color w:val="333333"/>
          <w:kern w:val="0"/>
          <w:sz w:val="24"/>
          <w:szCs w:val="24"/>
          <w:lang w:eastAsia="en-IN" w:bidi="ar-SA"/>
          <w14:ligatures w14:val="none"/>
        </w:rPr>
        <w:t xml:space="preserve"> shows the LRP heatmaps for positive and negative, correctly predicted, anomalies of geopotential height over the North Atlantic. Note that only the top 10% of the most confident correct predictions were used for the LRP analysis (these predictions ought to represent cases of forecast of opportunity). As it is shown, LRP identified several sources of predictability over the southern Indian Ocean, the Maritime Continent and the western Pacific Ocean for positive predictions, and over the Maritime Continent, the western and central Pacific and over the western side of Hawaii for negative predictions. Judging by the OLR contours, the highlighted patterns correspond to dipoles of convection over the Indian Ocean and into the </w:t>
      </w:r>
      <w:r w:rsidRPr="00D4005D">
        <w:rPr>
          <w:rFonts w:ascii="Times New Roman" w:eastAsia="Times New Roman" w:hAnsi="Times New Roman" w:cs="Times New Roman"/>
          <w:color w:val="333333"/>
          <w:kern w:val="0"/>
          <w:sz w:val="24"/>
          <w:szCs w:val="24"/>
          <w:lang w:eastAsia="en-IN" w:bidi="ar-SA"/>
          <w14:ligatures w14:val="none"/>
        </w:rPr>
        <w:lastRenderedPageBreak/>
        <w:t>Maritime Continent in the first case and over the Maritime Continent and into the western Pacific in the second case. These patterns are consistent with the MJO structure and correspond to specific phases of the phenomenon, which in turn have been shown to be connected with the climate of the North Atlantic [</w:t>
      </w:r>
      <w:hyperlink r:id="rId100" w:anchor="ref-CR10" w:tooltip="Cassou, C.: Intraseasonal interaction between the Madden-Julian oscillation and the North Atlantic oscillation. Nature 455(7212), 523–527 (2008)" w:history="1">
        <w:r w:rsidRPr="00D4005D">
          <w:rPr>
            <w:rFonts w:ascii="Times New Roman" w:eastAsia="Times New Roman" w:hAnsi="Times New Roman" w:cs="Times New Roman"/>
            <w:color w:val="004B83"/>
            <w:kern w:val="0"/>
            <w:sz w:val="24"/>
            <w:szCs w:val="24"/>
            <w:u w:val="single"/>
            <w:lang w:eastAsia="en-IN" w:bidi="ar-SA"/>
            <w14:ligatures w14:val="none"/>
          </w:rPr>
          <w:t>10</w:t>
        </w:r>
      </w:hyperlink>
      <w:r w:rsidRPr="00D4005D">
        <w:rPr>
          <w:rFonts w:ascii="Times New Roman" w:eastAsia="Times New Roman" w:hAnsi="Times New Roman" w:cs="Times New Roman"/>
          <w:color w:val="333333"/>
          <w:kern w:val="0"/>
          <w:sz w:val="24"/>
          <w:szCs w:val="24"/>
          <w:lang w:eastAsia="en-IN" w:bidi="ar-SA"/>
          <w14:ligatures w14:val="none"/>
        </w:rPr>
        <w:t>, </w:t>
      </w:r>
      <w:hyperlink r:id="rId101" w:anchor="ref-CR24" w:tooltip="Henderson, S.A., Maloney, E.D., Barnes, E.A.: The influence of the Madden-Julian oscillation on northern hemisphere winter blocking. J. Clim. 29(12), 4597–4616 (2016)" w:history="1">
        <w:r w:rsidRPr="00D4005D">
          <w:rPr>
            <w:rFonts w:ascii="Times New Roman" w:eastAsia="Times New Roman" w:hAnsi="Times New Roman" w:cs="Times New Roman"/>
            <w:color w:val="004B83"/>
            <w:kern w:val="0"/>
            <w:sz w:val="24"/>
            <w:szCs w:val="24"/>
            <w:u w:val="single"/>
            <w:lang w:eastAsia="en-IN" w:bidi="ar-SA"/>
            <w14:ligatures w14:val="none"/>
          </w:rPr>
          <w:t>24</w:t>
        </w:r>
      </w:hyperlink>
      <w:r w:rsidRPr="00D4005D">
        <w:rPr>
          <w:rFonts w:ascii="Times New Roman" w:eastAsia="Times New Roman" w:hAnsi="Times New Roman" w:cs="Times New Roman"/>
          <w:color w:val="333333"/>
          <w:kern w:val="0"/>
          <w:sz w:val="24"/>
          <w:szCs w:val="24"/>
          <w:lang w:eastAsia="en-IN" w:bidi="ar-SA"/>
          <w14:ligatures w14:val="none"/>
        </w:rPr>
        <w:t>]. Thus, the implementation of LRP in this problem confirms that the network correctly captured the MJO-modulated forecasts of opportunity on subseasonal scales, and it further builds trust for the network’s predictive performance.</w:t>
      </w:r>
    </w:p>
    <w:p w14:paraId="35E2886E"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In a second climate prediction application, this time on decadal scales, Toms et al. (2021) [</w:t>
      </w:r>
      <w:hyperlink r:id="rId102" w:anchor="ref-CR80" w:tooltip="Toms, B.A., Barnes, E.A., Hurrell, J.W.: Assessing decadal predictability in an earth-system model using explainable neural networks. Geophys. Res. Lett. 48, e2021GL093842 (2021)" w:history="1">
        <w:r w:rsidRPr="00D4005D">
          <w:rPr>
            <w:rFonts w:ascii="Times New Roman" w:eastAsia="Times New Roman" w:hAnsi="Times New Roman" w:cs="Times New Roman"/>
            <w:color w:val="004B83"/>
            <w:kern w:val="0"/>
            <w:sz w:val="24"/>
            <w:szCs w:val="24"/>
            <w:u w:val="single"/>
            <w:lang w:eastAsia="en-IN" w:bidi="ar-SA"/>
            <w14:ligatures w14:val="none"/>
          </w:rPr>
          <w:t>80</w:t>
        </w:r>
      </w:hyperlink>
      <w:r w:rsidRPr="00D4005D">
        <w:rPr>
          <w:rFonts w:ascii="Times New Roman" w:eastAsia="Times New Roman" w:hAnsi="Times New Roman" w:cs="Times New Roman"/>
          <w:color w:val="333333"/>
          <w:kern w:val="0"/>
          <w:sz w:val="24"/>
          <w:szCs w:val="24"/>
          <w:lang w:eastAsia="en-IN" w:bidi="ar-SA"/>
          <w14:ligatures w14:val="none"/>
        </w:rPr>
        <w:t>] used simulated data from fully-coupled climate models and explored sources of decadal predictability in the climate system. Specifically, Toms et al. used global SST information as the predictor, with the aim of predicting continental surface temperature around the globe; for each grid point over land, a separate dense network was used. In this way, by combining the large number of samples provided by the climate models (unrealistically large sample size compared to what is available in the observational record) and the ability of NNs to capture nonlinear dynamics, the authors were able to assess the predictability of the climate system in a nonlinear setting. Note that assessing predictability using observational records has been typically based on linear models of limited complexity to avoid overfitting, given the short sample sizes that are usually available [</w:t>
      </w:r>
      <w:hyperlink r:id="rId103" w:anchor="ref-CR13" w:tooltip="DelSole, T., Banerjee, A.: Statistical seasonal prediction based on regularized regression. J. Clim. 30(4), 1345–1361 (2017)" w:history="1">
        <w:r w:rsidRPr="00D4005D">
          <w:rPr>
            <w:rFonts w:ascii="Times New Roman" w:eastAsia="Times New Roman" w:hAnsi="Times New Roman" w:cs="Times New Roman"/>
            <w:color w:val="004B83"/>
            <w:kern w:val="0"/>
            <w:sz w:val="24"/>
            <w:szCs w:val="24"/>
            <w:u w:val="single"/>
            <w:lang w:eastAsia="en-IN" w:bidi="ar-SA"/>
            <w14:ligatures w14:val="none"/>
          </w:rPr>
          <w:t>13</w:t>
        </w:r>
      </w:hyperlink>
      <w:r w:rsidRPr="00D4005D">
        <w:rPr>
          <w:rFonts w:ascii="Times New Roman" w:eastAsia="Times New Roman" w:hAnsi="Times New Roman" w:cs="Times New Roman"/>
          <w:color w:val="333333"/>
          <w:kern w:val="0"/>
          <w:sz w:val="24"/>
          <w:szCs w:val="24"/>
          <w:lang w:eastAsia="en-IN" w:bidi="ar-SA"/>
          <w14:ligatures w14:val="none"/>
        </w:rPr>
        <w:t>, </w:t>
      </w:r>
      <w:hyperlink r:id="rId104" w:anchor="ref-CR76" w:tooltip="Stevens, A., et al.: Graph-guided regularized regression of pacific ocean climate variables to increase predictive skill of southwestern us winter precipitation. J. Clim. 34(2), 737–754 (2021)" w:history="1">
        <w:r w:rsidRPr="00D4005D">
          <w:rPr>
            <w:rFonts w:ascii="Times New Roman" w:eastAsia="Times New Roman" w:hAnsi="Times New Roman" w:cs="Times New Roman"/>
            <w:color w:val="004B83"/>
            <w:kern w:val="0"/>
            <w:sz w:val="24"/>
            <w:szCs w:val="24"/>
            <w:u w:val="single"/>
            <w:lang w:eastAsia="en-IN" w:bidi="ar-SA"/>
            <w14:ligatures w14:val="none"/>
          </w:rPr>
          <w:t>76</w:t>
        </w:r>
      </w:hyperlink>
      <w:r w:rsidRPr="00D4005D">
        <w:rPr>
          <w:rFonts w:ascii="Times New Roman" w:eastAsia="Times New Roman" w:hAnsi="Times New Roman" w:cs="Times New Roman"/>
          <w:color w:val="333333"/>
          <w:kern w:val="0"/>
          <w:sz w:val="24"/>
          <w:szCs w:val="24"/>
          <w:lang w:eastAsia="en-IN" w:bidi="ar-SA"/>
          <w14:ligatures w14:val="none"/>
        </w:rPr>
        <w:t>]. Since the climate system is far from linear, the investigation by Toms et al. may be argued to provide a better estimate of predictability than previous work. The results showed that there are several regions where surface temperature is practically unpredictable, whereas there are also regions of high predictability, namely, “hotspots” of predictability, i.e., regions where the predictive skill is inherently high. The presence of hotspots of predictability is conceptually the same with the presence of forecasts of opportunity on subseasonal scales that was discussed in the previous application</w:t>
      </w:r>
      <w:r w:rsidRPr="00D4005D">
        <w:rPr>
          <w:rFonts w:ascii="Times New Roman" w:eastAsia="Times New Roman" w:hAnsi="Times New Roman" w:cs="Times New Roman"/>
          <w:color w:val="333333"/>
          <w:kern w:val="0"/>
          <w:sz w:val="27"/>
          <w:szCs w:val="27"/>
          <w:lang w:eastAsia="en-IN" w:bidi="ar-SA"/>
          <w14:ligatures w14:val="none"/>
        </w:rPr>
        <w:t>.</w:t>
      </w:r>
    </w:p>
    <w:p w14:paraId="4E98B435"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b/>
          <w:bCs/>
          <w:color w:val="333333"/>
          <w:kern w:val="0"/>
          <w:sz w:val="27"/>
          <w:szCs w:val="27"/>
          <w:lang w:eastAsia="en-IN" w:bidi="ar-SA"/>
          <w14:ligatures w14:val="none"/>
        </w:rPr>
        <w:t>Fig. 4.</w:t>
      </w:r>
    </w:p>
    <w:p w14:paraId="534643B3"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noProof/>
          <w:color w:val="004B83"/>
          <w:kern w:val="0"/>
          <w:sz w:val="27"/>
          <w:szCs w:val="27"/>
          <w:lang w:eastAsia="en-IN" w:bidi="ar-SA"/>
          <w14:ligatures w14:val="none"/>
        </w:rPr>
        <w:drawing>
          <wp:inline distT="0" distB="0" distL="0" distR="0" wp14:anchorId="5503ED15" wp14:editId="12AB3492">
            <wp:extent cx="5731510" cy="3488690"/>
            <wp:effectExtent l="0" t="0" r="2540" b="0"/>
            <wp:docPr id="15" name="Picture 15" descr="figure 4">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4">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3488690"/>
                    </a:xfrm>
                    <a:prstGeom prst="rect">
                      <a:avLst/>
                    </a:prstGeom>
                    <a:noFill/>
                    <a:ln>
                      <a:noFill/>
                    </a:ln>
                  </pic:spPr>
                </pic:pic>
              </a:graphicData>
            </a:graphic>
          </wp:inline>
        </w:drawing>
      </w:r>
    </w:p>
    <w:p w14:paraId="53AF670B" w14:textId="77777777" w:rsidR="00EB0A19" w:rsidRDefault="00EB0A19" w:rsidP="006C4AAD">
      <w:pPr>
        <w:shd w:val="clear" w:color="auto" w:fill="FCFCFC"/>
        <w:spacing w:line="240" w:lineRule="auto"/>
        <w:rPr>
          <w:rFonts w:ascii="Times New Roman" w:eastAsia="Times New Roman" w:hAnsi="Times New Roman" w:cs="Times New Roman"/>
          <w:color w:val="333333"/>
          <w:kern w:val="0"/>
          <w:sz w:val="24"/>
          <w:szCs w:val="24"/>
          <w:lang w:eastAsia="en-IN" w:bidi="ar-SA"/>
          <w14:ligatures w14:val="none"/>
        </w:rPr>
      </w:pPr>
    </w:p>
    <w:p w14:paraId="499FF9D3" w14:textId="1495D8EB" w:rsidR="006C4AAD" w:rsidRPr="00D4005D" w:rsidRDefault="006C4AAD" w:rsidP="006C4AAD">
      <w:pPr>
        <w:shd w:val="clear" w:color="auto" w:fill="FCFCFC"/>
        <w:spacing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lastRenderedPageBreak/>
        <w:t>Composite of LRP maps for the sea surface temperature (SST) field for accurate predictions of positive surface temperature anomalies at four locations across North America. The continental locations associated with the composites are denoted by the red dots in each panel. The LRP map for each sample is normalized between a value of 0 and 1 before compositing to ensure each prediction carries the same weight in the composite. The number of samples used in each composite is shown within each sub-figure. Adapted from Toms et al., 2021 [</w:t>
      </w:r>
      <w:hyperlink r:id="rId107" w:anchor="ref-CR80" w:tooltip="Toms, B.A., Barnes, E.A., Hurrell, J.W.: Assessing decadal predictability in an earth-system model using explainable neural networks. Geophys. Res. Lett. 48, e2021GL093842 (2021)" w:history="1">
        <w:r w:rsidRPr="00D4005D">
          <w:rPr>
            <w:rFonts w:ascii="Times New Roman" w:eastAsia="Times New Roman" w:hAnsi="Times New Roman" w:cs="Times New Roman"/>
            <w:color w:val="004B83"/>
            <w:kern w:val="0"/>
            <w:sz w:val="24"/>
            <w:szCs w:val="24"/>
            <w:u w:val="single"/>
            <w:lang w:eastAsia="en-IN" w:bidi="ar-SA"/>
            <w14:ligatures w14:val="none"/>
          </w:rPr>
          <w:t>80</w:t>
        </w:r>
      </w:hyperlink>
      <w:r w:rsidRPr="00D4005D">
        <w:rPr>
          <w:rFonts w:ascii="Times New Roman" w:eastAsia="Times New Roman" w:hAnsi="Times New Roman" w:cs="Times New Roman"/>
          <w:color w:val="333333"/>
          <w:kern w:val="0"/>
          <w:sz w:val="24"/>
          <w:szCs w:val="24"/>
          <w:lang w:eastAsia="en-IN" w:bidi="ar-SA"/>
          <w14:ligatures w14:val="none"/>
        </w:rPr>
        <w:t>].</w:t>
      </w:r>
    </w:p>
    <w:p w14:paraId="193FFEA7" w14:textId="77777777" w:rsidR="00EC5747" w:rsidRPr="00D4005D" w:rsidRDefault="00EC5747"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p>
    <w:p w14:paraId="47190ED4"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Toms et al. explored the sources of predictability of surface temperature over North America by using the LRP method. Figure </w:t>
      </w:r>
      <w:hyperlink r:id="rId108" w:anchor="Fig4" w:history="1">
        <w:r w:rsidRPr="00D4005D">
          <w:rPr>
            <w:rFonts w:ascii="Times New Roman" w:eastAsia="Times New Roman" w:hAnsi="Times New Roman" w:cs="Times New Roman"/>
            <w:color w:val="004B83"/>
            <w:kern w:val="0"/>
            <w:sz w:val="24"/>
            <w:szCs w:val="24"/>
            <w:u w:val="single"/>
            <w:lang w:eastAsia="en-IN" w:bidi="ar-SA"/>
            <w14:ligatures w14:val="none"/>
          </w:rPr>
          <w:t>4</w:t>
        </w:r>
      </w:hyperlink>
      <w:r w:rsidRPr="00D4005D">
        <w:rPr>
          <w:rFonts w:ascii="Times New Roman" w:eastAsia="Times New Roman" w:hAnsi="Times New Roman" w:cs="Times New Roman"/>
          <w:color w:val="333333"/>
          <w:kern w:val="0"/>
          <w:sz w:val="24"/>
          <w:szCs w:val="24"/>
          <w:lang w:eastAsia="en-IN" w:bidi="ar-SA"/>
          <w14:ligatures w14:val="none"/>
        </w:rPr>
        <w:t> shows the composite LRP maps that correspond to correctly predicted positive temperature anomalies over four different regions in the North America. One can observe that different SST patterns are highlighted as sources of predictability for each of the four regions. Perhaps surprisingly, temperature anomalies over Central America are shown to be most associated with SST anomalies off the east coast of Japan (Fig. </w:t>
      </w:r>
      <w:hyperlink r:id="rId109" w:anchor="Fig4" w:history="1">
        <w:r w:rsidRPr="00D4005D">
          <w:rPr>
            <w:rFonts w:ascii="Times New Roman" w:eastAsia="Times New Roman" w:hAnsi="Times New Roman" w:cs="Times New Roman"/>
            <w:color w:val="004B83"/>
            <w:kern w:val="0"/>
            <w:sz w:val="24"/>
            <w:szCs w:val="24"/>
            <w:u w:val="single"/>
            <w:lang w:eastAsia="en-IN" w:bidi="ar-SA"/>
            <w14:ligatures w14:val="none"/>
          </w:rPr>
          <w:t>4</w:t>
        </w:r>
      </w:hyperlink>
      <w:r w:rsidRPr="00D4005D">
        <w:rPr>
          <w:rFonts w:ascii="Times New Roman" w:eastAsia="Times New Roman" w:hAnsi="Times New Roman" w:cs="Times New Roman"/>
          <w:color w:val="333333"/>
          <w:kern w:val="0"/>
          <w:sz w:val="24"/>
          <w:szCs w:val="24"/>
          <w:lang w:eastAsia="en-IN" w:bidi="ar-SA"/>
          <w14:ligatures w14:val="none"/>
        </w:rPr>
        <w:t>a), likely related to the Kuroshio Extension [</w:t>
      </w:r>
      <w:hyperlink r:id="rId110" w:anchor="ref-CR58" w:tooltip="Qiu, B., Chen, S.: Variability of the Kuroshio extension jet, recirculation gyre, and mesoscale eddies on decadal time scales. J. Phys. Oceanogr. 35(11), 2090–2103 (2005)" w:history="1">
        <w:r w:rsidRPr="00D4005D">
          <w:rPr>
            <w:rFonts w:ascii="Times New Roman" w:eastAsia="Times New Roman" w:hAnsi="Times New Roman" w:cs="Times New Roman"/>
            <w:color w:val="004B83"/>
            <w:kern w:val="0"/>
            <w:sz w:val="24"/>
            <w:szCs w:val="24"/>
            <w:u w:val="single"/>
            <w:lang w:eastAsia="en-IN" w:bidi="ar-SA"/>
            <w14:ligatures w14:val="none"/>
          </w:rPr>
          <w:t>58</w:t>
        </w:r>
      </w:hyperlink>
      <w:r w:rsidRPr="00D4005D">
        <w:rPr>
          <w:rFonts w:ascii="Times New Roman" w:eastAsia="Times New Roman" w:hAnsi="Times New Roman" w:cs="Times New Roman"/>
          <w:color w:val="333333"/>
          <w:kern w:val="0"/>
          <w:sz w:val="24"/>
          <w:szCs w:val="24"/>
          <w:lang w:eastAsia="en-IN" w:bidi="ar-SA"/>
          <w14:ligatures w14:val="none"/>
        </w:rPr>
        <w:t>]. SST anomalies over the North-Central Pacific Ocean are associated with continental temperature anomalies along the west coast (Fig. </w:t>
      </w:r>
      <w:hyperlink r:id="rId111" w:anchor="Fig4" w:history="1">
        <w:r w:rsidRPr="00D4005D">
          <w:rPr>
            <w:rFonts w:ascii="Times New Roman" w:eastAsia="Times New Roman" w:hAnsi="Times New Roman" w:cs="Times New Roman"/>
            <w:color w:val="004B83"/>
            <w:kern w:val="0"/>
            <w:sz w:val="24"/>
            <w:szCs w:val="24"/>
            <w:u w:val="single"/>
            <w:lang w:eastAsia="en-IN" w:bidi="ar-SA"/>
            <w14:ligatures w14:val="none"/>
          </w:rPr>
          <w:t>4</w:t>
        </w:r>
      </w:hyperlink>
      <w:r w:rsidRPr="00D4005D">
        <w:rPr>
          <w:rFonts w:ascii="Times New Roman" w:eastAsia="Times New Roman" w:hAnsi="Times New Roman" w:cs="Times New Roman"/>
          <w:color w:val="333333"/>
          <w:kern w:val="0"/>
          <w:sz w:val="24"/>
          <w:szCs w:val="24"/>
          <w:lang w:eastAsia="en-IN" w:bidi="ar-SA"/>
          <w14:ligatures w14:val="none"/>
        </w:rPr>
        <w:t>b), while those within the tropical Pacific Ocean contribute to predictability across central North America (Fig. </w:t>
      </w:r>
      <w:hyperlink r:id="rId112" w:anchor="Fig4" w:history="1">
        <w:r w:rsidRPr="00D4005D">
          <w:rPr>
            <w:rFonts w:ascii="Times New Roman" w:eastAsia="Times New Roman" w:hAnsi="Times New Roman" w:cs="Times New Roman"/>
            <w:color w:val="004B83"/>
            <w:kern w:val="0"/>
            <w:sz w:val="24"/>
            <w:szCs w:val="24"/>
            <w:u w:val="single"/>
            <w:lang w:eastAsia="en-IN" w:bidi="ar-SA"/>
            <w14:ligatures w14:val="none"/>
          </w:rPr>
          <w:t>4</w:t>
        </w:r>
      </w:hyperlink>
      <w:r w:rsidRPr="00D4005D">
        <w:rPr>
          <w:rFonts w:ascii="Times New Roman" w:eastAsia="Times New Roman" w:hAnsi="Times New Roman" w:cs="Times New Roman"/>
          <w:color w:val="333333"/>
          <w:kern w:val="0"/>
          <w:sz w:val="24"/>
          <w:szCs w:val="24"/>
          <w:lang w:eastAsia="en-IN" w:bidi="ar-SA"/>
          <w14:ligatures w14:val="none"/>
        </w:rPr>
        <w:t>c). Lastly, the North Atlantic SSTs contribute predictability to all four regions, although their impacts are more prominent across the northeastern side of the continent (Fig. </w:t>
      </w:r>
      <w:hyperlink r:id="rId113" w:anchor="Fig4" w:history="1">
        <w:r w:rsidRPr="00D4005D">
          <w:rPr>
            <w:rFonts w:ascii="Times New Roman" w:eastAsia="Times New Roman" w:hAnsi="Times New Roman" w:cs="Times New Roman"/>
            <w:color w:val="004B83"/>
            <w:kern w:val="0"/>
            <w:sz w:val="24"/>
            <w:szCs w:val="24"/>
            <w:u w:val="single"/>
            <w:lang w:eastAsia="en-IN" w:bidi="ar-SA"/>
            <w14:ligatures w14:val="none"/>
          </w:rPr>
          <w:t>4</w:t>
        </w:r>
      </w:hyperlink>
      <w:r w:rsidRPr="00D4005D">
        <w:rPr>
          <w:rFonts w:ascii="Times New Roman" w:eastAsia="Times New Roman" w:hAnsi="Times New Roman" w:cs="Times New Roman"/>
          <w:color w:val="333333"/>
          <w:kern w:val="0"/>
          <w:sz w:val="24"/>
          <w:szCs w:val="24"/>
          <w:lang w:eastAsia="en-IN" w:bidi="ar-SA"/>
          <w14:ligatures w14:val="none"/>
        </w:rPr>
        <w:t>d). The highlighted patterns of predictability as assessed by LRP resemble known modes of SST variability, such as the El Niño-Southern Oscillation (e.g.,[</w:t>
      </w:r>
      <w:hyperlink r:id="rId114" w:anchor="ref-CR55" w:tooltip="Newman, M., Compo, G.P., Alexander, M.A.: Enso-forced variability of the pacific decadal oscillation. J. Clim. 16(23), 3853–3857 (2003)" w:history="1">
        <w:r w:rsidRPr="00D4005D">
          <w:rPr>
            <w:rFonts w:ascii="Times New Roman" w:eastAsia="Times New Roman" w:hAnsi="Times New Roman" w:cs="Times New Roman"/>
            <w:color w:val="004B83"/>
            <w:kern w:val="0"/>
            <w:sz w:val="24"/>
            <w:szCs w:val="24"/>
            <w:u w:val="single"/>
            <w:lang w:eastAsia="en-IN" w:bidi="ar-SA"/>
            <w14:ligatures w14:val="none"/>
          </w:rPr>
          <w:t>55</w:t>
        </w:r>
      </w:hyperlink>
      <w:r w:rsidRPr="00D4005D">
        <w:rPr>
          <w:rFonts w:ascii="Times New Roman" w:eastAsia="Times New Roman" w:hAnsi="Times New Roman" w:cs="Times New Roman"/>
          <w:color w:val="333333"/>
          <w:kern w:val="0"/>
          <w:sz w:val="24"/>
          <w:szCs w:val="24"/>
          <w:lang w:eastAsia="en-IN" w:bidi="ar-SA"/>
          <w14:ligatures w14:val="none"/>
        </w:rPr>
        <w:t>, </w:t>
      </w:r>
      <w:hyperlink r:id="rId115" w:anchor="ref-CR81" w:tooltip="Trenberth, K.E.: The definition of El Nino. Bull. Am. Meteor. Soc. 78(12), 2771–2778 (1997)" w:history="1">
        <w:r w:rsidRPr="00D4005D">
          <w:rPr>
            <w:rFonts w:ascii="Times New Roman" w:eastAsia="Times New Roman" w:hAnsi="Times New Roman" w:cs="Times New Roman"/>
            <w:color w:val="004B83"/>
            <w:kern w:val="0"/>
            <w:sz w:val="24"/>
            <w:szCs w:val="24"/>
            <w:u w:val="single"/>
            <w:lang w:eastAsia="en-IN" w:bidi="ar-SA"/>
            <w14:ligatures w14:val="none"/>
          </w:rPr>
          <w:t>81</w:t>
        </w:r>
      </w:hyperlink>
      <w:r w:rsidRPr="00D4005D">
        <w:rPr>
          <w:rFonts w:ascii="Times New Roman" w:eastAsia="Times New Roman" w:hAnsi="Times New Roman" w:cs="Times New Roman"/>
          <w:color w:val="333333"/>
          <w:kern w:val="0"/>
          <w:sz w:val="24"/>
          <w:szCs w:val="24"/>
          <w:lang w:eastAsia="en-IN" w:bidi="ar-SA"/>
          <w14:ligatures w14:val="none"/>
        </w:rPr>
        <w:t>]), the Pacific Decadal Oscillation [</w:t>
      </w:r>
      <w:hyperlink r:id="rId116" w:anchor="ref-CR46" w:tooltip="Mantua, N.J., Hare, S.R.: The pacific decadal oscillation. J. Oceanogr. 58(1), 35–44 (2002)" w:history="1">
        <w:r w:rsidRPr="00D4005D">
          <w:rPr>
            <w:rFonts w:ascii="Times New Roman" w:eastAsia="Times New Roman" w:hAnsi="Times New Roman" w:cs="Times New Roman"/>
            <w:color w:val="004B83"/>
            <w:kern w:val="0"/>
            <w:sz w:val="24"/>
            <w:szCs w:val="24"/>
            <w:u w:val="single"/>
            <w:lang w:eastAsia="en-IN" w:bidi="ar-SA"/>
            <w14:ligatures w14:val="none"/>
          </w:rPr>
          <w:t>46</w:t>
        </w:r>
      </w:hyperlink>
      <w:r w:rsidRPr="00D4005D">
        <w:rPr>
          <w:rFonts w:ascii="Times New Roman" w:eastAsia="Times New Roman" w:hAnsi="Times New Roman" w:cs="Times New Roman"/>
          <w:color w:val="333333"/>
          <w:kern w:val="0"/>
          <w:sz w:val="24"/>
          <w:szCs w:val="24"/>
          <w:lang w:eastAsia="en-IN" w:bidi="ar-SA"/>
          <w14:ligatures w14:val="none"/>
        </w:rPr>
        <w:t>, </w:t>
      </w:r>
      <w:hyperlink r:id="rId117" w:anchor="ref-CR54" w:tooltip="Newman, M., et al.: The pacific decadal oscillation, revisited. J. Clim. 29(12), 4399–4427 (2016)" w:history="1">
        <w:r w:rsidRPr="00D4005D">
          <w:rPr>
            <w:rFonts w:ascii="Times New Roman" w:eastAsia="Times New Roman" w:hAnsi="Times New Roman" w:cs="Times New Roman"/>
            <w:color w:val="004B83"/>
            <w:kern w:val="0"/>
            <w:sz w:val="24"/>
            <w:szCs w:val="24"/>
            <w:u w:val="single"/>
            <w:lang w:eastAsia="en-IN" w:bidi="ar-SA"/>
            <w14:ligatures w14:val="none"/>
          </w:rPr>
          <w:t>54</w:t>
        </w:r>
      </w:hyperlink>
      <w:r w:rsidRPr="00D4005D">
        <w:rPr>
          <w:rFonts w:ascii="Times New Roman" w:eastAsia="Times New Roman" w:hAnsi="Times New Roman" w:cs="Times New Roman"/>
          <w:color w:val="333333"/>
          <w:kern w:val="0"/>
          <w:sz w:val="24"/>
          <w:szCs w:val="24"/>
          <w:lang w:eastAsia="en-IN" w:bidi="ar-SA"/>
          <w14:ligatures w14:val="none"/>
        </w:rPr>
        <w:t>], and the Atlantic Multidecadal Oscillation [</w:t>
      </w:r>
      <w:hyperlink r:id="rId118" w:anchor="ref-CR17" w:tooltip="Enfield, D.B., Mestas-Nuñez, A.M., Trimble, P.J.: The Atlantic multidecadal oscillation and its relation to rainfall and river flows in the continental us. Geophys. Res. Lett. 28(10), 2077–2080 (2001)" w:history="1">
        <w:r w:rsidRPr="00D4005D">
          <w:rPr>
            <w:rFonts w:ascii="Times New Roman" w:eastAsia="Times New Roman" w:hAnsi="Times New Roman" w:cs="Times New Roman"/>
            <w:color w:val="004B83"/>
            <w:kern w:val="0"/>
            <w:sz w:val="24"/>
            <w:szCs w:val="24"/>
            <w:u w:val="single"/>
            <w:lang w:eastAsia="en-IN" w:bidi="ar-SA"/>
            <w14:ligatures w14:val="none"/>
          </w:rPr>
          <w:t>17</w:t>
        </w:r>
      </w:hyperlink>
      <w:r w:rsidRPr="00D4005D">
        <w:rPr>
          <w:rFonts w:ascii="Times New Roman" w:eastAsia="Times New Roman" w:hAnsi="Times New Roman" w:cs="Times New Roman"/>
          <w:color w:val="333333"/>
          <w:kern w:val="0"/>
          <w:sz w:val="24"/>
          <w:szCs w:val="24"/>
          <w:lang w:eastAsia="en-IN" w:bidi="ar-SA"/>
          <w14:ligatures w14:val="none"/>
        </w:rPr>
        <w:t>]. These modes are known to affect hydroclimate over North America [</w:t>
      </w:r>
      <w:hyperlink r:id="rId119" w:anchor="ref-CR11" w:tooltip="Dai, A.: The influence of the inter-decadal pacific oscillation on us precipitation during 1923–2010. Clim. Dyn. 41(3–4), 633–646 (2013)" w:history="1">
        <w:r w:rsidRPr="00D4005D">
          <w:rPr>
            <w:rFonts w:ascii="Times New Roman" w:eastAsia="Times New Roman" w:hAnsi="Times New Roman" w:cs="Times New Roman"/>
            <w:color w:val="004B83"/>
            <w:kern w:val="0"/>
            <w:sz w:val="24"/>
            <w:szCs w:val="24"/>
            <w:u w:val="single"/>
            <w:lang w:eastAsia="en-IN" w:bidi="ar-SA"/>
            <w14:ligatures w14:val="none"/>
          </w:rPr>
          <w:t>11</w:t>
        </w:r>
      </w:hyperlink>
      <w:r w:rsidRPr="00D4005D">
        <w:rPr>
          <w:rFonts w:ascii="Times New Roman" w:eastAsia="Times New Roman" w:hAnsi="Times New Roman" w:cs="Times New Roman"/>
          <w:color w:val="333333"/>
          <w:kern w:val="0"/>
          <w:sz w:val="24"/>
          <w:szCs w:val="24"/>
          <w:lang w:eastAsia="en-IN" w:bidi="ar-SA"/>
          <w14:ligatures w14:val="none"/>
        </w:rPr>
        <w:t>, </w:t>
      </w:r>
      <w:hyperlink r:id="rId120" w:anchor="ref-CR17" w:tooltip="Enfield, D.B., Mestas-Nuñez, A.M., Trimble, P.J.: The Atlantic multidecadal oscillation and its relation to rainfall and river flows in the continental us. Geophys. Res. Lett. 28(10), 2077–2080 (2001)" w:history="1">
        <w:r w:rsidRPr="00D4005D">
          <w:rPr>
            <w:rFonts w:ascii="Times New Roman" w:eastAsia="Times New Roman" w:hAnsi="Times New Roman" w:cs="Times New Roman"/>
            <w:color w:val="004B83"/>
            <w:kern w:val="0"/>
            <w:sz w:val="24"/>
            <w:szCs w:val="24"/>
            <w:u w:val="single"/>
            <w:lang w:eastAsia="en-IN" w:bidi="ar-SA"/>
            <w14:ligatures w14:val="none"/>
          </w:rPr>
          <w:t>17</w:t>
        </w:r>
      </w:hyperlink>
      <w:r w:rsidRPr="00D4005D">
        <w:rPr>
          <w:rFonts w:ascii="Times New Roman" w:eastAsia="Times New Roman" w:hAnsi="Times New Roman" w:cs="Times New Roman"/>
          <w:color w:val="333333"/>
          <w:kern w:val="0"/>
          <w:sz w:val="24"/>
          <w:szCs w:val="24"/>
          <w:lang w:eastAsia="en-IN" w:bidi="ar-SA"/>
          <w14:ligatures w14:val="none"/>
        </w:rPr>
        <w:t>, </w:t>
      </w:r>
      <w:hyperlink r:id="rId121" w:anchor="ref-CR48" w:tooltip="McCABE, G.J., Dettinger, M.D.: Decadal variations in the strength of ENSO teleconnections with precipitation in the western united states. Int. J. Climatol. J. R. Meteorol. Soc. 19(13), 1399–1410 (1999)" w:history="1">
        <w:r w:rsidRPr="00D4005D">
          <w:rPr>
            <w:rFonts w:ascii="Times New Roman" w:eastAsia="Times New Roman" w:hAnsi="Times New Roman" w:cs="Times New Roman"/>
            <w:color w:val="004B83"/>
            <w:kern w:val="0"/>
            <w:sz w:val="24"/>
            <w:szCs w:val="24"/>
            <w:u w:val="single"/>
            <w:lang w:eastAsia="en-IN" w:bidi="ar-SA"/>
            <w14:ligatures w14:val="none"/>
          </w:rPr>
          <w:t>48</w:t>
        </w:r>
      </w:hyperlink>
      <w:r w:rsidRPr="00D4005D">
        <w:rPr>
          <w:rFonts w:ascii="Times New Roman" w:eastAsia="Times New Roman" w:hAnsi="Times New Roman" w:cs="Times New Roman"/>
          <w:color w:val="333333"/>
          <w:kern w:val="0"/>
          <w:sz w:val="24"/>
          <w:szCs w:val="24"/>
          <w:lang w:eastAsia="en-IN" w:bidi="ar-SA"/>
          <w14:ligatures w14:val="none"/>
        </w:rPr>
        <w:t>, </w:t>
      </w:r>
      <w:hyperlink r:id="rId122" w:anchor="ref-CR49" w:tooltip="McCabe, G.J., Palecki, M.A., Betancourt, J.L.: Pacific and Atlantic ocean influences on multidecadal drought frequency in the united states. Proc. Natl. Acad. Sci. 101(12), 4136–4141 (2004)" w:history="1">
        <w:r w:rsidRPr="00D4005D">
          <w:rPr>
            <w:rFonts w:ascii="Times New Roman" w:eastAsia="Times New Roman" w:hAnsi="Times New Roman" w:cs="Times New Roman"/>
            <w:color w:val="004B83"/>
            <w:kern w:val="0"/>
            <w:sz w:val="24"/>
            <w:szCs w:val="24"/>
            <w:u w:val="single"/>
            <w:lang w:eastAsia="en-IN" w:bidi="ar-SA"/>
            <w14:ligatures w14:val="none"/>
          </w:rPr>
          <w:t>49</w:t>
        </w:r>
      </w:hyperlink>
      <w:r w:rsidRPr="00D4005D">
        <w:rPr>
          <w:rFonts w:ascii="Times New Roman" w:eastAsia="Times New Roman" w:hAnsi="Times New Roman" w:cs="Times New Roman"/>
          <w:color w:val="333333"/>
          <w:kern w:val="0"/>
          <w:sz w:val="24"/>
          <w:szCs w:val="24"/>
          <w:lang w:eastAsia="en-IN" w:bidi="ar-SA"/>
          <w14:ligatures w14:val="none"/>
        </w:rPr>
        <w:t>, </w:t>
      </w:r>
      <w:hyperlink r:id="rId123" w:anchor="ref-CR54" w:tooltip="Newman, M., et al.: The pacific decadal oscillation, revisited. J. Clim. 29(12), 4399–4427 (2016)" w:history="1">
        <w:r w:rsidRPr="00D4005D">
          <w:rPr>
            <w:rFonts w:ascii="Times New Roman" w:eastAsia="Times New Roman" w:hAnsi="Times New Roman" w:cs="Times New Roman"/>
            <w:color w:val="004B83"/>
            <w:kern w:val="0"/>
            <w:sz w:val="24"/>
            <w:szCs w:val="24"/>
            <w:u w:val="single"/>
            <w:lang w:eastAsia="en-IN" w:bidi="ar-SA"/>
            <w14:ligatures w14:val="none"/>
          </w:rPr>
          <w:t>54</w:t>
        </w:r>
      </w:hyperlink>
      <w:r w:rsidRPr="00D4005D">
        <w:rPr>
          <w:rFonts w:ascii="Times New Roman" w:eastAsia="Times New Roman" w:hAnsi="Times New Roman" w:cs="Times New Roman"/>
          <w:color w:val="333333"/>
          <w:kern w:val="0"/>
          <w:sz w:val="24"/>
          <w:szCs w:val="24"/>
          <w:lang w:eastAsia="en-IN" w:bidi="ar-SA"/>
          <w14:ligatures w14:val="none"/>
        </w:rPr>
        <w:t>], thus, this application constitutes one more case where XAI methods can help scientists build model trust. More importantly, in this setting, physical insights can be extracted about sources of temperature predictability over the entire globe, by sequentially applying LRP to each of the trained networks. As Toms et al. highlight, such an analysis could motivate further mechanistic investigation to physically establish new climate teleconnections. Thus, this application also illustrates how XAI methods can help advance climate science.</w:t>
      </w:r>
    </w:p>
    <w:p w14:paraId="275AC3C4" w14:textId="16DC93B6" w:rsidR="006C4AAD" w:rsidRPr="00D4005D" w:rsidRDefault="006C4AAD" w:rsidP="006C4AAD">
      <w:pPr>
        <w:shd w:val="clear" w:color="auto" w:fill="FCFCFC"/>
        <w:spacing w:after="120" w:line="240" w:lineRule="auto"/>
        <w:outlineLvl w:val="2"/>
        <w:rPr>
          <w:rFonts w:ascii="Times New Roman" w:eastAsia="Times New Roman" w:hAnsi="Times New Roman" w:cs="Times New Roman"/>
          <w:color w:val="222222"/>
          <w:kern w:val="0"/>
          <w:sz w:val="24"/>
          <w:szCs w:val="24"/>
          <w:lang w:eastAsia="en-IN" w:bidi="ar-SA"/>
          <w14:ligatures w14:val="none"/>
        </w:rPr>
      </w:pPr>
      <w:r w:rsidRPr="00D4005D">
        <w:rPr>
          <w:rFonts w:ascii="Times New Roman" w:eastAsia="Times New Roman" w:hAnsi="Times New Roman" w:cs="Times New Roman"/>
          <w:color w:val="222222"/>
          <w:kern w:val="0"/>
          <w:sz w:val="24"/>
          <w:szCs w:val="24"/>
          <w:lang w:eastAsia="en-IN" w:bidi="ar-SA"/>
          <w14:ligatures w14:val="none"/>
        </w:rPr>
        <w:t>2.3 XAI to Extract Forced Climate Change Signals and Anthropogenic Footprint</w:t>
      </w:r>
    </w:p>
    <w:p w14:paraId="60150D7E"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As a final application of XAI to meteorology and climate science, we consider studies that try to identify human-caused climatic changes (i.e. climate change signals) and anthropogenic footprint in observations or simulations. Detecting climate change signals has been recognized in the climate community as a signal-to-noise problem, where the warming “signal” arising from the slow (long timescales), human-caused changes in the atmospheric concentrations of greenhouse gases is superimposed on the background “noise” of natural climate variability [</w:t>
      </w:r>
      <w:hyperlink r:id="rId124" w:anchor="ref-CR66" w:tooltip="Santer, B.D., et al.: Separating signal and noise in atmospheric temperature changes: the importance of timescale. J. Geophys. Res. Atmos. 116(D22), D22105 (2011)" w:history="1">
        <w:r w:rsidRPr="00D4005D">
          <w:rPr>
            <w:rFonts w:ascii="Times New Roman" w:eastAsia="Times New Roman" w:hAnsi="Times New Roman" w:cs="Times New Roman"/>
            <w:color w:val="004B83"/>
            <w:kern w:val="0"/>
            <w:sz w:val="24"/>
            <w:szCs w:val="24"/>
            <w:u w:val="single"/>
            <w:lang w:eastAsia="en-IN" w:bidi="ar-SA"/>
            <w14:ligatures w14:val="none"/>
          </w:rPr>
          <w:t>66</w:t>
        </w:r>
      </w:hyperlink>
      <w:r w:rsidRPr="00D4005D">
        <w:rPr>
          <w:rFonts w:ascii="Times New Roman" w:eastAsia="Times New Roman" w:hAnsi="Times New Roman" w:cs="Times New Roman"/>
          <w:color w:val="333333"/>
          <w:kern w:val="0"/>
          <w:sz w:val="24"/>
          <w:szCs w:val="24"/>
          <w:lang w:eastAsia="en-IN" w:bidi="ar-SA"/>
          <w14:ligatures w14:val="none"/>
        </w:rPr>
        <w:t>]. By solely using observations, one cannot identify which climatic changes are happening due to anthropogenic forcing, since there is no way to strictly infer the possible contribution of natural variability to these observed changes. Hence, the state-of-the-art approach to quantify or to account for natural variability within the climate community is the utilization of large ensembles of climate model simulations (e.g., [</w:t>
      </w:r>
      <w:hyperlink r:id="rId125" w:anchor="ref-CR14" w:tooltip="Deser, C., et al.: Insights from earth system model initial-condition large ensembles and future prospects. Nat. Clim. Chang. 10(4), 277–286 (2020)" w:history="1">
        <w:r w:rsidRPr="00D4005D">
          <w:rPr>
            <w:rFonts w:ascii="Times New Roman" w:eastAsia="Times New Roman" w:hAnsi="Times New Roman" w:cs="Times New Roman"/>
            <w:color w:val="004B83"/>
            <w:kern w:val="0"/>
            <w:sz w:val="24"/>
            <w:szCs w:val="24"/>
            <w:u w:val="single"/>
            <w:lang w:eastAsia="en-IN" w:bidi="ar-SA"/>
            <w14:ligatures w14:val="none"/>
          </w:rPr>
          <w:t>14</w:t>
        </w:r>
      </w:hyperlink>
      <w:r w:rsidRPr="00D4005D">
        <w:rPr>
          <w:rFonts w:ascii="Times New Roman" w:eastAsia="Times New Roman" w:hAnsi="Times New Roman" w:cs="Times New Roman"/>
          <w:color w:val="333333"/>
          <w:kern w:val="0"/>
          <w:sz w:val="24"/>
          <w:szCs w:val="24"/>
          <w:lang w:eastAsia="en-IN" w:bidi="ar-SA"/>
          <w14:ligatures w14:val="none"/>
        </w:rPr>
        <w:t>, </w:t>
      </w:r>
      <w:hyperlink r:id="rId126" w:anchor="ref-CR28" w:tooltip="Kay, J.E., et al.: The community earth system model (CESM) large ensemble project: a community resource for studying climate change in the presence of internal climate variability. Bull. Am. Meteor. Soc. 96(8), 1333–1349 (2015)" w:history="1">
        <w:r w:rsidRPr="00D4005D">
          <w:rPr>
            <w:rFonts w:ascii="Times New Roman" w:eastAsia="Times New Roman" w:hAnsi="Times New Roman" w:cs="Times New Roman"/>
            <w:color w:val="004B83"/>
            <w:kern w:val="0"/>
            <w:sz w:val="24"/>
            <w:szCs w:val="24"/>
            <w:u w:val="single"/>
            <w:lang w:eastAsia="en-IN" w:bidi="ar-SA"/>
            <w14:ligatures w14:val="none"/>
          </w:rPr>
          <w:t>28</w:t>
        </w:r>
      </w:hyperlink>
      <w:r w:rsidRPr="00D4005D">
        <w:rPr>
          <w:rFonts w:ascii="Times New Roman" w:eastAsia="Times New Roman" w:hAnsi="Times New Roman" w:cs="Times New Roman"/>
          <w:color w:val="333333"/>
          <w:kern w:val="0"/>
          <w:sz w:val="24"/>
          <w:szCs w:val="24"/>
          <w:lang w:eastAsia="en-IN" w:bidi="ar-SA"/>
          <w14:ligatures w14:val="none"/>
        </w:rPr>
        <w:t xml:space="preserve">]). Specifically, researchers simulate multiple trajectories of the climate system, which start from slightly different initial states but share a common forcing (natural forcing or not). Under this setting, natural variability is represented by the range of the simulated future climates given a specific </w:t>
      </w:r>
      <w:r w:rsidRPr="00D4005D">
        <w:rPr>
          <w:rFonts w:ascii="Times New Roman" w:eastAsia="Times New Roman" w:hAnsi="Times New Roman" w:cs="Times New Roman"/>
          <w:color w:val="333333"/>
          <w:kern w:val="0"/>
          <w:sz w:val="24"/>
          <w:szCs w:val="24"/>
          <w:lang w:eastAsia="en-IN" w:bidi="ar-SA"/>
          <w14:ligatures w14:val="none"/>
        </w:rPr>
        <w:lastRenderedPageBreak/>
        <w:t>forcing, and the signal of the forced changes in the climate can be estimated by averaging across all simulations [</w:t>
      </w:r>
      <w:hyperlink r:id="rId127" w:anchor="ref-CR51" w:tooltip="McKinnon, K.A., Poppick, A., Dunn-Sigouin, E., Deser, C.: An " w:history="1">
        <w:r w:rsidRPr="00D4005D">
          <w:rPr>
            <w:rFonts w:ascii="Times New Roman" w:eastAsia="Times New Roman" w:hAnsi="Times New Roman" w:cs="Times New Roman"/>
            <w:color w:val="004B83"/>
            <w:kern w:val="0"/>
            <w:sz w:val="24"/>
            <w:szCs w:val="24"/>
            <w:u w:val="single"/>
            <w:lang w:eastAsia="en-IN" w:bidi="ar-SA"/>
            <w14:ligatures w14:val="none"/>
          </w:rPr>
          <w:t>51</w:t>
        </w:r>
      </w:hyperlink>
      <w:r w:rsidRPr="00D4005D">
        <w:rPr>
          <w:rFonts w:ascii="Times New Roman" w:eastAsia="Times New Roman" w:hAnsi="Times New Roman" w:cs="Times New Roman"/>
          <w:color w:val="333333"/>
          <w:kern w:val="0"/>
          <w:sz w:val="24"/>
          <w:szCs w:val="24"/>
          <w:lang w:eastAsia="en-IN" w:bidi="ar-SA"/>
          <w14:ligatures w14:val="none"/>
        </w:rPr>
        <w:t>].</w:t>
      </w:r>
    </w:p>
    <w:p w14:paraId="22B38C11"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Utilizing these state-of-the-art climate change simulations, Barnes et al. (2020) [</w:t>
      </w:r>
      <w:hyperlink r:id="rId128" w:anchor="ref-CR6" w:tooltip="Barnes, E.A., Toms, B., Hurrell, J.W., Ebert-Uphoff, I., Anderson, C., Anderson, D.: Indicator patterns of forced change learned by an artificial neural network. J. Adv. Model. Earth Syst. 12(9), e2020MS002195 (2020)" w:history="1">
        <w:r w:rsidRPr="00D4005D">
          <w:rPr>
            <w:rFonts w:ascii="Times New Roman" w:eastAsia="Times New Roman" w:hAnsi="Times New Roman" w:cs="Times New Roman"/>
            <w:color w:val="004B83"/>
            <w:kern w:val="0"/>
            <w:sz w:val="24"/>
            <w:szCs w:val="24"/>
            <w:u w:val="single"/>
            <w:lang w:eastAsia="en-IN" w:bidi="ar-SA"/>
            <w14:ligatures w14:val="none"/>
          </w:rPr>
          <w:t>6</w:t>
        </w:r>
      </w:hyperlink>
      <w:r w:rsidRPr="00D4005D">
        <w:rPr>
          <w:rFonts w:ascii="Times New Roman" w:eastAsia="Times New Roman" w:hAnsi="Times New Roman" w:cs="Times New Roman"/>
          <w:color w:val="333333"/>
          <w:kern w:val="0"/>
          <w:sz w:val="24"/>
          <w:szCs w:val="24"/>
          <w:lang w:eastAsia="en-IN" w:bidi="ar-SA"/>
          <w14:ligatures w14:val="none"/>
        </w:rPr>
        <w:t>] used XAI in an innovative way to detect forced climatic changes in temperature and precipitation. Specifically, the authors trained a fully connected NN to predict the year that corresponded to a given (as an input) map of annual-mean temperature (or precipitation) that had been simulated by a climate model. For the NN to be able to predict the year of each map correctly, it needs to learn to look and distinguish specific features of forced climatic change amidst the background natural variability and model differences. In other words, only robust (present in all models) and pronounced (not overwhelmed by natural variability) climate change signals arising from anthropogenic forcing would make the NN to distinguish between a year in the early decades versus late decades of the simulation. Climate change signals that are weak compared to the background natural variability or exhibit high uncertainty across different climate models will not be helpful to the NN.</w:t>
      </w:r>
    </w:p>
    <w:p w14:paraId="5D11343A"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In the way Barnes et al. have formed the prediction task, the prediction itself is of limited or no utility (i.e., there is no utility in predicting the year that a model-produced temperature map corresponds to; it is already known). Rather, the goal of the analysis is to explore which features help the NN distinguish each year and gain physical insight about robust signals of human-caused climate change. This means that the goal of the analysis lies on the explanation of the network and not the prediction. Barnes et al. trained the NN over the entire simulation period 1920–2099, using 80% of the climate model simulations and then tested on the remaining 20%. Climate simulations were carried out by 29 different models, since the authors were interested in extracting climate change signals that are robust across multiple climate models. Results showed that the NN was able to predict quite successfully the correct years that different temperature and precipitation maps corresponded to. Yet, the performance was lower for years before the 1960s and much higher for years well into the 21st century. This is due to the fact that the climate change signal becomes more pronounced with time, which makes it easier to distinguish amidst the background noise and the model uncertainty.</w:t>
      </w:r>
    </w:p>
    <w:p w14:paraId="3E2CA424" w14:textId="77777777" w:rsidR="00412BAE" w:rsidRPr="00D4005D" w:rsidRDefault="00412BAE"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p>
    <w:p w14:paraId="4988A2ED" w14:textId="77777777" w:rsidR="00412BAE" w:rsidRPr="00D4005D" w:rsidRDefault="006C4AAD" w:rsidP="00412BAE">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Next, Barnes et al. used LRP to gain insight into the forced climatic changes in the simulations that had helped the NN to correctly predict each year. Figure </w:t>
      </w:r>
      <w:hyperlink r:id="rId129" w:anchor="Fig5" w:history="1">
        <w:r w:rsidRPr="00D4005D">
          <w:rPr>
            <w:rFonts w:ascii="Times New Roman" w:eastAsia="Times New Roman" w:hAnsi="Times New Roman" w:cs="Times New Roman"/>
            <w:color w:val="004B83"/>
            <w:kern w:val="0"/>
            <w:sz w:val="24"/>
            <w:szCs w:val="24"/>
            <w:u w:val="single"/>
            <w:lang w:eastAsia="en-IN" w:bidi="ar-SA"/>
            <w14:ligatures w14:val="none"/>
          </w:rPr>
          <w:t>5</w:t>
        </w:r>
      </w:hyperlink>
      <w:r w:rsidRPr="00D4005D">
        <w:rPr>
          <w:rFonts w:ascii="Times New Roman" w:eastAsia="Times New Roman" w:hAnsi="Times New Roman" w:cs="Times New Roman"/>
          <w:color w:val="333333"/>
          <w:kern w:val="0"/>
          <w:sz w:val="24"/>
          <w:szCs w:val="24"/>
          <w:lang w:eastAsia="en-IN" w:bidi="ar-SA"/>
          <w14:ligatures w14:val="none"/>
        </w:rPr>
        <w:t> shows the LRP results for the years 1975, 2035 and 2095. It can be seen that different areas are highlighted during different years, which indicates that the relative importance of different climate change signals varies through time. For example, LRP highlights the North Atlantic temperature to be a strong indicator of climate change during the late 20th and early 21st century, but not during the late 21st century. On the contrary, the Southern Ocean gains importance only throughout the 21st century. Similarly, the temperature over eastern China is highlighted only in the late 20th century, which likely reflects the aerosol forcing which acts to decrease temperature. Thus, the NN learned that strong cooling over China relatively to the overall warming of the world is an indicator for the corresponding temperature map to belong to the late 20th century.</w:t>
      </w:r>
    </w:p>
    <w:p w14:paraId="387E3A22" w14:textId="5C2433B7" w:rsidR="006C4AAD" w:rsidRPr="00D4005D" w:rsidRDefault="006C4AAD" w:rsidP="00412BAE">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b/>
          <w:bCs/>
          <w:color w:val="333333"/>
          <w:kern w:val="0"/>
          <w:sz w:val="27"/>
          <w:szCs w:val="27"/>
          <w:lang w:eastAsia="en-IN" w:bidi="ar-SA"/>
          <w14:ligatures w14:val="none"/>
        </w:rPr>
        <w:t>Fig. 5.</w:t>
      </w:r>
    </w:p>
    <w:p w14:paraId="5D890071"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noProof/>
          <w:color w:val="004B83"/>
          <w:kern w:val="0"/>
          <w:sz w:val="27"/>
          <w:szCs w:val="27"/>
          <w:lang w:eastAsia="en-IN" w:bidi="ar-SA"/>
          <w14:ligatures w14:val="none"/>
        </w:rPr>
        <w:lastRenderedPageBreak/>
        <w:drawing>
          <wp:inline distT="0" distB="0" distL="0" distR="0" wp14:anchorId="4D0C74C5" wp14:editId="71E87817">
            <wp:extent cx="4845050" cy="8863330"/>
            <wp:effectExtent l="0" t="0" r="0" b="0"/>
            <wp:docPr id="14" name="Picture 14" descr="figure 5">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5">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5050" cy="8863330"/>
                    </a:xfrm>
                    <a:prstGeom prst="rect">
                      <a:avLst/>
                    </a:prstGeom>
                    <a:noFill/>
                    <a:ln>
                      <a:noFill/>
                    </a:ln>
                  </pic:spPr>
                </pic:pic>
              </a:graphicData>
            </a:graphic>
          </wp:inline>
        </w:drawing>
      </w:r>
    </w:p>
    <w:p w14:paraId="6BE2E3F0" w14:textId="77777777" w:rsidR="006C4AAD" w:rsidRPr="00D4005D" w:rsidRDefault="006C4AAD" w:rsidP="006C4AAD">
      <w:pPr>
        <w:shd w:val="clear" w:color="auto" w:fill="FCFCFC"/>
        <w:spacing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lastRenderedPageBreak/>
        <w:t>LRP heatmaps for temperature input maps composited for a range of years when the prediction was deemed accurate. The years are shown above each panel along with the number of maps used in the composites. Darker shading denotes regions that are more relevant for the NN’s accurate prediction. Adapted from Barnes et al., 2020 [</w:t>
      </w:r>
      <w:hyperlink r:id="rId132" w:anchor="ref-CR6" w:tooltip="Barnes, E.A., Toms, B., Hurrell, J.W., Ebert-Uphoff, I., Anderson, C., Anderson, D.: Indicator patterns of forced change learned by an artificial neural network. J. Adv. Model. Earth Syst. 12(9), e2020MS002195 (2020)" w:history="1">
        <w:r w:rsidRPr="00D4005D">
          <w:rPr>
            <w:rFonts w:ascii="Times New Roman" w:eastAsia="Times New Roman" w:hAnsi="Times New Roman" w:cs="Times New Roman"/>
            <w:color w:val="004B83"/>
            <w:kern w:val="0"/>
            <w:sz w:val="24"/>
            <w:szCs w:val="24"/>
            <w:u w:val="single"/>
            <w:lang w:eastAsia="en-IN" w:bidi="ar-SA"/>
            <w14:ligatures w14:val="none"/>
          </w:rPr>
          <w:t>6</w:t>
        </w:r>
      </w:hyperlink>
      <w:r w:rsidRPr="00D4005D">
        <w:rPr>
          <w:rFonts w:ascii="Times New Roman" w:eastAsia="Times New Roman" w:hAnsi="Times New Roman" w:cs="Times New Roman"/>
          <w:color w:val="333333"/>
          <w:kern w:val="0"/>
          <w:sz w:val="24"/>
          <w:szCs w:val="24"/>
          <w:lang w:eastAsia="en-IN" w:bidi="ar-SA"/>
          <w14:ligatures w14:val="none"/>
        </w:rPr>
        <w:t>].</w:t>
      </w:r>
    </w:p>
    <w:p w14:paraId="509BEE7E"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The above results (see original study by Barnes et al. for more information) highlight the importance and utility of explaining the NN decisions in this prediction task and the physical insights that XAI methods can offer. As we mentioned, in this analysis the explanation of the network was the goal, while the predictions themselves were not important. Generally, this application demonstrates that XAI methods constitute a powerful approach for extracting climate patterns of forced change amidst any background noise, and advancing climate change understanding.</w:t>
      </w:r>
    </w:p>
    <w:p w14:paraId="09194134"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A second application where XAI was used to extract the anthropogenic footprint was published by Keys et al. (2021) [</w:t>
      </w:r>
      <w:hyperlink r:id="rId133" w:anchor="ref-CR29" w:tooltip="Keys, P.W., Barnes, E.A., Carter, N.H.: A machine-learning approach to human footprint index estimation with applications to sustainable development. Environ. Res. Lett. 16(4), 044061 (2021)" w:history="1">
        <w:r w:rsidRPr="00D4005D">
          <w:rPr>
            <w:rFonts w:ascii="Times New Roman" w:eastAsia="Times New Roman" w:hAnsi="Times New Roman" w:cs="Times New Roman"/>
            <w:color w:val="004B83"/>
            <w:kern w:val="0"/>
            <w:sz w:val="24"/>
            <w:szCs w:val="24"/>
            <w:u w:val="single"/>
            <w:lang w:eastAsia="en-IN" w:bidi="ar-SA"/>
            <w14:ligatures w14:val="none"/>
          </w:rPr>
          <w:t>29</w:t>
        </w:r>
      </w:hyperlink>
      <w:r w:rsidRPr="00D4005D">
        <w:rPr>
          <w:rFonts w:ascii="Times New Roman" w:eastAsia="Times New Roman" w:hAnsi="Times New Roman" w:cs="Times New Roman"/>
          <w:color w:val="333333"/>
          <w:kern w:val="0"/>
          <w:sz w:val="24"/>
          <w:szCs w:val="24"/>
          <w:lang w:eastAsia="en-IN" w:bidi="ar-SA"/>
          <w14:ligatures w14:val="none"/>
        </w:rPr>
        <w:t>]. In that study, the authors aimed at constructing a NN to predict the global human footprint index (HFI) solely from satellite imagery. The HFI is a dimensionless metric that captures the extent to which humans have influenced the terrestrial surface of the Earth over a specific region (see e.g., [</w:t>
      </w:r>
      <w:hyperlink r:id="rId134" w:anchor="ref-CR82" w:tooltip="Venter, O., et al.: Sixteen years of change in the global terrestrial human footprint and implications for biodiversity conservation. Nat. Commun. 7(1), 1–11 (2016)" w:history="1">
        <w:r w:rsidRPr="00D4005D">
          <w:rPr>
            <w:rFonts w:ascii="Times New Roman" w:eastAsia="Times New Roman" w:hAnsi="Times New Roman" w:cs="Times New Roman"/>
            <w:color w:val="004B83"/>
            <w:kern w:val="0"/>
            <w:sz w:val="24"/>
            <w:szCs w:val="24"/>
            <w:u w:val="single"/>
            <w:lang w:eastAsia="en-IN" w:bidi="ar-SA"/>
            <w14:ligatures w14:val="none"/>
          </w:rPr>
          <w:t>82</w:t>
        </w:r>
      </w:hyperlink>
      <w:r w:rsidRPr="00D4005D">
        <w:rPr>
          <w:rFonts w:ascii="Times New Roman" w:eastAsia="Times New Roman" w:hAnsi="Times New Roman" w:cs="Times New Roman"/>
          <w:color w:val="333333"/>
          <w:kern w:val="0"/>
          <w:sz w:val="24"/>
          <w:szCs w:val="24"/>
          <w:lang w:eastAsia="en-IN" w:bidi="ar-SA"/>
          <w14:ligatures w14:val="none"/>
        </w:rPr>
        <w:t>, </w:t>
      </w:r>
      <w:hyperlink r:id="rId135" w:anchor="ref-CR83" w:tooltip="Williams, B.A., et al.: Change in terrestrial human footprint drives continued loss of intact ecosystems. One Earth 3(3), 371–382 (2020)" w:history="1">
        <w:r w:rsidRPr="00D4005D">
          <w:rPr>
            <w:rFonts w:ascii="Times New Roman" w:eastAsia="Times New Roman" w:hAnsi="Times New Roman" w:cs="Times New Roman"/>
            <w:color w:val="004B83"/>
            <w:kern w:val="0"/>
            <w:sz w:val="24"/>
            <w:szCs w:val="24"/>
            <w:u w:val="single"/>
            <w:lang w:eastAsia="en-IN" w:bidi="ar-SA"/>
            <w14:ligatures w14:val="none"/>
          </w:rPr>
          <w:t>83</w:t>
        </w:r>
      </w:hyperlink>
      <w:r w:rsidRPr="00D4005D">
        <w:rPr>
          <w:rFonts w:ascii="Times New Roman" w:eastAsia="Times New Roman" w:hAnsi="Times New Roman" w:cs="Times New Roman"/>
          <w:color w:val="333333"/>
          <w:kern w:val="0"/>
          <w:sz w:val="24"/>
          <w:szCs w:val="24"/>
          <w:lang w:eastAsia="en-IN" w:bidi="ar-SA"/>
          <w14:ligatures w14:val="none"/>
        </w:rPr>
        <w:t>]). Typically, the HFI is obtained by harmonizing eight different sub-indices, each one representing different aspects of human influence, like built infrastructure, population density, land use, land cover etc. So far, the process for establishing the HFI involves significant data analysis and modelling that does not allow for fast updates and continuous monitoring of the index, which means that large-scale, human-caused changes to the land surface may occur well before we are able to track them. Thus, estimating the HFI solely from satellite imagery that supports spatial resolution and temporally rapid refreshing can help improve monitoring of the human pressure on the Earth surface.</w:t>
      </w:r>
    </w:p>
    <w:p w14:paraId="28E70ACF"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Keys et al. trained a convolutional NN to use single images of the land surface (Landsat; [</w:t>
      </w:r>
      <w:hyperlink r:id="rId136" w:anchor="ref-CR22" w:tooltip="Hansen, M.C., et al.: High-resolution global maps of 21st-century forest cover change. Science 342(6160), 850–853 (2013)" w:history="1">
        <w:r w:rsidRPr="00D4005D">
          <w:rPr>
            <w:rFonts w:ascii="Times New Roman" w:eastAsia="Times New Roman" w:hAnsi="Times New Roman" w:cs="Times New Roman"/>
            <w:color w:val="004B83"/>
            <w:kern w:val="0"/>
            <w:sz w:val="24"/>
            <w:szCs w:val="24"/>
            <w:u w:val="single"/>
            <w:lang w:eastAsia="en-IN" w:bidi="ar-SA"/>
            <w14:ligatures w14:val="none"/>
          </w:rPr>
          <w:t>22</w:t>
        </w:r>
      </w:hyperlink>
      <w:r w:rsidRPr="00D4005D">
        <w:rPr>
          <w:rFonts w:ascii="Times New Roman" w:eastAsia="Times New Roman" w:hAnsi="Times New Roman" w:cs="Times New Roman"/>
          <w:color w:val="333333"/>
          <w:kern w:val="0"/>
          <w:sz w:val="24"/>
          <w:szCs w:val="24"/>
          <w:lang w:eastAsia="en-IN" w:bidi="ar-SA"/>
          <w14:ligatures w14:val="none"/>
        </w:rPr>
        <w:t>]) over a region to predict the corresponding Williams HFI [</w:t>
      </w:r>
      <w:hyperlink r:id="rId137" w:anchor="ref-CR83" w:tooltip="Williams, B.A., et al.: Change in terrestrial human footprint drives continued loss of intact ecosystems. One Earth 3(3), 371–382 (2020)" w:history="1">
        <w:r w:rsidRPr="00D4005D">
          <w:rPr>
            <w:rFonts w:ascii="Times New Roman" w:eastAsia="Times New Roman" w:hAnsi="Times New Roman" w:cs="Times New Roman"/>
            <w:color w:val="004B83"/>
            <w:kern w:val="0"/>
            <w:sz w:val="24"/>
            <w:szCs w:val="24"/>
            <w:u w:val="single"/>
            <w:lang w:eastAsia="en-IN" w:bidi="ar-SA"/>
            <w14:ligatures w14:val="none"/>
          </w:rPr>
          <w:t>83</w:t>
        </w:r>
      </w:hyperlink>
      <w:r w:rsidRPr="00D4005D">
        <w:rPr>
          <w:rFonts w:ascii="Times New Roman" w:eastAsia="Times New Roman" w:hAnsi="Times New Roman" w:cs="Times New Roman"/>
          <w:color w:val="333333"/>
          <w:kern w:val="0"/>
          <w:sz w:val="24"/>
          <w:szCs w:val="24"/>
          <w:lang w:eastAsia="en-IN" w:bidi="ar-SA"/>
          <w14:ligatures w14:val="none"/>
        </w:rPr>
        <w:t>]. The authors trained different networks corresponding to different areas around the world in the year 2000, and then used these trained networks to evaluate Landsat images from the year 2019. Results showed that the NNs were able to reproduce the HFI with high fidelity. Moreover, by comparing the estimated HFI in 2000 with the one in 2019, the authors were able to gain insight into the changes in the human pressure to the earth surface during the last 20 years. Patterns of change were consistent with a steady expansion of the human pressure into areas of previously low HFI or increase of density of pressure in regions with previously high HFI values.</w:t>
      </w:r>
    </w:p>
    <w:p w14:paraId="42967367"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Consequently, Keys et al. applied the LRP method for cases where the HFI increased significantly between the years 2000 and 2019. In this way, the authors aimed to gain confidence that the NN was focusing on the correct features in the satellite images to predict increases of the human footprint. As an example, in Fig. </w:t>
      </w:r>
      <w:hyperlink r:id="rId138" w:anchor="Fig6" w:history="1">
        <w:r w:rsidRPr="00D4005D">
          <w:rPr>
            <w:rFonts w:ascii="Times New Roman" w:eastAsia="Times New Roman" w:hAnsi="Times New Roman" w:cs="Times New Roman"/>
            <w:color w:val="004B83"/>
            <w:kern w:val="0"/>
            <w:sz w:val="24"/>
            <w:szCs w:val="24"/>
            <w:u w:val="single"/>
            <w:lang w:eastAsia="en-IN" w:bidi="ar-SA"/>
            <w14:ligatures w14:val="none"/>
          </w:rPr>
          <w:t>6</w:t>
        </w:r>
      </w:hyperlink>
      <w:r w:rsidRPr="00D4005D">
        <w:rPr>
          <w:rFonts w:ascii="Times New Roman" w:eastAsia="Times New Roman" w:hAnsi="Times New Roman" w:cs="Times New Roman"/>
          <w:color w:val="333333"/>
          <w:kern w:val="0"/>
          <w:sz w:val="24"/>
          <w:szCs w:val="24"/>
          <w:lang w:eastAsia="en-IN" w:bidi="ar-SA"/>
          <w14:ligatures w14:val="none"/>
        </w:rPr>
        <w:t>, we present the LRP results for a region over Texas, where wind farms were installed between the years 2000 and 2019; compare the satellite images in the left and middle panels of the figure. As shown in the LRP results, the NN correctly paid attention to the installed wind farm features in order to predict an increase of the HFI in the year 2019. By examining many other cases of increase in HFI, the authors reported that in most instances, the NN was found to place the highest attention to features that were clearly due to human activity, which provided them with confidence that the network performed with high accuracy for the right reasons.</w:t>
      </w:r>
    </w:p>
    <w:p w14:paraId="20D605D8"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b/>
          <w:bCs/>
          <w:color w:val="333333"/>
          <w:kern w:val="0"/>
          <w:sz w:val="27"/>
          <w:szCs w:val="27"/>
          <w:lang w:eastAsia="en-IN" w:bidi="ar-SA"/>
          <w14:ligatures w14:val="none"/>
        </w:rPr>
        <w:lastRenderedPageBreak/>
        <w:t>Fig. 6.</w:t>
      </w:r>
    </w:p>
    <w:p w14:paraId="4DAAF7A0"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noProof/>
          <w:color w:val="004B83"/>
          <w:kern w:val="0"/>
          <w:sz w:val="27"/>
          <w:szCs w:val="27"/>
          <w:lang w:eastAsia="en-IN" w:bidi="ar-SA"/>
          <w14:ligatures w14:val="none"/>
        </w:rPr>
        <w:drawing>
          <wp:inline distT="0" distB="0" distL="0" distR="0" wp14:anchorId="7E53F1FA" wp14:editId="75770C1D">
            <wp:extent cx="5731510" cy="2102485"/>
            <wp:effectExtent l="0" t="0" r="2540" b="0"/>
            <wp:docPr id="13" name="Picture 13" descr="figure 6">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6">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32EA8BE5" w14:textId="77777777" w:rsidR="006C4AAD" w:rsidRPr="00D4005D" w:rsidRDefault="006C4AAD" w:rsidP="006C4AAD">
      <w:pPr>
        <w:shd w:val="clear" w:color="auto" w:fill="FCFCFC"/>
        <w:spacing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Satellite imagery from the Global Forest Change dataset over Texas, USA, in (left) 2000 and (middle) 2019. (right) the most relevant features to the NN for its year-2019 prediction of the HFI, as estimated using LRP. Adapted from Keys et al., 2021 [</w:t>
      </w:r>
      <w:hyperlink r:id="rId141" w:anchor="ref-CR29" w:tooltip="Keys, P.W., Barnes, E.A., Carter, N.H.: A machine-learning approach to human footprint index estimation with applications to sustainable development. Environ. Res. Lett. 16(4), 044061 (2021)" w:history="1">
        <w:r w:rsidRPr="00D4005D">
          <w:rPr>
            <w:rFonts w:ascii="Times New Roman" w:eastAsia="Times New Roman" w:hAnsi="Times New Roman" w:cs="Times New Roman"/>
            <w:color w:val="004B83"/>
            <w:kern w:val="0"/>
            <w:sz w:val="24"/>
            <w:szCs w:val="24"/>
            <w:u w:val="single"/>
            <w:lang w:eastAsia="en-IN" w:bidi="ar-SA"/>
            <w14:ligatures w14:val="none"/>
          </w:rPr>
          <w:t>29</w:t>
        </w:r>
      </w:hyperlink>
      <w:r w:rsidRPr="00D4005D">
        <w:rPr>
          <w:rFonts w:ascii="Times New Roman" w:eastAsia="Times New Roman" w:hAnsi="Times New Roman" w:cs="Times New Roman"/>
          <w:color w:val="333333"/>
          <w:kern w:val="0"/>
          <w:sz w:val="24"/>
          <w:szCs w:val="24"/>
          <w:lang w:eastAsia="en-IN" w:bidi="ar-SA"/>
          <w14:ligatures w14:val="none"/>
        </w:rPr>
        <w:t>].</w:t>
      </w:r>
    </w:p>
    <w:p w14:paraId="37F38D00" w14:textId="77777777" w:rsidR="00412BAE" w:rsidRPr="00D4005D" w:rsidRDefault="00412BAE" w:rsidP="006C4AAD">
      <w:pPr>
        <w:pBdr>
          <w:bottom w:val="single" w:sz="12" w:space="6" w:color="D5D5D5"/>
        </w:pBdr>
        <w:shd w:val="clear" w:color="auto" w:fill="FCFCFC"/>
        <w:spacing w:after="0" w:line="240" w:lineRule="auto"/>
        <w:outlineLvl w:val="1"/>
        <w:rPr>
          <w:rFonts w:ascii="Times New Roman" w:hAnsi="Times New Roman" w:cs="Times New Roman"/>
        </w:rPr>
      </w:pPr>
    </w:p>
    <w:p w14:paraId="46581FAD" w14:textId="77777777" w:rsidR="00412BAE" w:rsidRPr="00D4005D" w:rsidRDefault="00412BAE" w:rsidP="006C4AAD">
      <w:pPr>
        <w:pBdr>
          <w:bottom w:val="single" w:sz="12" w:space="6" w:color="D5D5D5"/>
        </w:pBdr>
        <w:shd w:val="clear" w:color="auto" w:fill="FCFCFC"/>
        <w:spacing w:after="0" w:line="240" w:lineRule="auto"/>
        <w:outlineLvl w:val="1"/>
        <w:rPr>
          <w:rFonts w:ascii="Times New Roman" w:hAnsi="Times New Roman" w:cs="Times New Roman"/>
        </w:rPr>
      </w:pPr>
    </w:p>
    <w:p w14:paraId="4F8D324A" w14:textId="15750BF3" w:rsidR="006C4AAD" w:rsidRPr="00D4005D" w:rsidRDefault="006C4AAD" w:rsidP="006C4AAD">
      <w:pPr>
        <w:pBdr>
          <w:bottom w:val="single" w:sz="12" w:space="6" w:color="D5D5D5"/>
        </w:pBdr>
        <w:shd w:val="clear" w:color="auto" w:fill="FCFCFC"/>
        <w:spacing w:after="0" w:line="240" w:lineRule="auto"/>
        <w:outlineLvl w:val="1"/>
        <w:rPr>
          <w:rFonts w:ascii="Times New Roman" w:eastAsia="Times New Roman" w:hAnsi="Times New Roman" w:cs="Times New Roman"/>
          <w:b/>
          <w:bCs/>
          <w:color w:val="333333"/>
          <w:kern w:val="0"/>
          <w:sz w:val="36"/>
          <w:szCs w:val="36"/>
          <w:lang w:eastAsia="en-IN" w:bidi="ar-SA"/>
          <w14:ligatures w14:val="none"/>
        </w:rPr>
      </w:pPr>
      <w:r w:rsidRPr="00D4005D">
        <w:rPr>
          <w:rFonts w:ascii="Times New Roman" w:eastAsia="Times New Roman" w:hAnsi="Times New Roman" w:cs="Times New Roman"/>
          <w:b/>
          <w:bCs/>
          <w:color w:val="333333"/>
          <w:kern w:val="0"/>
          <w:sz w:val="36"/>
          <w:szCs w:val="36"/>
          <w:lang w:eastAsia="en-IN" w:bidi="ar-SA"/>
          <w14:ligatures w14:val="none"/>
        </w:rPr>
        <w:t>3 Development of Attribution Benchmarks for Geosciences</w:t>
      </w:r>
    </w:p>
    <w:p w14:paraId="76CF261C"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As was illustrated in the previous sections, XAI methods have already shown their potential and been used in various climate and weather applications to provide valuable insights about NN decision strategies. However, many of these methods have been shown in the computer science literature to not honor desirable properties (e.g., “completeness” or “implementation invariance”; see [</w:t>
      </w:r>
      <w:hyperlink r:id="rId142" w:anchor="ref-CR77" w:tooltip="Sundararajan, M., Taly, A., Yan, Q.: Axiomatic attribution for deep networks. In: International Conference on Machine Learning, pp. 3319–3328. PMLR (2017)" w:history="1">
        <w:r w:rsidRPr="00D4005D">
          <w:rPr>
            <w:rFonts w:ascii="Times New Roman" w:eastAsia="Times New Roman" w:hAnsi="Times New Roman" w:cs="Times New Roman"/>
            <w:color w:val="004B83"/>
            <w:kern w:val="0"/>
            <w:sz w:val="27"/>
            <w:szCs w:val="27"/>
            <w:u w:val="single"/>
            <w:lang w:eastAsia="en-IN" w:bidi="ar-SA"/>
            <w14:ligatures w14:val="none"/>
          </w:rPr>
          <w:t>77</w:t>
        </w:r>
      </w:hyperlink>
      <w:r w:rsidRPr="00D4005D">
        <w:rPr>
          <w:rFonts w:ascii="Times New Roman" w:eastAsia="Times New Roman" w:hAnsi="Times New Roman" w:cs="Times New Roman"/>
          <w:color w:val="333333"/>
          <w:kern w:val="0"/>
          <w:sz w:val="27"/>
          <w:szCs w:val="27"/>
          <w:lang w:eastAsia="en-IN" w:bidi="ar-SA"/>
          <w14:ligatures w14:val="none"/>
        </w:rPr>
        <w:t>]), and in general, to face nontrivial limitations for specific problem setups [</w:t>
      </w:r>
      <w:hyperlink r:id="rId143" w:anchor="ref-CR2" w:tooltip="Ancona, M., Ceolini, E., Öztireli, C., Gross, M.: Towards better understanding of gradient-based attribution methods for deep neural networks. arXiv preprint &#10;                    arXiv:1711.06104&#10;                    &#10;                   (2017)" w:history="1">
        <w:r w:rsidRPr="00D4005D">
          <w:rPr>
            <w:rFonts w:ascii="Times New Roman" w:eastAsia="Times New Roman" w:hAnsi="Times New Roman" w:cs="Times New Roman"/>
            <w:color w:val="004B83"/>
            <w:kern w:val="0"/>
            <w:sz w:val="27"/>
            <w:szCs w:val="27"/>
            <w:u w:val="single"/>
            <w:lang w:eastAsia="en-IN" w:bidi="ar-SA"/>
            <w14:ligatures w14:val="none"/>
          </w:rPr>
          <w:t>2</w:t>
        </w:r>
      </w:hyperlink>
      <w:r w:rsidRPr="00D4005D">
        <w:rPr>
          <w:rFonts w:ascii="Times New Roman" w:eastAsia="Times New Roman" w:hAnsi="Times New Roman" w:cs="Times New Roman"/>
          <w:color w:val="333333"/>
          <w:kern w:val="0"/>
          <w:sz w:val="27"/>
          <w:szCs w:val="27"/>
          <w:lang w:eastAsia="en-IN" w:bidi="ar-SA"/>
          <w14:ligatures w14:val="none"/>
        </w:rPr>
        <w:t>, </w:t>
      </w:r>
      <w:hyperlink r:id="rId144" w:anchor="ref-CR15" w:tooltip="Dombrowski, A.K., Anders, C.J., Müller, K.R., Kessel, P.: Towards robust explanations for deep neural networks. Pattern Recogn. 121, 108194 (2021)" w:history="1">
        <w:r w:rsidRPr="00D4005D">
          <w:rPr>
            <w:rFonts w:ascii="Times New Roman" w:eastAsia="Times New Roman" w:hAnsi="Times New Roman" w:cs="Times New Roman"/>
            <w:color w:val="004B83"/>
            <w:kern w:val="0"/>
            <w:sz w:val="27"/>
            <w:szCs w:val="27"/>
            <w:u w:val="single"/>
            <w:lang w:eastAsia="en-IN" w:bidi="ar-SA"/>
            <w14:ligatures w14:val="none"/>
          </w:rPr>
          <w:t>15</w:t>
        </w:r>
      </w:hyperlink>
      <w:r w:rsidRPr="00D4005D">
        <w:rPr>
          <w:rFonts w:ascii="Times New Roman" w:eastAsia="Times New Roman" w:hAnsi="Times New Roman" w:cs="Times New Roman"/>
          <w:color w:val="333333"/>
          <w:kern w:val="0"/>
          <w:sz w:val="27"/>
          <w:szCs w:val="27"/>
          <w:lang w:eastAsia="en-IN" w:bidi="ar-SA"/>
          <w14:ligatures w14:val="none"/>
        </w:rPr>
        <w:t>, </w:t>
      </w:r>
      <w:hyperlink r:id="rId145" w:anchor="ref-CR31" w:tooltip="Kindermans, P.-J., et al.: The (un)reliability of saliency methods. In: Samek, W., Montavon, G., Vedaldi, A., Hansen, L.K., Müller, K.-R. (eds.) Explainable AI: Interpreting, Explaining and Visualizing Deep Learning. LNCS (LNAI), vol. 11700, pp. 267–280. Sprin" w:history="1">
        <w:r w:rsidRPr="00D4005D">
          <w:rPr>
            <w:rFonts w:ascii="Times New Roman" w:eastAsia="Times New Roman" w:hAnsi="Times New Roman" w:cs="Times New Roman"/>
            <w:color w:val="004B83"/>
            <w:kern w:val="0"/>
            <w:sz w:val="27"/>
            <w:szCs w:val="27"/>
            <w:u w:val="single"/>
            <w:lang w:eastAsia="en-IN" w:bidi="ar-SA"/>
            <w14:ligatures w14:val="none"/>
          </w:rPr>
          <w:t>31</w:t>
        </w:r>
      </w:hyperlink>
      <w:r w:rsidRPr="00D4005D">
        <w:rPr>
          <w:rFonts w:ascii="Times New Roman" w:eastAsia="Times New Roman" w:hAnsi="Times New Roman" w:cs="Times New Roman"/>
          <w:color w:val="333333"/>
          <w:kern w:val="0"/>
          <w:sz w:val="27"/>
          <w:szCs w:val="27"/>
          <w:lang w:eastAsia="en-IN" w:bidi="ar-SA"/>
          <w14:ligatures w14:val="none"/>
        </w:rPr>
        <w:t>, </w:t>
      </w:r>
      <w:hyperlink r:id="rId146" w:anchor="ref-CR63" w:tooltip="Rudin, C.: Stop explaining black box machine learning models for high stakes decisions and use interpretable models instead. Nat. Mach. Intell. 1(5), 206–215 (2019)" w:history="1">
        <w:r w:rsidRPr="00D4005D">
          <w:rPr>
            <w:rFonts w:ascii="Times New Roman" w:eastAsia="Times New Roman" w:hAnsi="Times New Roman" w:cs="Times New Roman"/>
            <w:color w:val="004B83"/>
            <w:kern w:val="0"/>
            <w:sz w:val="27"/>
            <w:szCs w:val="27"/>
            <w:u w:val="single"/>
            <w:lang w:eastAsia="en-IN" w:bidi="ar-SA"/>
            <w14:ligatures w14:val="none"/>
          </w:rPr>
          <w:t>63</w:t>
        </w:r>
      </w:hyperlink>
      <w:r w:rsidRPr="00D4005D">
        <w:rPr>
          <w:rFonts w:ascii="Times New Roman" w:eastAsia="Times New Roman" w:hAnsi="Times New Roman" w:cs="Times New Roman"/>
          <w:color w:val="333333"/>
          <w:kern w:val="0"/>
          <w:sz w:val="27"/>
          <w:szCs w:val="27"/>
          <w:lang w:eastAsia="en-IN" w:bidi="ar-SA"/>
          <w14:ligatures w14:val="none"/>
        </w:rPr>
        <w:t>]. Moreover, given that many different methods have been proposed in the field of XAI (see e.g., [</w:t>
      </w:r>
      <w:hyperlink r:id="rId147" w:anchor="ref-CR3" w:tooltip="Ancona, M., Ceolini, E., Öztireli, C., Gross, M.: Gradient-based attribution methods. In: Samek, W., Montavon, G., Vedaldi, A., Hansen, L.K., Müller, K.-R. (eds.) Explainable AI: Interpreting, Explaining and Visualizing Deep Learning. LNCS (LNAI), vol. 11700, " w:history="1">
        <w:r w:rsidRPr="00D4005D">
          <w:rPr>
            <w:rFonts w:ascii="Times New Roman" w:eastAsia="Times New Roman" w:hAnsi="Times New Roman" w:cs="Times New Roman"/>
            <w:color w:val="004B83"/>
            <w:kern w:val="0"/>
            <w:sz w:val="27"/>
            <w:szCs w:val="27"/>
            <w:u w:val="single"/>
            <w:lang w:eastAsia="en-IN" w:bidi="ar-SA"/>
            <w14:ligatures w14:val="none"/>
          </w:rPr>
          <w:t>3</w:t>
        </w:r>
      </w:hyperlink>
      <w:r w:rsidRPr="00D4005D">
        <w:rPr>
          <w:rFonts w:ascii="Times New Roman" w:eastAsia="Times New Roman" w:hAnsi="Times New Roman" w:cs="Times New Roman"/>
          <w:color w:val="333333"/>
          <w:kern w:val="0"/>
          <w:sz w:val="27"/>
          <w:szCs w:val="27"/>
          <w:lang w:eastAsia="en-IN" w:bidi="ar-SA"/>
          <w14:ligatures w14:val="none"/>
        </w:rPr>
        <w:t>, </w:t>
      </w:r>
      <w:hyperlink r:id="rId148" w:anchor="ref-CR4" w:tooltip="Bach, S., Binder, A., Montavon, G., Klauschen, F., Müller, K.R., Samek, W.: On pixel-wise explanations for non-linear classifier decisions by layer-wise relevance propagation. PLoS ONE 10(7), e0130140 (2015)" w:history="1">
        <w:r w:rsidRPr="00D4005D">
          <w:rPr>
            <w:rFonts w:ascii="Times New Roman" w:eastAsia="Times New Roman" w:hAnsi="Times New Roman" w:cs="Times New Roman"/>
            <w:color w:val="004B83"/>
            <w:kern w:val="0"/>
            <w:sz w:val="27"/>
            <w:szCs w:val="27"/>
            <w:u w:val="single"/>
            <w:lang w:eastAsia="en-IN" w:bidi="ar-SA"/>
            <w14:ligatures w14:val="none"/>
          </w:rPr>
          <w:t>4</w:t>
        </w:r>
      </w:hyperlink>
      <w:r w:rsidRPr="00D4005D">
        <w:rPr>
          <w:rFonts w:ascii="Times New Roman" w:eastAsia="Times New Roman" w:hAnsi="Times New Roman" w:cs="Times New Roman"/>
          <w:color w:val="333333"/>
          <w:kern w:val="0"/>
          <w:sz w:val="27"/>
          <w:szCs w:val="27"/>
          <w:lang w:eastAsia="en-IN" w:bidi="ar-SA"/>
          <w14:ligatures w14:val="none"/>
        </w:rPr>
        <w:t>, </w:t>
      </w:r>
      <w:hyperlink r:id="rId149" w:anchor="ref-CR32" w:tooltip="Kindermans, P.J., et al.: Learning how to explain neural networks: PatternNet and PatternAttribution. arXiv preprint &#10;                    arXiv:1705.05598&#10;                    &#10;                   (2017)" w:history="1">
        <w:r w:rsidRPr="00D4005D">
          <w:rPr>
            <w:rFonts w:ascii="Times New Roman" w:eastAsia="Times New Roman" w:hAnsi="Times New Roman" w:cs="Times New Roman"/>
            <w:color w:val="004B83"/>
            <w:kern w:val="0"/>
            <w:sz w:val="27"/>
            <w:szCs w:val="27"/>
            <w:u w:val="single"/>
            <w:lang w:eastAsia="en-IN" w:bidi="ar-SA"/>
            <w14:ligatures w14:val="none"/>
          </w:rPr>
          <w:t>32</w:t>
        </w:r>
      </w:hyperlink>
      <w:r w:rsidRPr="00D4005D">
        <w:rPr>
          <w:rFonts w:ascii="Times New Roman" w:eastAsia="Times New Roman" w:hAnsi="Times New Roman" w:cs="Times New Roman"/>
          <w:color w:val="333333"/>
          <w:kern w:val="0"/>
          <w:sz w:val="27"/>
          <w:szCs w:val="27"/>
          <w:lang w:eastAsia="en-IN" w:bidi="ar-SA"/>
          <w14:ligatures w14:val="none"/>
        </w:rPr>
        <w:t>, </w:t>
      </w:r>
      <w:hyperlink r:id="rId150" w:anchor="ref-CR53" w:tooltip="Montavon, G., Lapuschkin, S., Binder, A., Samek, W., Müller, K.R.: Explaining nonlinear classification decisions with deep Taylor decomposition. Pattern Recogn. 65, 211–222 (2017)" w:history="1">
        <w:r w:rsidRPr="00D4005D">
          <w:rPr>
            <w:rFonts w:ascii="Times New Roman" w:eastAsia="Times New Roman" w:hAnsi="Times New Roman" w:cs="Times New Roman"/>
            <w:color w:val="004B83"/>
            <w:kern w:val="0"/>
            <w:sz w:val="27"/>
            <w:szCs w:val="27"/>
            <w:u w:val="single"/>
            <w:lang w:eastAsia="en-IN" w:bidi="ar-SA"/>
            <w14:ligatures w14:val="none"/>
          </w:rPr>
          <w:t>53</w:t>
        </w:r>
      </w:hyperlink>
      <w:r w:rsidRPr="00D4005D">
        <w:rPr>
          <w:rFonts w:ascii="Times New Roman" w:eastAsia="Times New Roman" w:hAnsi="Times New Roman" w:cs="Times New Roman"/>
          <w:color w:val="333333"/>
          <w:kern w:val="0"/>
          <w:sz w:val="27"/>
          <w:szCs w:val="27"/>
          <w:lang w:eastAsia="en-IN" w:bidi="ar-SA"/>
          <w14:ligatures w14:val="none"/>
        </w:rPr>
        <w:t>, </w:t>
      </w:r>
      <w:hyperlink r:id="rId151" w:anchor="ref-CR69" w:tooltip="Shrikumar, A., Greenside, P., Kundaje, A.: Learning important features through propagating activation differences. In: International Conference on Machine Learning, pp. 3145–3153. PMLR (2017)" w:history="1">
        <w:r w:rsidRPr="00D4005D">
          <w:rPr>
            <w:rFonts w:ascii="Times New Roman" w:eastAsia="Times New Roman" w:hAnsi="Times New Roman" w:cs="Times New Roman"/>
            <w:color w:val="004B83"/>
            <w:kern w:val="0"/>
            <w:sz w:val="27"/>
            <w:szCs w:val="27"/>
            <w:u w:val="single"/>
            <w:lang w:eastAsia="en-IN" w:bidi="ar-SA"/>
            <w14:ligatures w14:val="none"/>
          </w:rPr>
          <w:t>69</w:t>
        </w:r>
      </w:hyperlink>
      <w:r w:rsidRPr="00D4005D">
        <w:rPr>
          <w:rFonts w:ascii="Times New Roman" w:eastAsia="Times New Roman" w:hAnsi="Times New Roman" w:cs="Times New Roman"/>
          <w:color w:val="333333"/>
          <w:kern w:val="0"/>
          <w:sz w:val="27"/>
          <w:szCs w:val="27"/>
          <w:lang w:eastAsia="en-IN" w:bidi="ar-SA"/>
          <w14:ligatures w14:val="none"/>
        </w:rPr>
        <w:t>, </w:t>
      </w:r>
      <w:hyperlink r:id="rId152" w:anchor="ref-CR70" w:tooltip="Shrikumar, A., Greenside, P., Shcherbina, A., Kundaje, A.: Not just a black box: learning important features through propagating activation differences. arXiv preprint &#10;                    arXiv:1605.01713&#10;                    &#10;                   (2016)" w:history="1">
        <w:r w:rsidRPr="00D4005D">
          <w:rPr>
            <w:rFonts w:ascii="Times New Roman" w:eastAsia="Times New Roman" w:hAnsi="Times New Roman" w:cs="Times New Roman"/>
            <w:color w:val="004B83"/>
            <w:kern w:val="0"/>
            <w:sz w:val="27"/>
            <w:szCs w:val="27"/>
            <w:u w:val="single"/>
            <w:lang w:eastAsia="en-IN" w:bidi="ar-SA"/>
            <w14:ligatures w14:val="none"/>
          </w:rPr>
          <w:t>70</w:t>
        </w:r>
      </w:hyperlink>
      <w:r w:rsidRPr="00D4005D">
        <w:rPr>
          <w:rFonts w:ascii="Times New Roman" w:eastAsia="Times New Roman" w:hAnsi="Times New Roman" w:cs="Times New Roman"/>
          <w:color w:val="333333"/>
          <w:kern w:val="0"/>
          <w:sz w:val="27"/>
          <w:szCs w:val="27"/>
          <w:lang w:eastAsia="en-IN" w:bidi="ar-SA"/>
          <w14:ligatures w14:val="none"/>
        </w:rPr>
        <w:t>, </w:t>
      </w:r>
      <w:hyperlink r:id="rId153" w:anchor="ref-CR73" w:tooltip="Smilkov, D., Thorat, N., Kim, B., Viégas, F., Wattenberg, M.: SmoothGrad: removing noise by adding noise. arXiv preprint &#10;                    arXiv:1706.03825&#10;                    &#10;                   (2017)" w:history="1">
        <w:r w:rsidRPr="00D4005D">
          <w:rPr>
            <w:rFonts w:ascii="Times New Roman" w:eastAsia="Times New Roman" w:hAnsi="Times New Roman" w:cs="Times New Roman"/>
            <w:color w:val="004B83"/>
            <w:kern w:val="0"/>
            <w:sz w:val="27"/>
            <w:szCs w:val="27"/>
            <w:u w:val="single"/>
            <w:lang w:eastAsia="en-IN" w:bidi="ar-SA"/>
            <w14:ligatures w14:val="none"/>
          </w:rPr>
          <w:t>73</w:t>
        </w:r>
      </w:hyperlink>
      <w:r w:rsidRPr="00D4005D">
        <w:rPr>
          <w:rFonts w:ascii="Times New Roman" w:eastAsia="Times New Roman" w:hAnsi="Times New Roman" w:cs="Times New Roman"/>
          <w:color w:val="333333"/>
          <w:kern w:val="0"/>
          <w:sz w:val="27"/>
          <w:szCs w:val="27"/>
          <w:lang w:eastAsia="en-IN" w:bidi="ar-SA"/>
          <w14:ligatures w14:val="none"/>
        </w:rPr>
        <w:t>, </w:t>
      </w:r>
      <w:hyperlink r:id="rId154" w:anchor="ref-CR75" w:tooltip="Springenberg, J.T., Dosovitskiy, A., Brox, T., Riedmiller, M.: Striving for simplicity: the all convolutional net. arXiv preprint &#10;                    arXiv:1412.6806&#10;                    &#10;                   (2014)" w:history="1">
        <w:r w:rsidRPr="00D4005D">
          <w:rPr>
            <w:rFonts w:ascii="Times New Roman" w:eastAsia="Times New Roman" w:hAnsi="Times New Roman" w:cs="Times New Roman"/>
            <w:color w:val="004B83"/>
            <w:kern w:val="0"/>
            <w:sz w:val="27"/>
            <w:szCs w:val="27"/>
            <w:u w:val="single"/>
            <w:lang w:eastAsia="en-IN" w:bidi="ar-SA"/>
            <w14:ligatures w14:val="none"/>
          </w:rPr>
          <w:t>75</w:t>
        </w:r>
      </w:hyperlink>
      <w:r w:rsidRPr="00D4005D">
        <w:rPr>
          <w:rFonts w:ascii="Times New Roman" w:eastAsia="Times New Roman" w:hAnsi="Times New Roman" w:cs="Times New Roman"/>
          <w:color w:val="333333"/>
          <w:kern w:val="0"/>
          <w:sz w:val="27"/>
          <w:szCs w:val="27"/>
          <w:lang w:eastAsia="en-IN" w:bidi="ar-SA"/>
          <w14:ligatures w14:val="none"/>
        </w:rPr>
        <w:t>, </w:t>
      </w:r>
      <w:hyperlink r:id="rId155" w:anchor="ref-CR77" w:tooltip="Sundararajan, M., Taly, A., Yan, Q.: Axiomatic attribution for deep networks. In: International Conference on Machine Learning, pp. 3319–3328. PMLR (2017)" w:history="1">
        <w:r w:rsidRPr="00D4005D">
          <w:rPr>
            <w:rFonts w:ascii="Times New Roman" w:eastAsia="Times New Roman" w:hAnsi="Times New Roman" w:cs="Times New Roman"/>
            <w:color w:val="004B83"/>
            <w:kern w:val="0"/>
            <w:sz w:val="27"/>
            <w:szCs w:val="27"/>
            <w:u w:val="single"/>
            <w:lang w:eastAsia="en-IN" w:bidi="ar-SA"/>
            <w14:ligatures w14:val="none"/>
          </w:rPr>
          <w:t>77</w:t>
        </w:r>
      </w:hyperlink>
      <w:r w:rsidRPr="00D4005D">
        <w:rPr>
          <w:rFonts w:ascii="Times New Roman" w:eastAsia="Times New Roman" w:hAnsi="Times New Roman" w:cs="Times New Roman"/>
          <w:color w:val="333333"/>
          <w:kern w:val="0"/>
          <w:sz w:val="27"/>
          <w:szCs w:val="27"/>
          <w:lang w:eastAsia="en-IN" w:bidi="ar-SA"/>
          <w14:ligatures w14:val="none"/>
        </w:rPr>
        <w:t>, </w:t>
      </w:r>
      <w:hyperlink r:id="rId156" w:anchor="ref-CR84" w:tooltip="Zeiler, M.D., Fergus, R.: Visualizing and understanding convolutional networks. In: Fleet, D., Pajdla, T., Schiele, B., Tuytelaars, T. (eds.) ECCV 2014. LNCS, vol. 8689, pp. 818–833. Springer, Cham (2014). &#10;                    https://doi.org/10.1007/978-3-319" w:history="1">
        <w:r w:rsidRPr="00D4005D">
          <w:rPr>
            <w:rFonts w:ascii="Times New Roman" w:eastAsia="Times New Roman" w:hAnsi="Times New Roman" w:cs="Times New Roman"/>
            <w:color w:val="004B83"/>
            <w:kern w:val="0"/>
            <w:sz w:val="27"/>
            <w:szCs w:val="27"/>
            <w:u w:val="single"/>
            <w:lang w:eastAsia="en-IN" w:bidi="ar-SA"/>
            <w14:ligatures w14:val="none"/>
          </w:rPr>
          <w:t>84</w:t>
        </w:r>
      </w:hyperlink>
      <w:r w:rsidRPr="00D4005D">
        <w:rPr>
          <w:rFonts w:ascii="Times New Roman" w:eastAsia="Times New Roman" w:hAnsi="Times New Roman" w:cs="Times New Roman"/>
          <w:color w:val="333333"/>
          <w:kern w:val="0"/>
          <w:sz w:val="27"/>
          <w:szCs w:val="27"/>
          <w:lang w:eastAsia="en-IN" w:bidi="ar-SA"/>
          <w14:ligatures w14:val="none"/>
        </w:rPr>
        <w:t>] among others) with each one explaining the network in a different way, it is key to better understand differences between methods, both their relative strengths and weaknesses, so that researchers are aware which methods are more suitable to use depending on the model architecture and the objective of the explanation. Thus, thorough investigation and objective assessment of XAI methods is of vital importance.</w:t>
      </w:r>
    </w:p>
    <w:p w14:paraId="03F5E93A"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So far, the assessment of different XAI methods has been mainly based on applying these methods to benchmark problems, where the scientist is expected to know what the attribution heatmaps should look like, hence, being able to judge the performance of the XAI method in question. Examples of benchmark problems in climate science include the classification of El Niño or La Niña years or seasonal prediction of regional hydroclimate [</w:t>
      </w:r>
      <w:hyperlink r:id="rId157" w:anchor="ref-CR21" w:tooltip="Ham, Y.G., Kim, J.H., Luo, J.J.: Deep learning for multi-year ENSO forecasts. Nature 573(7775), 568–572 (2019)" w:history="1">
        <w:r w:rsidRPr="00D4005D">
          <w:rPr>
            <w:rFonts w:ascii="Times New Roman" w:eastAsia="Times New Roman" w:hAnsi="Times New Roman" w:cs="Times New Roman"/>
            <w:color w:val="004B83"/>
            <w:kern w:val="0"/>
            <w:sz w:val="27"/>
            <w:szCs w:val="27"/>
            <w:u w:val="single"/>
            <w:lang w:eastAsia="en-IN" w:bidi="ar-SA"/>
            <w14:ligatures w14:val="none"/>
          </w:rPr>
          <w:t>21</w:t>
        </w:r>
      </w:hyperlink>
      <w:r w:rsidRPr="00D4005D">
        <w:rPr>
          <w:rFonts w:ascii="Times New Roman" w:eastAsia="Times New Roman" w:hAnsi="Times New Roman" w:cs="Times New Roman"/>
          <w:color w:val="333333"/>
          <w:kern w:val="0"/>
          <w:sz w:val="27"/>
          <w:szCs w:val="27"/>
          <w:lang w:eastAsia="en-IN" w:bidi="ar-SA"/>
          <w14:ligatures w14:val="none"/>
        </w:rPr>
        <w:t>, </w:t>
      </w:r>
      <w:hyperlink r:id="rId158" w:anchor="ref-CR79" w:tooltip="Toms, B.A., Barnes, E.A., Ebert-Uphoff, I.: Physically interpretable neural networks for the geosciences: applications to earth system variability. J. Adv. Model. Earth Syst. 12(9), e2019MS002002 (2020)" w:history="1">
        <w:r w:rsidRPr="00D4005D">
          <w:rPr>
            <w:rFonts w:ascii="Times New Roman" w:eastAsia="Times New Roman" w:hAnsi="Times New Roman" w:cs="Times New Roman"/>
            <w:color w:val="004B83"/>
            <w:kern w:val="0"/>
            <w:sz w:val="27"/>
            <w:szCs w:val="27"/>
            <w:u w:val="single"/>
            <w:lang w:eastAsia="en-IN" w:bidi="ar-SA"/>
            <w14:ligatures w14:val="none"/>
          </w:rPr>
          <w:t>79</w:t>
        </w:r>
      </w:hyperlink>
      <w:r w:rsidRPr="00D4005D">
        <w:rPr>
          <w:rFonts w:ascii="Times New Roman" w:eastAsia="Times New Roman" w:hAnsi="Times New Roman" w:cs="Times New Roman"/>
          <w:color w:val="333333"/>
          <w:kern w:val="0"/>
          <w:sz w:val="27"/>
          <w:szCs w:val="27"/>
          <w:lang w:eastAsia="en-IN" w:bidi="ar-SA"/>
          <w14:ligatures w14:val="none"/>
        </w:rPr>
        <w:t>]. In computer science, commonly used benchmark datasets for image classification problems are, among others, the MNIST or ImageNet datasets [</w:t>
      </w:r>
      <w:hyperlink r:id="rId159" w:anchor="ref-CR39" w:tooltip="LeCun, Y., Bottou, L., Bengio, Y., Haffner, P.: Gradient-based learning applied to document recognition. Proc. IEEE 86(11), 2278–2324 (1998)" w:history="1">
        <w:r w:rsidRPr="00D4005D">
          <w:rPr>
            <w:rFonts w:ascii="Times New Roman" w:eastAsia="Times New Roman" w:hAnsi="Times New Roman" w:cs="Times New Roman"/>
            <w:color w:val="004B83"/>
            <w:kern w:val="0"/>
            <w:sz w:val="27"/>
            <w:szCs w:val="27"/>
            <w:u w:val="single"/>
            <w:lang w:eastAsia="en-IN" w:bidi="ar-SA"/>
            <w14:ligatures w14:val="none"/>
          </w:rPr>
          <w:t>39</w:t>
        </w:r>
      </w:hyperlink>
      <w:r w:rsidRPr="00D4005D">
        <w:rPr>
          <w:rFonts w:ascii="Times New Roman" w:eastAsia="Times New Roman" w:hAnsi="Times New Roman" w:cs="Times New Roman"/>
          <w:color w:val="333333"/>
          <w:kern w:val="0"/>
          <w:sz w:val="27"/>
          <w:szCs w:val="27"/>
          <w:lang w:eastAsia="en-IN" w:bidi="ar-SA"/>
          <w14:ligatures w14:val="none"/>
        </w:rPr>
        <w:t>, </w:t>
      </w:r>
      <w:hyperlink r:id="rId160" w:anchor="ref-CR64" w:tooltip="Russakovsky, O., et al.: ImageNet large scale visual recognition challenge. Int. J. Comput. Vis. 115(3), 211–252 (2015)" w:history="1">
        <w:r w:rsidRPr="00D4005D">
          <w:rPr>
            <w:rFonts w:ascii="Times New Roman" w:eastAsia="Times New Roman" w:hAnsi="Times New Roman" w:cs="Times New Roman"/>
            <w:color w:val="004B83"/>
            <w:kern w:val="0"/>
            <w:sz w:val="27"/>
            <w:szCs w:val="27"/>
            <w:u w:val="single"/>
            <w:lang w:eastAsia="en-IN" w:bidi="ar-SA"/>
            <w14:ligatures w14:val="none"/>
          </w:rPr>
          <w:t>64</w:t>
        </w:r>
      </w:hyperlink>
      <w:r w:rsidRPr="00D4005D">
        <w:rPr>
          <w:rFonts w:ascii="Times New Roman" w:eastAsia="Times New Roman" w:hAnsi="Times New Roman" w:cs="Times New Roman"/>
          <w:color w:val="333333"/>
          <w:kern w:val="0"/>
          <w:sz w:val="27"/>
          <w:szCs w:val="27"/>
          <w:lang w:eastAsia="en-IN" w:bidi="ar-SA"/>
          <w14:ligatures w14:val="none"/>
        </w:rPr>
        <w:t xml:space="preserve">]. Although the use of such benchmark datasets help the scientist gain some general insight about the XAI method’s efficiency, this is always based on the scientist’s subjective visual inspection of the result and their prior knowledge and understanding of the </w:t>
      </w:r>
      <w:r w:rsidRPr="00D4005D">
        <w:rPr>
          <w:rFonts w:ascii="Times New Roman" w:eastAsia="Times New Roman" w:hAnsi="Times New Roman" w:cs="Times New Roman"/>
          <w:color w:val="333333"/>
          <w:kern w:val="0"/>
          <w:sz w:val="27"/>
          <w:szCs w:val="27"/>
          <w:lang w:eastAsia="en-IN" w:bidi="ar-SA"/>
          <w14:ligatures w14:val="none"/>
        </w:rPr>
        <w:lastRenderedPageBreak/>
        <w:t>problem at hand, which has high risk of cherry-picking specific samples/methods and reinforcing individual biases [</w:t>
      </w:r>
      <w:hyperlink r:id="rId161" w:anchor="ref-CR37" w:tooltip="Leavitt, M.L., Morcos, A.: Towards falsifiable interpretability research. arXiv preprint &#10;                    arXiv:2010.12016&#10;                    &#10;                   (2020)" w:history="1">
        <w:r w:rsidRPr="00D4005D">
          <w:rPr>
            <w:rFonts w:ascii="Times New Roman" w:eastAsia="Times New Roman" w:hAnsi="Times New Roman" w:cs="Times New Roman"/>
            <w:color w:val="004B83"/>
            <w:kern w:val="0"/>
            <w:sz w:val="27"/>
            <w:szCs w:val="27"/>
            <w:u w:val="single"/>
            <w:lang w:eastAsia="en-IN" w:bidi="ar-SA"/>
            <w14:ligatures w14:val="none"/>
          </w:rPr>
          <w:t>37</w:t>
        </w:r>
      </w:hyperlink>
      <w:r w:rsidRPr="00D4005D">
        <w:rPr>
          <w:rFonts w:ascii="Times New Roman" w:eastAsia="Times New Roman" w:hAnsi="Times New Roman" w:cs="Times New Roman"/>
          <w:color w:val="333333"/>
          <w:kern w:val="0"/>
          <w:sz w:val="27"/>
          <w:szCs w:val="27"/>
          <w:lang w:eastAsia="en-IN" w:bidi="ar-SA"/>
          <w14:ligatures w14:val="none"/>
        </w:rPr>
        <w:t>]. In classification tasks, for example, just because it might make sense to a human that an XAI method highlights the ears or the nose of a cat for an image successfully classified as “cat”, this does not necessarily mean that this is the strategy the model in question is actually using, since there is no objective truth about the relative importance of these two or other features to the prediction. The actual importance of different features to the network’s prediction is always case- or dataset-dependent, and the human perception of an explanation alone is not a solid criterion for assessing its trustworthiness.</w:t>
      </w:r>
    </w:p>
    <w:p w14:paraId="0C00FCA9"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With the aim of a more falsifiable XAI research [</w:t>
      </w:r>
      <w:hyperlink r:id="rId162" w:anchor="ref-CR37" w:tooltip="Leavitt, M.L., Morcos, A.: Towards falsifiable interpretability research. arXiv preprint &#10;                    arXiv:2010.12016&#10;                    &#10;                   (2020)" w:history="1">
        <w:r w:rsidRPr="00D4005D">
          <w:rPr>
            <w:rFonts w:ascii="Times New Roman" w:eastAsia="Times New Roman" w:hAnsi="Times New Roman" w:cs="Times New Roman"/>
            <w:color w:val="004B83"/>
            <w:kern w:val="0"/>
            <w:sz w:val="27"/>
            <w:szCs w:val="27"/>
            <w:u w:val="single"/>
            <w:lang w:eastAsia="en-IN" w:bidi="ar-SA"/>
            <w14:ligatures w14:val="none"/>
          </w:rPr>
          <w:t>37</w:t>
        </w:r>
      </w:hyperlink>
      <w:r w:rsidRPr="00D4005D">
        <w:rPr>
          <w:rFonts w:ascii="Times New Roman" w:eastAsia="Times New Roman" w:hAnsi="Times New Roman" w:cs="Times New Roman"/>
          <w:color w:val="333333"/>
          <w:kern w:val="0"/>
          <w:sz w:val="27"/>
          <w:szCs w:val="27"/>
          <w:lang w:eastAsia="en-IN" w:bidi="ar-SA"/>
          <w14:ligatures w14:val="none"/>
        </w:rPr>
        <w:t>], Mamalakis et al. (2021) [</w:t>
      </w:r>
      <w:hyperlink r:id="rId163" w:anchor="ref-CR43" w:tooltip="Mamalakis, A., Ebert-Uphoff, I., Barnes, E.A.: Neural network attribution methods for problems in geoscience: a novel synthetic benchmark dataset. arXiv preprint &#10;                    arXiv:2103.10005&#10;                    &#10;                   (2021)" w:history="1">
        <w:r w:rsidRPr="00D4005D">
          <w:rPr>
            <w:rFonts w:ascii="Times New Roman" w:eastAsia="Times New Roman" w:hAnsi="Times New Roman" w:cs="Times New Roman"/>
            <w:color w:val="004B83"/>
            <w:kern w:val="0"/>
            <w:sz w:val="27"/>
            <w:szCs w:val="27"/>
            <w:u w:val="single"/>
            <w:lang w:eastAsia="en-IN" w:bidi="ar-SA"/>
            <w14:ligatures w14:val="none"/>
          </w:rPr>
          <w:t>43</w:t>
        </w:r>
      </w:hyperlink>
      <w:r w:rsidRPr="00D4005D">
        <w:rPr>
          <w:rFonts w:ascii="Times New Roman" w:eastAsia="Times New Roman" w:hAnsi="Times New Roman" w:cs="Times New Roman"/>
          <w:color w:val="333333"/>
          <w:kern w:val="0"/>
          <w:sz w:val="27"/>
          <w:szCs w:val="27"/>
          <w:lang w:eastAsia="en-IN" w:bidi="ar-SA"/>
          <w14:ligatures w14:val="none"/>
        </w:rPr>
        <w:t>] put forward the concept of </w:t>
      </w:r>
      <w:r w:rsidRPr="00D4005D">
        <w:rPr>
          <w:rFonts w:ascii="Times New Roman" w:eastAsia="Times New Roman" w:hAnsi="Times New Roman" w:cs="Times New Roman"/>
          <w:i/>
          <w:iCs/>
          <w:color w:val="333333"/>
          <w:kern w:val="0"/>
          <w:sz w:val="27"/>
          <w:szCs w:val="27"/>
          <w:lang w:eastAsia="en-IN" w:bidi="ar-SA"/>
          <w14:ligatures w14:val="none"/>
        </w:rPr>
        <w:t>attribution benchmark datasets</w:t>
      </w:r>
      <w:r w:rsidRPr="00D4005D">
        <w:rPr>
          <w:rFonts w:ascii="Times New Roman" w:eastAsia="Times New Roman" w:hAnsi="Times New Roman" w:cs="Times New Roman"/>
          <w:color w:val="333333"/>
          <w:kern w:val="0"/>
          <w:sz w:val="27"/>
          <w:szCs w:val="27"/>
          <w:lang w:eastAsia="en-IN" w:bidi="ar-SA"/>
          <w14:ligatures w14:val="none"/>
        </w:rPr>
        <w:t>. These are synthetic datasets (consisting of synthetic inputs and outputs) that have been designed and generated in a way so that the importance of each input feature to the prediction is objectively derivable and known </w:t>
      </w:r>
      <w:r w:rsidRPr="00D4005D">
        <w:rPr>
          <w:rFonts w:ascii="Times New Roman" w:eastAsia="Times New Roman" w:hAnsi="Times New Roman" w:cs="Times New Roman"/>
          <w:i/>
          <w:iCs/>
          <w:color w:val="333333"/>
          <w:kern w:val="0"/>
          <w:sz w:val="27"/>
          <w:szCs w:val="27"/>
          <w:lang w:eastAsia="en-IN" w:bidi="ar-SA"/>
          <w14:ligatures w14:val="none"/>
        </w:rPr>
        <w:t>a priori</w:t>
      </w:r>
      <w:r w:rsidRPr="00D4005D">
        <w:rPr>
          <w:rFonts w:ascii="Times New Roman" w:eastAsia="Times New Roman" w:hAnsi="Times New Roman" w:cs="Times New Roman"/>
          <w:color w:val="333333"/>
          <w:kern w:val="0"/>
          <w:sz w:val="27"/>
          <w:szCs w:val="27"/>
          <w:lang w:eastAsia="en-IN" w:bidi="ar-SA"/>
          <w14:ligatures w14:val="none"/>
        </w:rPr>
        <w:t>. This </w:t>
      </w:r>
      <w:r w:rsidRPr="00D4005D">
        <w:rPr>
          <w:rFonts w:ascii="Times New Roman" w:eastAsia="Times New Roman" w:hAnsi="Times New Roman" w:cs="Times New Roman"/>
          <w:i/>
          <w:iCs/>
          <w:color w:val="333333"/>
          <w:kern w:val="0"/>
          <w:sz w:val="27"/>
          <w:szCs w:val="27"/>
          <w:lang w:eastAsia="en-IN" w:bidi="ar-SA"/>
          <w14:ligatures w14:val="none"/>
        </w:rPr>
        <w:t>a priori</w:t>
      </w:r>
      <w:r w:rsidRPr="00D4005D">
        <w:rPr>
          <w:rFonts w:ascii="Times New Roman" w:eastAsia="Times New Roman" w:hAnsi="Times New Roman" w:cs="Times New Roman"/>
          <w:color w:val="333333"/>
          <w:kern w:val="0"/>
          <w:sz w:val="27"/>
          <w:szCs w:val="27"/>
          <w:lang w:eastAsia="en-IN" w:bidi="ar-SA"/>
          <w14:ligatures w14:val="none"/>
        </w:rPr>
        <w:t> known attribution can be used as ground truth for evaluating different XAI methods and identifying systematic strengths and weaknesses. The authors referred to such synthetic datasets as attribution benchmark datasets, to distinguish from benchmarks where no ground truth of the attribution/explanation is available. The framework was proposed for regression problems (but can be extended into classification problems too), where the input is a 2D field (i.e., a single-channel image); commonly found in geoscientific applications (e.g., [</w:t>
      </w:r>
      <w:hyperlink r:id="rId164" w:anchor="ref-CR13" w:tooltip="DelSole, T., Banerjee, A.: Statistical seasonal prediction based on regularized regression. J. Clim. 30(4), 1345–1361 (2017)" w:history="1">
        <w:r w:rsidRPr="00D4005D">
          <w:rPr>
            <w:rFonts w:ascii="Times New Roman" w:eastAsia="Times New Roman" w:hAnsi="Times New Roman" w:cs="Times New Roman"/>
            <w:color w:val="004B83"/>
            <w:kern w:val="0"/>
            <w:sz w:val="27"/>
            <w:szCs w:val="27"/>
            <w:u w:val="single"/>
            <w:lang w:eastAsia="en-IN" w:bidi="ar-SA"/>
            <w14:ligatures w14:val="none"/>
          </w:rPr>
          <w:t>13</w:t>
        </w:r>
      </w:hyperlink>
      <w:r w:rsidRPr="00D4005D">
        <w:rPr>
          <w:rFonts w:ascii="Times New Roman" w:eastAsia="Times New Roman" w:hAnsi="Times New Roman" w:cs="Times New Roman"/>
          <w:color w:val="333333"/>
          <w:kern w:val="0"/>
          <w:sz w:val="27"/>
          <w:szCs w:val="27"/>
          <w:lang w:eastAsia="en-IN" w:bidi="ar-SA"/>
          <w14:ligatures w14:val="none"/>
        </w:rPr>
        <w:t>, </w:t>
      </w:r>
      <w:hyperlink r:id="rId165" w:anchor="ref-CR21" w:tooltip="Ham, Y.G., Kim, J.H., Luo, J.J.: Deep learning for multi-year ENSO forecasts. Nature 573(7775), 568–572 (2019)" w:history="1">
        <w:r w:rsidRPr="00D4005D">
          <w:rPr>
            <w:rFonts w:ascii="Times New Roman" w:eastAsia="Times New Roman" w:hAnsi="Times New Roman" w:cs="Times New Roman"/>
            <w:color w:val="004B83"/>
            <w:kern w:val="0"/>
            <w:sz w:val="27"/>
            <w:szCs w:val="27"/>
            <w:u w:val="single"/>
            <w:lang w:eastAsia="en-IN" w:bidi="ar-SA"/>
            <w14:ligatures w14:val="none"/>
          </w:rPr>
          <w:t>21</w:t>
        </w:r>
      </w:hyperlink>
      <w:r w:rsidRPr="00D4005D">
        <w:rPr>
          <w:rFonts w:ascii="Times New Roman" w:eastAsia="Times New Roman" w:hAnsi="Times New Roman" w:cs="Times New Roman"/>
          <w:color w:val="333333"/>
          <w:kern w:val="0"/>
          <w:sz w:val="27"/>
          <w:szCs w:val="27"/>
          <w:lang w:eastAsia="en-IN" w:bidi="ar-SA"/>
          <w14:ligatures w14:val="none"/>
        </w:rPr>
        <w:t>, </w:t>
      </w:r>
      <w:hyperlink r:id="rId166" w:anchor="ref-CR76" w:tooltip="Stevens, A., et al.: Graph-guided regularized regression of pacific ocean climate variables to increase predictive skill of southwestern us winter precipitation. J. Clim. 34(2), 737–754 (2021)" w:history="1">
        <w:r w:rsidRPr="00D4005D">
          <w:rPr>
            <w:rFonts w:ascii="Times New Roman" w:eastAsia="Times New Roman" w:hAnsi="Times New Roman" w:cs="Times New Roman"/>
            <w:color w:val="004B83"/>
            <w:kern w:val="0"/>
            <w:sz w:val="27"/>
            <w:szCs w:val="27"/>
            <w:u w:val="single"/>
            <w:lang w:eastAsia="en-IN" w:bidi="ar-SA"/>
            <w14:ligatures w14:val="none"/>
          </w:rPr>
          <w:t>76</w:t>
        </w:r>
      </w:hyperlink>
      <w:r w:rsidRPr="00D4005D">
        <w:rPr>
          <w:rFonts w:ascii="Times New Roman" w:eastAsia="Times New Roman" w:hAnsi="Times New Roman" w:cs="Times New Roman"/>
          <w:color w:val="333333"/>
          <w:kern w:val="0"/>
          <w:sz w:val="27"/>
          <w:szCs w:val="27"/>
          <w:lang w:eastAsia="en-IN" w:bidi="ar-SA"/>
          <w14:ligatures w14:val="none"/>
        </w:rPr>
        <w:t>, </w:t>
      </w:r>
      <w:hyperlink r:id="rId167" w:anchor="ref-CR79" w:tooltip="Toms, B.A., Barnes, E.A., Ebert-Uphoff, I.: Physically interpretable neural networks for the geosciences: applications to earth system variability. J. Adv. Model. Earth Syst. 12(9), e2019MS002002 (2020)" w:history="1">
        <w:r w:rsidRPr="00D4005D">
          <w:rPr>
            <w:rFonts w:ascii="Times New Roman" w:eastAsia="Times New Roman" w:hAnsi="Times New Roman" w:cs="Times New Roman"/>
            <w:color w:val="004B83"/>
            <w:kern w:val="0"/>
            <w:sz w:val="27"/>
            <w:szCs w:val="27"/>
            <w:u w:val="single"/>
            <w:lang w:eastAsia="en-IN" w:bidi="ar-SA"/>
            <w14:ligatures w14:val="none"/>
          </w:rPr>
          <w:t>79</w:t>
        </w:r>
      </w:hyperlink>
      <w:r w:rsidRPr="00D4005D">
        <w:rPr>
          <w:rFonts w:ascii="Times New Roman" w:eastAsia="Times New Roman" w:hAnsi="Times New Roman" w:cs="Times New Roman"/>
          <w:color w:val="333333"/>
          <w:kern w:val="0"/>
          <w:sz w:val="27"/>
          <w:szCs w:val="27"/>
          <w:lang w:eastAsia="en-IN" w:bidi="ar-SA"/>
          <w14:ligatures w14:val="none"/>
        </w:rPr>
        <w:t>]). Below we briefly summarize the proposed framework and the attribution benchmark dataset that Mamalakis et al. used, and we present comparisons between different XAI methods that provide insights about their performance.</w:t>
      </w:r>
    </w:p>
    <w:p w14:paraId="0247B8BE" w14:textId="77777777" w:rsidR="00D4005D" w:rsidRPr="00D4005D" w:rsidRDefault="00D4005D" w:rsidP="006C4AAD">
      <w:pPr>
        <w:shd w:val="clear" w:color="auto" w:fill="FCFCFC"/>
        <w:spacing w:after="120" w:line="240" w:lineRule="auto"/>
        <w:outlineLvl w:val="2"/>
        <w:rPr>
          <w:rFonts w:ascii="Times New Roman" w:eastAsia="Times New Roman" w:hAnsi="Times New Roman" w:cs="Times New Roman"/>
          <w:color w:val="222222"/>
          <w:kern w:val="0"/>
          <w:sz w:val="27"/>
          <w:szCs w:val="27"/>
          <w:lang w:eastAsia="en-IN" w:bidi="ar-SA"/>
          <w14:ligatures w14:val="none"/>
        </w:rPr>
      </w:pPr>
    </w:p>
    <w:p w14:paraId="1A51795A" w14:textId="77777777" w:rsidR="00D4005D" w:rsidRPr="00D4005D" w:rsidRDefault="00D4005D" w:rsidP="006C4AAD">
      <w:pPr>
        <w:shd w:val="clear" w:color="auto" w:fill="FCFCFC"/>
        <w:spacing w:after="120" w:line="240" w:lineRule="auto"/>
        <w:outlineLvl w:val="2"/>
        <w:rPr>
          <w:rFonts w:ascii="Times New Roman" w:eastAsia="Times New Roman" w:hAnsi="Times New Roman" w:cs="Times New Roman"/>
          <w:color w:val="222222"/>
          <w:kern w:val="0"/>
          <w:sz w:val="27"/>
          <w:szCs w:val="27"/>
          <w:lang w:eastAsia="en-IN" w:bidi="ar-SA"/>
          <w14:ligatures w14:val="none"/>
        </w:rPr>
      </w:pPr>
    </w:p>
    <w:p w14:paraId="1CE9A7C7" w14:textId="14870181" w:rsidR="006C4AAD" w:rsidRPr="00D4005D" w:rsidRDefault="006C4AAD" w:rsidP="006C4AAD">
      <w:pPr>
        <w:shd w:val="clear" w:color="auto" w:fill="FCFCFC"/>
        <w:spacing w:after="120" w:line="240" w:lineRule="auto"/>
        <w:outlineLvl w:val="2"/>
        <w:rPr>
          <w:rFonts w:ascii="Times New Roman" w:eastAsia="Times New Roman" w:hAnsi="Times New Roman" w:cs="Times New Roman"/>
          <w:color w:val="222222"/>
          <w:kern w:val="0"/>
          <w:sz w:val="27"/>
          <w:szCs w:val="27"/>
          <w:lang w:eastAsia="en-IN" w:bidi="ar-SA"/>
          <w14:ligatures w14:val="none"/>
        </w:rPr>
      </w:pPr>
      <w:r w:rsidRPr="00D4005D">
        <w:rPr>
          <w:rFonts w:ascii="Times New Roman" w:eastAsia="Times New Roman" w:hAnsi="Times New Roman" w:cs="Times New Roman"/>
          <w:color w:val="222222"/>
          <w:kern w:val="0"/>
          <w:sz w:val="27"/>
          <w:szCs w:val="27"/>
          <w:lang w:eastAsia="en-IN" w:bidi="ar-SA"/>
          <w14:ligatures w14:val="none"/>
        </w:rPr>
        <w:t>3.1 Synthetic Framework</w:t>
      </w:r>
    </w:p>
    <w:p w14:paraId="4AD6429A" w14:textId="1004477F"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Mamalakis et al. considered a climate prediction setting (i.e., prediction of regional climate from global 2D fields of SST; see e.g., [</w:t>
      </w:r>
      <w:hyperlink r:id="rId168" w:anchor="ref-CR13" w:tooltip="DelSole, T., Banerjee, A.: Statistical seasonal prediction based on regularized regression. J. Clim. 30(4), 1345–1361 (2017)" w:history="1">
        <w:r w:rsidRPr="00D4005D">
          <w:rPr>
            <w:rFonts w:ascii="Times New Roman" w:eastAsia="Times New Roman" w:hAnsi="Times New Roman" w:cs="Times New Roman"/>
            <w:color w:val="004B83"/>
            <w:kern w:val="0"/>
            <w:sz w:val="27"/>
            <w:szCs w:val="27"/>
            <w:u w:val="single"/>
            <w:lang w:eastAsia="en-IN" w:bidi="ar-SA"/>
            <w14:ligatures w14:val="none"/>
          </w:rPr>
          <w:t>13</w:t>
        </w:r>
      </w:hyperlink>
      <w:r w:rsidRPr="00D4005D">
        <w:rPr>
          <w:rFonts w:ascii="Times New Roman" w:eastAsia="Times New Roman" w:hAnsi="Times New Roman" w:cs="Times New Roman"/>
          <w:color w:val="333333"/>
          <w:kern w:val="0"/>
          <w:sz w:val="27"/>
          <w:szCs w:val="27"/>
          <w:lang w:eastAsia="en-IN" w:bidi="ar-SA"/>
          <w14:ligatures w14:val="none"/>
        </w:rPr>
        <w:t>, </w:t>
      </w:r>
      <w:hyperlink r:id="rId169" w:anchor="ref-CR76" w:tooltip="Stevens, A., et al.: Graph-guided regularized regression of pacific ocean climate variables to increase predictive skill of southwestern us winter precipitation. J. Clim. 34(2), 737–754 (2021)" w:history="1">
        <w:r w:rsidRPr="00D4005D">
          <w:rPr>
            <w:rFonts w:ascii="Times New Roman" w:eastAsia="Times New Roman" w:hAnsi="Times New Roman" w:cs="Times New Roman"/>
            <w:color w:val="004B83"/>
            <w:kern w:val="0"/>
            <w:sz w:val="27"/>
            <w:szCs w:val="27"/>
            <w:u w:val="single"/>
            <w:lang w:eastAsia="en-IN" w:bidi="ar-SA"/>
            <w14:ligatures w14:val="none"/>
          </w:rPr>
          <w:t>76</w:t>
        </w:r>
      </w:hyperlink>
      <w:r w:rsidRPr="00D4005D">
        <w:rPr>
          <w:rFonts w:ascii="Times New Roman" w:eastAsia="Times New Roman" w:hAnsi="Times New Roman" w:cs="Times New Roman"/>
          <w:color w:val="333333"/>
          <w:kern w:val="0"/>
          <w:sz w:val="27"/>
          <w:szCs w:val="27"/>
          <w:lang w:eastAsia="en-IN" w:bidi="ar-SA"/>
          <w14:ligatures w14:val="none"/>
        </w:rPr>
        <w:t>]), and generated </w:t>
      </w:r>
      <w:r w:rsidRPr="00D4005D">
        <w:rPr>
          <w:rFonts w:ascii="Times New Roman" w:eastAsia="Times New Roman" w:hAnsi="Times New Roman" w:cs="Times New Roman"/>
          <w:i/>
          <w:iCs/>
          <w:color w:val="333333"/>
          <w:kern w:val="0"/>
          <w:sz w:val="27"/>
          <w:szCs w:val="27"/>
          <w:lang w:eastAsia="en-IN" w:bidi="ar-SA"/>
          <w14:ligatures w14:val="none"/>
        </w:rPr>
        <w:t>N</w:t>
      </w:r>
      <w:r w:rsidRPr="00D4005D">
        <w:rPr>
          <w:rFonts w:ascii="Times New Roman" w:eastAsia="Times New Roman" w:hAnsi="Times New Roman" w:cs="Times New Roman"/>
          <w:color w:val="333333"/>
          <w:kern w:val="0"/>
          <w:sz w:val="27"/>
          <w:szCs w:val="27"/>
          <w:lang w:eastAsia="en-IN" w:bidi="ar-SA"/>
          <w14:ligatures w14:val="none"/>
        </w:rPr>
        <w:t> realizations of an input random vector </w:t>
      </w:r>
      <w:r w:rsidRPr="00D4005D">
        <w:rPr>
          <w:rFonts w:ascii="Times New Roman" w:eastAsia="Times New Roman" w:hAnsi="Times New Roman" w:cs="Times New Roman"/>
          <w:b/>
          <w:bCs/>
          <w:color w:val="333333"/>
          <w:kern w:val="0"/>
          <w:sz w:val="27"/>
          <w:szCs w:val="27"/>
          <w:lang w:eastAsia="en-IN" w:bidi="ar-SA"/>
          <w14:ligatures w14:val="none"/>
        </w:rPr>
        <w:t>X</w:t>
      </w:r>
      <w:r w:rsidRPr="00D4005D">
        <w:rPr>
          <w:rFonts w:ascii="Times New Roman" w:eastAsia="Times New Roman" w:hAnsi="Times New Roman" w:cs="Times New Roman"/>
          <w:color w:val="333333"/>
          <w:kern w:val="0"/>
          <w:sz w:val="27"/>
          <w:szCs w:val="27"/>
          <w:lang w:eastAsia="en-IN" w:bidi="ar-SA"/>
          <w14:ligatures w14:val="none"/>
        </w:rPr>
        <w:t> </w:t>
      </w:r>
      <w:r w:rsidRPr="00D4005D">
        <w:rPr>
          <w:rFonts w:ascii="Cambria Math" w:eastAsia="Times New Roman" w:hAnsi="Cambria Math" w:cs="Cambria Math"/>
          <w:color w:val="333333"/>
          <w:kern w:val="0"/>
          <w:sz w:val="30"/>
          <w:szCs w:val="30"/>
          <w:bdr w:val="none" w:sz="0" w:space="0" w:color="auto" w:frame="1"/>
          <w:lang w:eastAsia="en-IN" w:bidi="ar-SA"/>
          <w14:ligatures w14:val="none"/>
        </w:rPr>
        <w:t>∈</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R</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d</w:t>
      </w:r>
      <w:r w:rsidRPr="00D4005D">
        <w:rPr>
          <w:rFonts w:ascii="Cambria Math" w:eastAsia="Times New Roman" w:hAnsi="Cambria Math" w:cs="Cambria Math"/>
          <w:color w:val="333333"/>
          <w:kern w:val="0"/>
          <w:sz w:val="27"/>
          <w:szCs w:val="27"/>
          <w:bdr w:val="none" w:sz="0" w:space="0" w:color="auto" w:frame="1"/>
          <w:lang w:eastAsia="en-IN" w:bidi="ar-SA"/>
          <w14:ligatures w14:val="none"/>
        </w:rPr>
        <w:t>∈</w:t>
      </w:r>
      <w:r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ℜ</w:t>
      </w:r>
      <w:r w:rsidRPr="00D4005D">
        <w:rPr>
          <w:rFonts w:ascii="Times New Roman" w:eastAsia="Times New Roman" w:hAnsi="Times New Roman" w:cs="Times New Roman"/>
          <w:color w:val="333333"/>
          <w:kern w:val="0"/>
          <w:sz w:val="27"/>
          <w:szCs w:val="27"/>
          <w:lang w:eastAsia="en-IN" w:bidi="ar-SA"/>
          <w14:ligatures w14:val="none"/>
        </w:rPr>
        <w:t> from a multivariate Normal Distribution (see step 1 in Fig. </w:t>
      </w:r>
      <w:hyperlink r:id="rId170" w:anchor="Fig7" w:history="1">
        <w:r w:rsidRPr="00D4005D">
          <w:rPr>
            <w:rFonts w:ascii="Times New Roman" w:eastAsia="Times New Roman" w:hAnsi="Times New Roman" w:cs="Times New Roman"/>
            <w:color w:val="004B83"/>
            <w:kern w:val="0"/>
            <w:sz w:val="27"/>
            <w:szCs w:val="27"/>
            <w:u w:val="single"/>
            <w:lang w:eastAsia="en-IN" w:bidi="ar-SA"/>
            <w14:ligatures w14:val="none"/>
          </w:rPr>
          <w:t>7</w:t>
        </w:r>
      </w:hyperlink>
      <w:r w:rsidRPr="00D4005D">
        <w:rPr>
          <w:rFonts w:ascii="Times New Roman" w:eastAsia="Times New Roman" w:hAnsi="Times New Roman" w:cs="Times New Roman"/>
          <w:color w:val="333333"/>
          <w:kern w:val="0"/>
          <w:sz w:val="27"/>
          <w:szCs w:val="27"/>
          <w:lang w:eastAsia="en-IN" w:bidi="ar-SA"/>
          <w14:ligatures w14:val="none"/>
        </w:rPr>
        <w:t>); these are </w:t>
      </w:r>
      <w:r w:rsidRPr="00D4005D">
        <w:rPr>
          <w:rFonts w:ascii="Times New Roman" w:eastAsia="Times New Roman" w:hAnsi="Times New Roman" w:cs="Times New Roman"/>
          <w:i/>
          <w:iCs/>
          <w:color w:val="333333"/>
          <w:kern w:val="0"/>
          <w:sz w:val="27"/>
          <w:szCs w:val="27"/>
          <w:lang w:eastAsia="en-IN" w:bidi="ar-SA"/>
          <w14:ligatures w14:val="none"/>
        </w:rPr>
        <w:t>N</w:t>
      </w:r>
      <w:r w:rsidRPr="00D4005D">
        <w:rPr>
          <w:rFonts w:ascii="Times New Roman" w:eastAsia="Times New Roman" w:hAnsi="Times New Roman" w:cs="Times New Roman"/>
          <w:color w:val="333333"/>
          <w:kern w:val="0"/>
          <w:sz w:val="27"/>
          <w:szCs w:val="27"/>
          <w:lang w:eastAsia="en-IN" w:bidi="ar-SA"/>
          <w14:ligatures w14:val="none"/>
        </w:rPr>
        <w:t> synthetic inputs representing vectorized 2D SST fields. Next, the authors used a nonlinear function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F:R</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d</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→R</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:ℜ→ℜ</w:t>
      </w:r>
      <w:r w:rsidRPr="00D4005D">
        <w:rPr>
          <w:rFonts w:ascii="Times New Roman" w:eastAsia="Times New Roman" w:hAnsi="Times New Roman" w:cs="Times New Roman"/>
          <w:color w:val="333333"/>
          <w:kern w:val="0"/>
          <w:sz w:val="27"/>
          <w:szCs w:val="27"/>
          <w:lang w:eastAsia="en-IN" w:bidi="ar-SA"/>
          <w14:ligatures w14:val="none"/>
        </w:rPr>
        <w:t>, which represented the physical system, to map each realization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x</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n</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7"/>
          <w:szCs w:val="27"/>
          <w:lang w:eastAsia="en-IN" w:bidi="ar-SA"/>
          <w14:ligatures w14:val="none"/>
        </w:rPr>
        <w:t>into a scalar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y</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n</w:t>
      </w:r>
      <w:r w:rsidRPr="00D4005D">
        <w:rPr>
          <w:rFonts w:ascii="Times New Roman" w:eastAsia="Times New Roman" w:hAnsi="Times New Roman" w:cs="Times New Roman"/>
          <w:color w:val="333333"/>
          <w:kern w:val="0"/>
          <w:sz w:val="27"/>
          <w:szCs w:val="27"/>
          <w:lang w:eastAsia="en-IN" w:bidi="ar-SA"/>
          <w14:ligatures w14:val="none"/>
        </w:rPr>
        <w:t>, and generated the output random variable Y (see step 2 in Fig. </w:t>
      </w:r>
      <w:hyperlink r:id="rId171" w:anchor="Fig7" w:history="1">
        <w:r w:rsidRPr="00D4005D">
          <w:rPr>
            <w:rFonts w:ascii="Times New Roman" w:eastAsia="Times New Roman" w:hAnsi="Times New Roman" w:cs="Times New Roman"/>
            <w:color w:val="004B83"/>
            <w:kern w:val="0"/>
            <w:sz w:val="27"/>
            <w:szCs w:val="27"/>
            <w:u w:val="single"/>
            <w:lang w:eastAsia="en-IN" w:bidi="ar-SA"/>
            <w14:ligatures w14:val="none"/>
          </w:rPr>
          <w:t>7</w:t>
        </w:r>
      </w:hyperlink>
      <w:r w:rsidRPr="00D4005D">
        <w:rPr>
          <w:rFonts w:ascii="Times New Roman" w:eastAsia="Times New Roman" w:hAnsi="Times New Roman" w:cs="Times New Roman"/>
          <w:color w:val="333333"/>
          <w:kern w:val="0"/>
          <w:sz w:val="27"/>
          <w:szCs w:val="27"/>
          <w:lang w:eastAsia="en-IN" w:bidi="ar-SA"/>
          <w14:ligatures w14:val="none"/>
        </w:rPr>
        <w:t>); these synthetic outputs represented the series of the predictand climatic variable. Subsequently, the authors trained a fully-connected NN to approximate function </w:t>
      </w:r>
      <w:r w:rsidRPr="00D4005D">
        <w:rPr>
          <w:rFonts w:ascii="Times New Roman" w:eastAsia="Times New Roman" w:hAnsi="Times New Roman" w:cs="Times New Roman"/>
          <w:i/>
          <w:iCs/>
          <w:color w:val="333333"/>
          <w:kern w:val="0"/>
          <w:sz w:val="27"/>
          <w:szCs w:val="27"/>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and compare the model attributions estimated by different XAI methods with the ground truth of the attribution. The general idea of this framework is summarized in Fig. </w:t>
      </w:r>
      <w:hyperlink r:id="rId172" w:anchor="Fig7" w:history="1">
        <w:r w:rsidRPr="00D4005D">
          <w:rPr>
            <w:rFonts w:ascii="Times New Roman" w:eastAsia="Times New Roman" w:hAnsi="Times New Roman" w:cs="Times New Roman"/>
            <w:color w:val="004B83"/>
            <w:kern w:val="0"/>
            <w:sz w:val="27"/>
            <w:szCs w:val="27"/>
            <w:u w:val="single"/>
            <w:lang w:eastAsia="en-IN" w:bidi="ar-SA"/>
            <w14:ligatures w14:val="none"/>
          </w:rPr>
          <w:t>7</w:t>
        </w:r>
      </w:hyperlink>
      <w:r w:rsidRPr="00D4005D">
        <w:rPr>
          <w:rFonts w:ascii="Times New Roman" w:eastAsia="Times New Roman" w:hAnsi="Times New Roman" w:cs="Times New Roman"/>
          <w:color w:val="333333"/>
          <w:kern w:val="0"/>
          <w:sz w:val="27"/>
          <w:szCs w:val="27"/>
          <w:lang w:eastAsia="en-IN" w:bidi="ar-SA"/>
          <w14:ligatures w14:val="none"/>
        </w:rPr>
        <w:t xml:space="preserve">, and although the dataset was inspired from a climate </w:t>
      </w:r>
      <w:r w:rsidRPr="00D4005D">
        <w:rPr>
          <w:rFonts w:ascii="Times New Roman" w:eastAsia="Times New Roman" w:hAnsi="Times New Roman" w:cs="Times New Roman"/>
          <w:color w:val="333333"/>
          <w:kern w:val="0"/>
          <w:sz w:val="27"/>
          <w:szCs w:val="27"/>
          <w:lang w:eastAsia="en-IN" w:bidi="ar-SA"/>
          <w14:ligatures w14:val="none"/>
        </w:rPr>
        <w:lastRenderedPageBreak/>
        <w:t>prediction setting, the concept of attribution benchmarks is generic and applicable to a large number of problem settings in the geosciences and beyond.</w:t>
      </w:r>
    </w:p>
    <w:p w14:paraId="7B73BA86" w14:textId="12EEE27D" w:rsidR="006C4AAD" w:rsidRPr="00D4005D" w:rsidRDefault="006C4AAD" w:rsidP="00D4005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Regarding the form of function </w:t>
      </w:r>
      <w:r w:rsidRPr="00D4005D">
        <w:rPr>
          <w:rFonts w:ascii="Times New Roman" w:eastAsia="Times New Roman" w:hAnsi="Times New Roman" w:cs="Times New Roman"/>
          <w:i/>
          <w:iCs/>
          <w:color w:val="333333"/>
          <w:kern w:val="0"/>
          <w:sz w:val="27"/>
          <w:szCs w:val="27"/>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that is used to generate the variable Y from </w:t>
      </w:r>
      <w:r w:rsidRPr="00D4005D">
        <w:rPr>
          <w:rFonts w:ascii="Times New Roman" w:eastAsia="Times New Roman" w:hAnsi="Times New Roman" w:cs="Times New Roman"/>
          <w:b/>
          <w:bCs/>
          <w:color w:val="333333"/>
          <w:kern w:val="0"/>
          <w:sz w:val="27"/>
          <w:szCs w:val="27"/>
          <w:lang w:eastAsia="en-IN" w:bidi="ar-SA"/>
          <w14:ligatures w14:val="none"/>
        </w:rPr>
        <w:t>X</w:t>
      </w:r>
      <w:r w:rsidRPr="00D4005D">
        <w:rPr>
          <w:rFonts w:ascii="Times New Roman" w:eastAsia="Times New Roman" w:hAnsi="Times New Roman" w:cs="Times New Roman"/>
          <w:color w:val="333333"/>
          <w:kern w:val="0"/>
          <w:sz w:val="27"/>
          <w:szCs w:val="27"/>
          <w:lang w:eastAsia="en-IN" w:bidi="ar-SA"/>
          <w14:ligatures w14:val="none"/>
        </w:rPr>
        <w:t>, Mamalakis et al. claimed that it can be of an arbitrary choice, as long as it has such a form so that the importance/contribution of each of the input variables to the response Y is objectively derivable. The simplest form for </w:t>
      </w:r>
      <w:r w:rsidRPr="00D4005D">
        <w:rPr>
          <w:rFonts w:ascii="Times New Roman" w:eastAsia="Times New Roman" w:hAnsi="Times New Roman" w:cs="Times New Roman"/>
          <w:i/>
          <w:iCs/>
          <w:color w:val="333333"/>
          <w:kern w:val="0"/>
          <w:sz w:val="27"/>
          <w:szCs w:val="27"/>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so that the above property is honored is when </w:t>
      </w:r>
      <w:r w:rsidRPr="00D4005D">
        <w:rPr>
          <w:rFonts w:ascii="Times New Roman" w:eastAsia="Times New Roman" w:hAnsi="Times New Roman" w:cs="Times New Roman"/>
          <w:i/>
          <w:iCs/>
          <w:color w:val="333333"/>
          <w:kern w:val="0"/>
          <w:sz w:val="27"/>
          <w:szCs w:val="27"/>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is an </w:t>
      </w:r>
      <w:r w:rsidRPr="00D4005D">
        <w:rPr>
          <w:rFonts w:ascii="Times New Roman" w:eastAsia="Times New Roman" w:hAnsi="Times New Roman" w:cs="Times New Roman"/>
          <w:i/>
          <w:iCs/>
          <w:color w:val="333333"/>
          <w:kern w:val="0"/>
          <w:sz w:val="27"/>
          <w:szCs w:val="27"/>
          <w:lang w:eastAsia="en-IN" w:bidi="ar-SA"/>
          <w14:ligatures w14:val="none"/>
        </w:rPr>
        <w:t>additively separable function</w:t>
      </w:r>
      <w:r w:rsidRPr="00D4005D">
        <w:rPr>
          <w:rFonts w:ascii="Times New Roman" w:eastAsia="Times New Roman" w:hAnsi="Times New Roman" w:cs="Times New Roman"/>
          <w:color w:val="333333"/>
          <w:kern w:val="0"/>
          <w:sz w:val="27"/>
          <w:szCs w:val="27"/>
          <w:lang w:eastAsia="en-IN" w:bidi="ar-SA"/>
          <w14:ligatures w14:val="none"/>
        </w:rPr>
        <w:t>, i.e. there exist local functions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C</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i</w:t>
      </w:r>
    </w:p>
    <w:p w14:paraId="21C7A7B5" w14:textId="77777777" w:rsidR="006C4AAD" w:rsidRPr="00D4005D" w:rsidRDefault="006C4AAD" w:rsidP="006C4AAD">
      <w:pPr>
        <w:shd w:val="clear" w:color="auto" w:fill="FCFCFC"/>
        <w:spacing w:line="240" w:lineRule="auto"/>
        <w:jc w:val="right"/>
        <w:textAlignment w:val="center"/>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(1)</w:t>
      </w:r>
    </w:p>
    <w:p w14:paraId="03799C81" w14:textId="70B914D9"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where,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X</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i</w:t>
      </w:r>
      <w:r w:rsidRPr="00D4005D">
        <w:rPr>
          <w:rFonts w:ascii="Times New Roman" w:eastAsia="Times New Roman" w:hAnsi="Times New Roman" w:cs="Times New Roman"/>
          <w:color w:val="333333"/>
          <w:kern w:val="0"/>
          <w:sz w:val="27"/>
          <w:szCs w:val="27"/>
          <w:lang w:eastAsia="en-IN" w:bidi="ar-SA"/>
          <w14:ligatures w14:val="none"/>
        </w:rPr>
        <w:t> is the random variable at grid point i, and the local functions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C</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i</w:t>
      </w:r>
      <w:r w:rsidRPr="00D4005D">
        <w:rPr>
          <w:rFonts w:ascii="Times New Roman" w:eastAsia="Times New Roman" w:hAnsi="Times New Roman" w:cs="Times New Roman"/>
          <w:color w:val="333333"/>
          <w:kern w:val="0"/>
          <w:sz w:val="27"/>
          <w:szCs w:val="27"/>
          <w:lang w:eastAsia="en-IN" w:bidi="ar-SA"/>
          <w14:ligatures w14:val="none"/>
        </w:rPr>
        <w:t> are nonlinear; if the local functions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C</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i</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7"/>
          <w:szCs w:val="27"/>
          <w:lang w:eastAsia="en-IN" w:bidi="ar-SA"/>
          <w14:ligatures w14:val="none"/>
        </w:rPr>
        <w:t>are linear, Eq. </w:t>
      </w:r>
      <w:hyperlink r:id="rId173" w:anchor="Equ1" w:history="1">
        <w:r w:rsidRPr="00D4005D">
          <w:rPr>
            <w:rFonts w:ascii="Times New Roman" w:eastAsia="Times New Roman" w:hAnsi="Times New Roman" w:cs="Times New Roman"/>
            <w:color w:val="004B83"/>
            <w:kern w:val="0"/>
            <w:sz w:val="27"/>
            <w:szCs w:val="27"/>
            <w:u w:val="single"/>
            <w:lang w:eastAsia="en-IN" w:bidi="ar-SA"/>
            <w14:ligatures w14:val="none"/>
          </w:rPr>
          <w:t>1</w:t>
        </w:r>
      </w:hyperlink>
      <w:r w:rsidRPr="00D4005D">
        <w:rPr>
          <w:rFonts w:ascii="Times New Roman" w:eastAsia="Times New Roman" w:hAnsi="Times New Roman" w:cs="Times New Roman"/>
          <w:color w:val="333333"/>
          <w:kern w:val="0"/>
          <w:sz w:val="27"/>
          <w:szCs w:val="27"/>
          <w:lang w:eastAsia="en-IN" w:bidi="ar-SA"/>
          <w14:ligatures w14:val="none"/>
        </w:rPr>
        <w:t> falls back to a trivial linear problem, which is not particularly interesting to benchmark a NN or an XAI method against. Mamalakis et al., defined the local functions to be piece-wise linear functions, with number of break points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K=5</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w:t>
      </w:r>
      <w:r w:rsidRPr="00D4005D">
        <w:rPr>
          <w:rFonts w:ascii="Times New Roman" w:eastAsia="Times New Roman" w:hAnsi="Times New Roman" w:cs="Times New Roman"/>
          <w:color w:val="333333"/>
          <w:kern w:val="0"/>
          <w:sz w:val="27"/>
          <w:szCs w:val="27"/>
          <w:lang w:eastAsia="en-IN" w:bidi="ar-SA"/>
          <w14:ligatures w14:val="none"/>
        </w:rPr>
        <w:t xml:space="preserve"> The break points and the slopes between the break points were chosen randomly for each grid point (see the original paper for more information). Importantly, with </w:t>
      </w:r>
      <w:r w:rsidRPr="00D4005D">
        <w:rPr>
          <w:rFonts w:ascii="Times New Roman" w:eastAsia="Times New Roman" w:hAnsi="Times New Roman" w:cs="Times New Roman"/>
          <w:i/>
          <w:iCs/>
          <w:color w:val="333333"/>
          <w:kern w:val="0"/>
          <w:sz w:val="27"/>
          <w:szCs w:val="27"/>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being an additively separable function as in Eq. </w:t>
      </w:r>
      <w:hyperlink r:id="rId174" w:anchor="Equ1" w:history="1">
        <w:r w:rsidRPr="00D4005D">
          <w:rPr>
            <w:rFonts w:ascii="Times New Roman" w:eastAsia="Times New Roman" w:hAnsi="Times New Roman" w:cs="Times New Roman"/>
            <w:color w:val="004B83"/>
            <w:kern w:val="0"/>
            <w:sz w:val="27"/>
            <w:szCs w:val="27"/>
            <w:u w:val="single"/>
            <w:lang w:eastAsia="en-IN" w:bidi="ar-SA"/>
            <w14:ligatures w14:val="none"/>
          </w:rPr>
          <w:t>1</w:t>
        </w:r>
      </w:hyperlink>
      <w:r w:rsidRPr="00D4005D">
        <w:rPr>
          <w:rFonts w:ascii="Times New Roman" w:eastAsia="Times New Roman" w:hAnsi="Times New Roman" w:cs="Times New Roman"/>
          <w:color w:val="333333"/>
          <w:kern w:val="0"/>
          <w:sz w:val="27"/>
          <w:szCs w:val="27"/>
          <w:lang w:eastAsia="en-IN" w:bidi="ar-SA"/>
          <w14:ligatures w14:val="none"/>
        </w:rPr>
        <w:t>, the relevance/contribution of each of the variables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X</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i</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7"/>
          <w:szCs w:val="27"/>
          <w:lang w:eastAsia="en-IN" w:bidi="ar-SA"/>
          <w14:ligatures w14:val="none"/>
        </w:rPr>
        <w:t>to the response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y</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n</w:t>
      </w:r>
      <w:r w:rsidRPr="00D4005D">
        <w:rPr>
          <w:rFonts w:ascii="Times New Roman" w:eastAsia="Times New Roman" w:hAnsi="Times New Roman" w:cs="Times New Roman"/>
          <w:color w:val="333333"/>
          <w:kern w:val="0"/>
          <w:sz w:val="27"/>
          <w:szCs w:val="27"/>
          <w:lang w:eastAsia="en-IN" w:bidi="ar-SA"/>
          <w14:ligatures w14:val="none"/>
        </w:rPr>
        <w:t> for any sample </w:t>
      </w:r>
      <w:r w:rsidRPr="00D4005D">
        <w:rPr>
          <w:rFonts w:ascii="Times New Roman" w:eastAsia="Times New Roman" w:hAnsi="Times New Roman" w:cs="Times New Roman"/>
          <w:i/>
          <w:iCs/>
          <w:color w:val="333333"/>
          <w:kern w:val="0"/>
          <w:sz w:val="27"/>
          <w:szCs w:val="27"/>
          <w:lang w:eastAsia="en-IN" w:bidi="ar-SA"/>
          <w14:ligatures w14:val="none"/>
        </w:rPr>
        <w:t>n</w:t>
      </w:r>
      <w:r w:rsidRPr="00D4005D">
        <w:rPr>
          <w:rFonts w:ascii="Times New Roman" w:eastAsia="Times New Roman" w:hAnsi="Times New Roman" w:cs="Times New Roman"/>
          <w:color w:val="333333"/>
          <w:kern w:val="0"/>
          <w:sz w:val="27"/>
          <w:szCs w:val="27"/>
          <w:lang w:eastAsia="en-IN" w:bidi="ar-SA"/>
          <w14:ligatures w14:val="none"/>
        </w:rPr>
        <w:t>, is by definition equal to the value of the corresponding local function, that is when considering a zero baseline. This satisfies the basic desired property for </w:t>
      </w:r>
      <w:r w:rsidRPr="00D4005D">
        <w:rPr>
          <w:rFonts w:ascii="Times New Roman" w:eastAsia="Times New Roman" w:hAnsi="Times New Roman" w:cs="Times New Roman"/>
          <w:i/>
          <w:iCs/>
          <w:color w:val="333333"/>
          <w:kern w:val="0"/>
          <w:sz w:val="27"/>
          <w:szCs w:val="27"/>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that any response can be objectively attributed to the input.</w:t>
      </w:r>
    </w:p>
    <w:p w14:paraId="4A95D09B"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319D8928"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6B75BADB" w14:textId="327249E1" w:rsidR="006C4AAD" w:rsidRPr="00D4005D" w:rsidRDefault="006C4AA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r w:rsidRPr="00D4005D">
        <w:rPr>
          <w:rFonts w:ascii="Times New Roman" w:eastAsia="Times New Roman" w:hAnsi="Times New Roman" w:cs="Times New Roman"/>
          <w:b/>
          <w:bCs/>
          <w:color w:val="333333"/>
          <w:kern w:val="0"/>
          <w:sz w:val="27"/>
          <w:szCs w:val="27"/>
          <w:lang w:eastAsia="en-IN" w:bidi="ar-SA"/>
          <w14:ligatures w14:val="none"/>
        </w:rPr>
        <w:t>Fig. 7.</w:t>
      </w:r>
    </w:p>
    <w:p w14:paraId="57C3B6F8" w14:textId="77777777" w:rsidR="00D4005D" w:rsidRPr="00D4005D" w:rsidRDefault="00D4005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p>
    <w:p w14:paraId="1E8E5407"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noProof/>
          <w:color w:val="004B83"/>
          <w:kern w:val="0"/>
          <w:sz w:val="27"/>
          <w:szCs w:val="27"/>
          <w:lang w:eastAsia="en-IN" w:bidi="ar-SA"/>
          <w14:ligatures w14:val="none"/>
        </w:rPr>
        <w:drawing>
          <wp:inline distT="0" distB="0" distL="0" distR="0" wp14:anchorId="73189DF5" wp14:editId="1270AFBA">
            <wp:extent cx="5731510" cy="3589020"/>
            <wp:effectExtent l="0" t="0" r="2540" b="0"/>
            <wp:docPr id="12" name="Picture 12" descr="figure 7">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7">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553A5CBE" w14:textId="03C02AB7" w:rsidR="006C4AAD" w:rsidRPr="00D4005D" w:rsidRDefault="006C4AAD" w:rsidP="006C4AAD">
      <w:pPr>
        <w:shd w:val="clear" w:color="auto" w:fill="FCFCFC"/>
        <w:spacing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lastRenderedPageBreak/>
        <w:t>Schematic overview of the framework to generate synthetic attribution benchmarks. In step 1, </w:t>
      </w:r>
      <w:r w:rsidRPr="00D4005D">
        <w:rPr>
          <w:rFonts w:ascii="Times New Roman" w:eastAsia="Times New Roman" w:hAnsi="Times New Roman" w:cs="Times New Roman"/>
          <w:i/>
          <w:iCs/>
          <w:color w:val="333333"/>
          <w:kern w:val="0"/>
          <w:sz w:val="27"/>
          <w:szCs w:val="27"/>
          <w:lang w:eastAsia="en-IN" w:bidi="ar-SA"/>
          <w14:ligatures w14:val="none"/>
        </w:rPr>
        <w:t>N</w:t>
      </w:r>
      <w:r w:rsidRPr="00D4005D">
        <w:rPr>
          <w:rFonts w:ascii="Times New Roman" w:eastAsia="Times New Roman" w:hAnsi="Times New Roman" w:cs="Times New Roman"/>
          <w:color w:val="333333"/>
          <w:kern w:val="0"/>
          <w:sz w:val="27"/>
          <w:szCs w:val="27"/>
          <w:lang w:eastAsia="en-IN" w:bidi="ar-SA"/>
          <w14:ligatures w14:val="none"/>
        </w:rPr>
        <w:t> independent realizations of a random vector </w:t>
      </w:r>
      <w:r w:rsidRPr="00D4005D">
        <w:rPr>
          <w:rFonts w:ascii="Times New Roman" w:eastAsia="Times New Roman" w:hAnsi="Times New Roman" w:cs="Times New Roman"/>
          <w:b/>
          <w:bCs/>
          <w:color w:val="333333"/>
          <w:kern w:val="0"/>
          <w:sz w:val="27"/>
          <w:szCs w:val="27"/>
          <w:lang w:eastAsia="en-IN" w:bidi="ar-SA"/>
          <w14:ligatures w14:val="none"/>
        </w:rPr>
        <w:t>X</w:t>
      </w:r>
      <w:r w:rsidRPr="00D4005D">
        <w:rPr>
          <w:rFonts w:ascii="Times New Roman" w:eastAsia="Times New Roman" w:hAnsi="Times New Roman" w:cs="Times New Roman"/>
          <w:color w:val="333333"/>
          <w:kern w:val="0"/>
          <w:sz w:val="27"/>
          <w:szCs w:val="27"/>
          <w:lang w:eastAsia="en-IN" w:bidi="ar-SA"/>
          <w14:ligatures w14:val="none"/>
        </w:rPr>
        <w:t> </w:t>
      </w:r>
      <w:r w:rsidRPr="00D4005D">
        <w:rPr>
          <w:rFonts w:ascii="Cambria Math" w:eastAsia="Times New Roman" w:hAnsi="Cambria Math" w:cs="Cambria Math"/>
          <w:color w:val="333333"/>
          <w:kern w:val="0"/>
          <w:sz w:val="26"/>
          <w:szCs w:val="26"/>
          <w:bdr w:val="none" w:sz="0" w:space="0" w:color="auto" w:frame="1"/>
          <w:lang w:eastAsia="en-IN" w:bidi="ar-SA"/>
          <w14:ligatures w14:val="none"/>
        </w:rPr>
        <w:t>∈</w:t>
      </w:r>
      <w:r w:rsidRPr="00D4005D">
        <w:rPr>
          <w:rFonts w:ascii="Times New Roman" w:eastAsia="Times New Roman" w:hAnsi="Times New Roman" w:cs="Times New Roman"/>
          <w:color w:val="333333"/>
          <w:kern w:val="0"/>
          <w:sz w:val="26"/>
          <w:szCs w:val="26"/>
          <w:bdr w:val="none" w:sz="0" w:space="0" w:color="auto" w:frame="1"/>
          <w:lang w:eastAsia="en-IN" w:bidi="ar-SA"/>
          <w14:ligatures w14:val="none"/>
        </w:rPr>
        <w:t>R</w:t>
      </w:r>
      <w:r w:rsidRPr="00D4005D">
        <w:rPr>
          <w:rFonts w:ascii="Times New Roman" w:eastAsia="Times New Roman" w:hAnsi="Times New Roman" w:cs="Times New Roman"/>
          <w:color w:val="333333"/>
          <w:kern w:val="0"/>
          <w:sz w:val="18"/>
          <w:szCs w:val="18"/>
          <w:bdr w:val="none" w:sz="0" w:space="0" w:color="auto" w:frame="1"/>
          <w:lang w:eastAsia="en-IN" w:bidi="ar-SA"/>
          <w14:ligatures w14:val="none"/>
        </w:rPr>
        <w:t>d</w:t>
      </w:r>
      <w:r w:rsidRPr="00D4005D">
        <w:rPr>
          <w:rFonts w:ascii="Cambria Math" w:eastAsia="Times New Roman" w:hAnsi="Cambria Math" w:cs="Cambria Math"/>
          <w:color w:val="333333"/>
          <w:kern w:val="0"/>
          <w:sz w:val="24"/>
          <w:szCs w:val="24"/>
          <w:bdr w:val="none" w:sz="0" w:space="0" w:color="auto" w:frame="1"/>
          <w:lang w:eastAsia="en-IN" w:bidi="ar-SA"/>
          <w14:ligatures w14:val="none"/>
        </w:rPr>
        <w:t>∈</w:t>
      </w:r>
      <w:r w:rsidRPr="00D4005D">
        <w:rPr>
          <w:rFonts w:ascii="Times New Roman" w:eastAsia="Times New Roman" w:hAnsi="Times New Roman" w:cs="Times New Roman"/>
          <w:color w:val="333333"/>
          <w:kern w:val="0"/>
          <w:sz w:val="24"/>
          <w:szCs w:val="24"/>
          <w:bdr w:val="none" w:sz="0" w:space="0" w:color="auto" w:frame="1"/>
          <w:lang w:eastAsia="en-IN" w:bidi="ar-SA"/>
          <w14:ligatures w14:val="none"/>
        </w:rPr>
        <w:t>ℜ</w:t>
      </w:r>
      <w:r w:rsidRPr="00D4005D">
        <w:rPr>
          <w:rFonts w:ascii="Times New Roman" w:eastAsia="Times New Roman" w:hAnsi="Times New Roman" w:cs="Times New Roman"/>
          <w:color w:val="333333"/>
          <w:kern w:val="0"/>
          <w:sz w:val="27"/>
          <w:szCs w:val="27"/>
          <w:lang w:eastAsia="en-IN" w:bidi="ar-SA"/>
          <w14:ligatures w14:val="none"/>
        </w:rPr>
        <w:t> are generated from a multivariate Normal Distribution. In step 2, a response Y </w:t>
      </w:r>
      <w:r w:rsidRPr="00D4005D">
        <w:rPr>
          <w:rFonts w:ascii="Cambria Math" w:eastAsia="Times New Roman" w:hAnsi="Cambria Math" w:cs="Cambria Math"/>
          <w:color w:val="333333"/>
          <w:kern w:val="0"/>
          <w:sz w:val="26"/>
          <w:szCs w:val="26"/>
          <w:bdr w:val="none" w:sz="0" w:space="0" w:color="auto" w:frame="1"/>
          <w:lang w:eastAsia="en-IN" w:bidi="ar-SA"/>
          <w14:ligatures w14:val="none"/>
        </w:rPr>
        <w:t>∈</w:t>
      </w:r>
      <w:r w:rsidRPr="00D4005D">
        <w:rPr>
          <w:rFonts w:ascii="Times New Roman" w:eastAsia="Times New Roman" w:hAnsi="Times New Roman" w:cs="Times New Roman"/>
          <w:color w:val="333333"/>
          <w:kern w:val="0"/>
          <w:sz w:val="26"/>
          <w:szCs w:val="26"/>
          <w:bdr w:val="none" w:sz="0" w:space="0" w:color="auto" w:frame="1"/>
          <w:lang w:eastAsia="en-IN" w:bidi="ar-SA"/>
          <w14:ligatures w14:val="none"/>
        </w:rPr>
        <w:t>R</w:t>
      </w:r>
      <w:r w:rsidRPr="00D4005D">
        <w:rPr>
          <w:rFonts w:ascii="Times New Roman" w:eastAsia="Times New Roman" w:hAnsi="Times New Roman" w:cs="Times New Roman"/>
          <w:color w:val="333333"/>
          <w:kern w:val="0"/>
          <w:sz w:val="18"/>
          <w:szCs w:val="18"/>
          <w:bdr w:val="none" w:sz="0" w:space="0" w:color="auto" w:frame="1"/>
          <w:lang w:eastAsia="en-IN" w:bidi="ar-SA"/>
          <w14:ligatures w14:val="none"/>
        </w:rPr>
        <w:t>d</w:t>
      </w:r>
      <w:r w:rsidRPr="00D4005D">
        <w:rPr>
          <w:rFonts w:ascii="Cambria Math" w:eastAsia="Times New Roman" w:hAnsi="Cambria Math" w:cs="Cambria Math"/>
          <w:color w:val="333333"/>
          <w:kern w:val="0"/>
          <w:sz w:val="24"/>
          <w:szCs w:val="24"/>
          <w:bdr w:val="none" w:sz="0" w:space="0" w:color="auto" w:frame="1"/>
          <w:lang w:eastAsia="en-IN" w:bidi="ar-SA"/>
          <w14:ligatures w14:val="none"/>
        </w:rPr>
        <w:t>∈</w:t>
      </w:r>
      <w:r w:rsidRPr="00D4005D">
        <w:rPr>
          <w:rFonts w:ascii="Times New Roman" w:eastAsia="Times New Roman" w:hAnsi="Times New Roman" w:cs="Times New Roman"/>
          <w:color w:val="333333"/>
          <w:kern w:val="0"/>
          <w:sz w:val="24"/>
          <w:szCs w:val="24"/>
          <w:bdr w:val="none" w:sz="0" w:space="0" w:color="auto" w:frame="1"/>
          <w:lang w:eastAsia="en-IN" w:bidi="ar-SA"/>
          <w14:ligatures w14:val="none"/>
        </w:rPr>
        <w:t>ℜ</w:t>
      </w:r>
      <w:r w:rsidRPr="00D4005D">
        <w:rPr>
          <w:rFonts w:ascii="Times New Roman" w:eastAsia="Times New Roman" w:hAnsi="Times New Roman" w:cs="Times New Roman"/>
          <w:color w:val="333333"/>
          <w:kern w:val="0"/>
          <w:sz w:val="27"/>
          <w:szCs w:val="27"/>
          <w:lang w:eastAsia="en-IN" w:bidi="ar-SA"/>
          <w14:ligatures w14:val="none"/>
        </w:rPr>
        <w:t> to the synthetic input </w:t>
      </w:r>
      <w:r w:rsidRPr="00D4005D">
        <w:rPr>
          <w:rFonts w:ascii="Times New Roman" w:eastAsia="Times New Roman" w:hAnsi="Times New Roman" w:cs="Times New Roman"/>
          <w:b/>
          <w:bCs/>
          <w:color w:val="333333"/>
          <w:kern w:val="0"/>
          <w:sz w:val="27"/>
          <w:szCs w:val="27"/>
          <w:lang w:eastAsia="en-IN" w:bidi="ar-SA"/>
          <w14:ligatures w14:val="none"/>
        </w:rPr>
        <w:t>X</w:t>
      </w:r>
      <w:r w:rsidRPr="00D4005D">
        <w:rPr>
          <w:rFonts w:ascii="Times New Roman" w:eastAsia="Times New Roman" w:hAnsi="Times New Roman" w:cs="Times New Roman"/>
          <w:color w:val="333333"/>
          <w:kern w:val="0"/>
          <w:sz w:val="27"/>
          <w:szCs w:val="27"/>
          <w:lang w:eastAsia="en-IN" w:bidi="ar-SA"/>
          <w14:ligatures w14:val="none"/>
        </w:rPr>
        <w:t> is generated using a known nonlinear function </w:t>
      </w:r>
      <w:r w:rsidRPr="00D4005D">
        <w:rPr>
          <w:rFonts w:ascii="Times New Roman" w:eastAsia="Times New Roman" w:hAnsi="Times New Roman" w:cs="Times New Roman"/>
          <w:i/>
          <w:iCs/>
          <w:color w:val="333333"/>
          <w:kern w:val="0"/>
          <w:sz w:val="27"/>
          <w:szCs w:val="27"/>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In step 3, a fully-connected NN is trained using the synthetic data </w:t>
      </w:r>
      <w:r w:rsidRPr="00D4005D">
        <w:rPr>
          <w:rFonts w:ascii="Times New Roman" w:eastAsia="Times New Roman" w:hAnsi="Times New Roman" w:cs="Times New Roman"/>
          <w:b/>
          <w:bCs/>
          <w:color w:val="333333"/>
          <w:kern w:val="0"/>
          <w:sz w:val="27"/>
          <w:szCs w:val="27"/>
          <w:lang w:eastAsia="en-IN" w:bidi="ar-SA"/>
          <w14:ligatures w14:val="none"/>
        </w:rPr>
        <w:t>X</w:t>
      </w:r>
      <w:r w:rsidRPr="00D4005D">
        <w:rPr>
          <w:rFonts w:ascii="Times New Roman" w:eastAsia="Times New Roman" w:hAnsi="Times New Roman" w:cs="Times New Roman"/>
          <w:color w:val="333333"/>
          <w:kern w:val="0"/>
          <w:sz w:val="27"/>
          <w:szCs w:val="27"/>
          <w:lang w:eastAsia="en-IN" w:bidi="ar-SA"/>
          <w14:ligatures w14:val="none"/>
        </w:rPr>
        <w:t> and Y to approximate the function </w:t>
      </w:r>
      <w:r w:rsidRPr="00D4005D">
        <w:rPr>
          <w:rFonts w:ascii="Times New Roman" w:eastAsia="Times New Roman" w:hAnsi="Times New Roman" w:cs="Times New Roman"/>
          <w:i/>
          <w:iCs/>
          <w:color w:val="333333"/>
          <w:kern w:val="0"/>
          <w:sz w:val="27"/>
          <w:szCs w:val="27"/>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The NN learns a function </w:t>
      </w:r>
      <w:r w:rsidRPr="00D4005D">
        <w:rPr>
          <w:rFonts w:ascii="Times New Roman" w:eastAsia="Times New Roman" w:hAnsi="Times New Roman" w:cs="Times New Roman"/>
          <w:color w:val="333333"/>
          <w:kern w:val="0"/>
          <w:sz w:val="26"/>
          <w:szCs w:val="26"/>
          <w:bdr w:val="none" w:sz="0" w:space="0" w:color="auto" w:frame="1"/>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Lastly, in step 4, the attribution heatmaps estimated from different XAI methods are compared to the ground truth (that represents the function </w:t>
      </w:r>
      <w:r w:rsidRPr="00D4005D">
        <w:rPr>
          <w:rFonts w:ascii="Times New Roman" w:eastAsia="Times New Roman" w:hAnsi="Times New Roman" w:cs="Times New Roman"/>
          <w:i/>
          <w:iCs/>
          <w:color w:val="333333"/>
          <w:kern w:val="0"/>
          <w:sz w:val="27"/>
          <w:szCs w:val="27"/>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which has been objectively derived for any sample </w:t>
      </w:r>
      <w:r w:rsidRPr="00D4005D">
        <w:rPr>
          <w:rFonts w:ascii="Times New Roman" w:eastAsia="Times New Roman" w:hAnsi="Times New Roman" w:cs="Times New Roman"/>
          <w:color w:val="333333"/>
          <w:kern w:val="0"/>
          <w:sz w:val="26"/>
          <w:szCs w:val="26"/>
          <w:bdr w:val="none" w:sz="0" w:space="0" w:color="auto" w:frame="1"/>
          <w:lang w:eastAsia="en-IN" w:bidi="ar-SA"/>
          <w14:ligatures w14:val="none"/>
        </w:rPr>
        <w:t>n=1,2,...,N</w:t>
      </w:r>
      <w:r w:rsidRPr="00D4005D">
        <w:rPr>
          <w:rFonts w:ascii="Times New Roman" w:eastAsia="Times New Roman" w:hAnsi="Times New Roman" w:cs="Times New Roman"/>
          <w:color w:val="333333"/>
          <w:kern w:val="0"/>
          <w:sz w:val="24"/>
          <w:szCs w:val="24"/>
          <w:bdr w:val="none" w:sz="0" w:space="0" w:color="auto" w:frame="1"/>
          <w:lang w:eastAsia="en-IN" w:bidi="ar-SA"/>
          <w14:ligatures w14:val="none"/>
        </w:rPr>
        <w:t>=1,2,...,</w:t>
      </w:r>
      <w:r w:rsidR="00D4005D" w:rsidRPr="00D4005D">
        <w:rPr>
          <w:rFonts w:ascii="Times New Roman" w:eastAsia="Times New Roman" w:hAnsi="Times New Roman" w:cs="Times New Roman"/>
          <w:color w:val="333333"/>
          <w:kern w:val="0"/>
          <w:sz w:val="24"/>
          <w:szCs w:val="24"/>
          <w:bdr w:val="none" w:sz="0" w:space="0" w:color="auto" w:frame="1"/>
          <w:lang w:eastAsia="en-IN" w:bidi="ar-SA"/>
          <w14:ligatures w14:val="none"/>
        </w:rPr>
        <w:t>n</w:t>
      </w:r>
      <w:r w:rsidRPr="00D4005D">
        <w:rPr>
          <w:rFonts w:ascii="Times New Roman" w:eastAsia="Times New Roman" w:hAnsi="Times New Roman" w:cs="Times New Roman"/>
          <w:color w:val="333333"/>
          <w:kern w:val="0"/>
          <w:sz w:val="27"/>
          <w:szCs w:val="27"/>
          <w:lang w:eastAsia="en-IN" w:bidi="ar-SA"/>
          <w14:ligatures w14:val="none"/>
        </w:rPr>
        <w:t>. Similar to Mamalakis et al., 2021 [</w:t>
      </w:r>
      <w:hyperlink r:id="rId177" w:anchor="ref-CR43" w:tooltip="Mamalakis, A., Ebert-Uphoff, I., Barnes, E.A.: Neural network attribution methods for problems in geoscience: a novel synthetic benchmark dataset. arXiv preprint &#10;                    arXiv:2103.10005&#10;                    &#10;                   (2021)" w:history="1">
        <w:r w:rsidRPr="00D4005D">
          <w:rPr>
            <w:rFonts w:ascii="Times New Roman" w:eastAsia="Times New Roman" w:hAnsi="Times New Roman" w:cs="Times New Roman"/>
            <w:color w:val="004B83"/>
            <w:kern w:val="0"/>
            <w:sz w:val="27"/>
            <w:szCs w:val="27"/>
            <w:u w:val="single"/>
            <w:lang w:eastAsia="en-IN" w:bidi="ar-SA"/>
            <w14:ligatures w14:val="none"/>
          </w:rPr>
          <w:t>43</w:t>
        </w:r>
      </w:hyperlink>
      <w:r w:rsidRPr="00D4005D">
        <w:rPr>
          <w:rFonts w:ascii="Times New Roman" w:eastAsia="Times New Roman" w:hAnsi="Times New Roman" w:cs="Times New Roman"/>
          <w:color w:val="333333"/>
          <w:kern w:val="0"/>
          <w:sz w:val="27"/>
          <w:szCs w:val="27"/>
          <w:lang w:eastAsia="en-IN" w:bidi="ar-SA"/>
          <w14:ligatures w14:val="none"/>
        </w:rPr>
        <w:t>].</w:t>
      </w:r>
    </w:p>
    <w:p w14:paraId="415F4147" w14:textId="77777777" w:rsidR="00B379E7" w:rsidRDefault="00B379E7" w:rsidP="006C4AAD">
      <w:pPr>
        <w:shd w:val="clear" w:color="auto" w:fill="FCFCFC"/>
        <w:spacing w:after="0" w:line="240" w:lineRule="auto"/>
        <w:rPr>
          <w:rFonts w:ascii="Times New Roman" w:hAnsi="Times New Roman" w:cs="Times New Roman"/>
        </w:rPr>
      </w:pPr>
    </w:p>
    <w:p w14:paraId="444B25B8" w14:textId="6BF216BD"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Mamalakis et al. generated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N=10</w:t>
      </w:r>
      <w:r w:rsidR="00D4005D"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6</w:t>
      </w:r>
      <w:r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=106</w:t>
      </w:r>
      <w:r w:rsidRPr="00D4005D">
        <w:rPr>
          <w:rFonts w:ascii="Times New Roman" w:eastAsia="Times New Roman" w:hAnsi="Times New Roman" w:cs="Times New Roman"/>
          <w:color w:val="333333"/>
          <w:kern w:val="0"/>
          <w:sz w:val="27"/>
          <w:szCs w:val="27"/>
          <w:lang w:eastAsia="en-IN" w:bidi="ar-SA"/>
          <w14:ligatures w14:val="none"/>
        </w:rPr>
        <w:t> samples of input and output and trained a fully connected NN to learn the function </w:t>
      </w:r>
      <w:r w:rsidRPr="00D4005D">
        <w:rPr>
          <w:rFonts w:ascii="Times New Roman" w:eastAsia="Times New Roman" w:hAnsi="Times New Roman" w:cs="Times New Roman"/>
          <w:i/>
          <w:iCs/>
          <w:color w:val="333333"/>
          <w:kern w:val="0"/>
          <w:sz w:val="27"/>
          <w:szCs w:val="27"/>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(see step 3 in Fig. </w:t>
      </w:r>
      <w:hyperlink r:id="rId178" w:anchor="Fig7" w:history="1">
        <w:r w:rsidRPr="00D4005D">
          <w:rPr>
            <w:rFonts w:ascii="Times New Roman" w:eastAsia="Times New Roman" w:hAnsi="Times New Roman" w:cs="Times New Roman"/>
            <w:color w:val="004B83"/>
            <w:kern w:val="0"/>
            <w:sz w:val="27"/>
            <w:szCs w:val="27"/>
            <w:u w:val="single"/>
            <w:lang w:eastAsia="en-IN" w:bidi="ar-SA"/>
            <w14:ligatures w14:val="none"/>
          </w:rPr>
          <w:t>7</w:t>
        </w:r>
      </w:hyperlink>
      <w:r w:rsidRPr="00D4005D">
        <w:rPr>
          <w:rFonts w:ascii="Times New Roman" w:eastAsia="Times New Roman" w:hAnsi="Times New Roman" w:cs="Times New Roman"/>
          <w:color w:val="333333"/>
          <w:kern w:val="0"/>
          <w:sz w:val="27"/>
          <w:szCs w:val="27"/>
          <w:lang w:eastAsia="en-IN" w:bidi="ar-SA"/>
          <w14:ligatures w14:val="none"/>
        </w:rPr>
        <w:t>), using the first 900,000 samples for training and the last 100,000 samples for testing. Apart from assessing the prediction performance, the testing samples were also used to assess the performance of different post hoc, local XAI methods. The sample size was on purpose chosen to be large compared to typical samples in climate prediction applications. In this way, the authors aimed to ensure that they could achieve an almost perfect training and establish a fair assessment of XAI methods; they wanted to ensure that any discrepancy between the ground truth of the attribution and the results of XAI methods came from systematic pitfalls in the XAI method and to a lesser degree from poor training of the NN. Indeed, the authors achieved a very high prediction performance, with the coefficient of determination of the NN prediction in the testing data being slightly higher than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R</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2</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=99%</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2=99%</w:t>
      </w:r>
      <w:r w:rsidRPr="00D4005D">
        <w:rPr>
          <w:rFonts w:ascii="Times New Roman" w:eastAsia="Times New Roman" w:hAnsi="Times New Roman" w:cs="Times New Roman"/>
          <w:color w:val="333333"/>
          <w:kern w:val="0"/>
          <w:sz w:val="27"/>
          <w:szCs w:val="27"/>
          <w:lang w:eastAsia="en-IN" w:bidi="ar-SA"/>
          <w14:ligatures w14:val="none"/>
        </w:rPr>
        <w:t>, which suggests that the NN could capture 99% of the variance in Y.</w:t>
      </w:r>
    </w:p>
    <w:p w14:paraId="11F2DA9D" w14:textId="77777777" w:rsidR="006C4AAD" w:rsidRPr="00D4005D" w:rsidRDefault="006C4AAD" w:rsidP="006C4AAD">
      <w:pPr>
        <w:shd w:val="clear" w:color="auto" w:fill="FCFCFC"/>
        <w:spacing w:after="120" w:line="240" w:lineRule="auto"/>
        <w:outlineLvl w:val="2"/>
        <w:rPr>
          <w:rFonts w:ascii="Times New Roman" w:eastAsia="Times New Roman" w:hAnsi="Times New Roman" w:cs="Times New Roman"/>
          <w:color w:val="222222"/>
          <w:kern w:val="0"/>
          <w:sz w:val="27"/>
          <w:szCs w:val="27"/>
          <w:lang w:eastAsia="en-IN" w:bidi="ar-SA"/>
          <w14:ligatures w14:val="none"/>
        </w:rPr>
      </w:pPr>
      <w:r w:rsidRPr="00D4005D">
        <w:rPr>
          <w:rFonts w:ascii="Times New Roman" w:eastAsia="Times New Roman" w:hAnsi="Times New Roman" w:cs="Times New Roman"/>
          <w:color w:val="222222"/>
          <w:kern w:val="0"/>
          <w:sz w:val="27"/>
          <w:szCs w:val="27"/>
          <w:lang w:eastAsia="en-IN" w:bidi="ar-SA"/>
          <w14:ligatures w14:val="none"/>
        </w:rPr>
        <w:t>3.2 Assessment of XAI Methods</w:t>
      </w:r>
    </w:p>
    <w:p w14:paraId="2CB9798D" w14:textId="7B4233EA"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For their assessment, Mamalakis et al. considered different post hoc, local XAI methods that have been commonly used in the literature. Specifically, the methods that were assessed included Gradient [</w:t>
      </w:r>
      <w:hyperlink r:id="rId179" w:anchor="ref-CR71" w:tooltip="Simonyan, K., Vedaldi, A., Zisserman, A.: Deep inside convolutional networks: visualising image classification models and saliency maps. arXiv preprint &#10;                    arXiv:1312.6034&#10;                    &#10;                   (2013)" w:history="1">
        <w:r w:rsidRPr="00D4005D">
          <w:rPr>
            <w:rFonts w:ascii="Times New Roman" w:eastAsia="Times New Roman" w:hAnsi="Times New Roman" w:cs="Times New Roman"/>
            <w:color w:val="004B83"/>
            <w:kern w:val="0"/>
            <w:sz w:val="27"/>
            <w:szCs w:val="27"/>
            <w:u w:val="single"/>
            <w:lang w:eastAsia="en-IN" w:bidi="ar-SA"/>
            <w14:ligatures w14:val="none"/>
          </w:rPr>
          <w:t>71</w:t>
        </w:r>
      </w:hyperlink>
      <w:r w:rsidRPr="00D4005D">
        <w:rPr>
          <w:rFonts w:ascii="Times New Roman" w:eastAsia="Times New Roman" w:hAnsi="Times New Roman" w:cs="Times New Roman"/>
          <w:color w:val="333333"/>
          <w:kern w:val="0"/>
          <w:sz w:val="27"/>
          <w:szCs w:val="27"/>
          <w:lang w:eastAsia="en-IN" w:bidi="ar-SA"/>
          <w14:ligatures w14:val="none"/>
        </w:rPr>
        <w:t>], Smooth Gradient [</w:t>
      </w:r>
      <w:hyperlink r:id="rId180" w:anchor="ref-CR73" w:tooltip="Smilkov, D., Thorat, N., Kim, B., Viégas, F., Wattenberg, M.: SmoothGrad: removing noise by adding noise. arXiv preprint &#10;                    arXiv:1706.03825&#10;                    &#10;                   (2017)" w:history="1">
        <w:r w:rsidRPr="00D4005D">
          <w:rPr>
            <w:rFonts w:ascii="Times New Roman" w:eastAsia="Times New Roman" w:hAnsi="Times New Roman" w:cs="Times New Roman"/>
            <w:color w:val="004B83"/>
            <w:kern w:val="0"/>
            <w:sz w:val="27"/>
            <w:szCs w:val="27"/>
            <w:u w:val="single"/>
            <w:lang w:eastAsia="en-IN" w:bidi="ar-SA"/>
            <w14:ligatures w14:val="none"/>
          </w:rPr>
          <w:t>73</w:t>
        </w:r>
      </w:hyperlink>
      <w:r w:rsidRPr="00D4005D">
        <w:rPr>
          <w:rFonts w:ascii="Times New Roman" w:eastAsia="Times New Roman" w:hAnsi="Times New Roman" w:cs="Times New Roman"/>
          <w:color w:val="333333"/>
          <w:kern w:val="0"/>
          <w:sz w:val="27"/>
          <w:szCs w:val="27"/>
          <w:lang w:eastAsia="en-IN" w:bidi="ar-SA"/>
          <w14:ligatures w14:val="none"/>
        </w:rPr>
        <w:t>], Input*Gradient [</w:t>
      </w:r>
      <w:hyperlink r:id="rId181" w:anchor="ref-CR70" w:tooltip="Shrikumar, A., Greenside, P., Shcherbina, A., Kundaje, A.: Not just a black box: learning important features through propagating activation differences. arXiv preprint &#10;                    arXiv:1605.01713&#10;                    &#10;                   (2016)" w:history="1">
        <w:r w:rsidRPr="00D4005D">
          <w:rPr>
            <w:rFonts w:ascii="Times New Roman" w:eastAsia="Times New Roman" w:hAnsi="Times New Roman" w:cs="Times New Roman"/>
            <w:color w:val="004B83"/>
            <w:kern w:val="0"/>
            <w:sz w:val="27"/>
            <w:szCs w:val="27"/>
            <w:u w:val="single"/>
            <w:lang w:eastAsia="en-IN" w:bidi="ar-SA"/>
            <w14:ligatures w14:val="none"/>
          </w:rPr>
          <w:t>70</w:t>
        </w:r>
      </w:hyperlink>
      <w:r w:rsidRPr="00D4005D">
        <w:rPr>
          <w:rFonts w:ascii="Times New Roman" w:eastAsia="Times New Roman" w:hAnsi="Times New Roman" w:cs="Times New Roman"/>
          <w:color w:val="333333"/>
          <w:kern w:val="0"/>
          <w:sz w:val="27"/>
          <w:szCs w:val="27"/>
          <w:lang w:eastAsia="en-IN" w:bidi="ar-SA"/>
          <w14:ligatures w14:val="none"/>
        </w:rPr>
        <w:t>], Intergradient Gradients [</w:t>
      </w:r>
      <w:hyperlink r:id="rId182" w:anchor="ref-CR77" w:tooltip="Sundararajan, M., Taly, A., Yan, Q.: Axiomatic attribution for deep networks. In: International Conference on Machine Learning, pp. 3319–3328. PMLR (2017)" w:history="1">
        <w:r w:rsidRPr="00D4005D">
          <w:rPr>
            <w:rFonts w:ascii="Times New Roman" w:eastAsia="Times New Roman" w:hAnsi="Times New Roman" w:cs="Times New Roman"/>
            <w:color w:val="004B83"/>
            <w:kern w:val="0"/>
            <w:sz w:val="27"/>
            <w:szCs w:val="27"/>
            <w:u w:val="single"/>
            <w:lang w:eastAsia="en-IN" w:bidi="ar-SA"/>
            <w14:ligatures w14:val="none"/>
          </w:rPr>
          <w:t>77</w:t>
        </w:r>
      </w:hyperlink>
      <w:r w:rsidRPr="00D4005D">
        <w:rPr>
          <w:rFonts w:ascii="Times New Roman" w:eastAsia="Times New Roman" w:hAnsi="Times New Roman" w:cs="Times New Roman"/>
          <w:color w:val="333333"/>
          <w:kern w:val="0"/>
          <w:sz w:val="27"/>
          <w:szCs w:val="27"/>
          <w:lang w:eastAsia="en-IN" w:bidi="ar-SA"/>
          <w14:ligatures w14:val="none"/>
        </w:rPr>
        <w:t>], Deep Taylor [</w:t>
      </w:r>
      <w:hyperlink r:id="rId183" w:anchor="ref-CR53" w:tooltip="Montavon, G., Lapuschkin, S., Binder, A., Samek, W., Müller, K.R.: Explaining nonlinear classification decisions with deep Taylor decomposition. Pattern Recogn. 65, 211–222 (2017)" w:history="1">
        <w:r w:rsidRPr="00D4005D">
          <w:rPr>
            <w:rFonts w:ascii="Times New Roman" w:eastAsia="Times New Roman" w:hAnsi="Times New Roman" w:cs="Times New Roman"/>
            <w:color w:val="004B83"/>
            <w:kern w:val="0"/>
            <w:sz w:val="27"/>
            <w:szCs w:val="27"/>
            <w:u w:val="single"/>
            <w:lang w:eastAsia="en-IN" w:bidi="ar-SA"/>
            <w14:ligatures w14:val="none"/>
          </w:rPr>
          <w:t>53</w:t>
        </w:r>
      </w:hyperlink>
      <w:r w:rsidRPr="00D4005D">
        <w:rPr>
          <w:rFonts w:ascii="Times New Roman" w:eastAsia="Times New Roman" w:hAnsi="Times New Roman" w:cs="Times New Roman"/>
          <w:color w:val="333333"/>
          <w:kern w:val="0"/>
          <w:sz w:val="27"/>
          <w:szCs w:val="27"/>
          <w:lang w:eastAsia="en-IN" w:bidi="ar-SA"/>
          <w14:ligatures w14:val="none"/>
        </w:rPr>
        <w:t>] and LRP [</w:t>
      </w:r>
      <w:hyperlink r:id="rId184" w:anchor="ref-CR4" w:tooltip="Bach, S., Binder, A., Montavon, G., Klauschen, F., Müller, K.R., Samek, W.: On pixel-wise explanations for non-linear classifier decisions by layer-wise relevance propagation. PLoS ONE 10(7), e0130140 (2015)" w:history="1">
        <w:r w:rsidRPr="00D4005D">
          <w:rPr>
            <w:rFonts w:ascii="Times New Roman" w:eastAsia="Times New Roman" w:hAnsi="Times New Roman" w:cs="Times New Roman"/>
            <w:color w:val="004B83"/>
            <w:kern w:val="0"/>
            <w:sz w:val="27"/>
            <w:szCs w:val="27"/>
            <w:u w:val="single"/>
            <w:lang w:eastAsia="en-IN" w:bidi="ar-SA"/>
            <w14:ligatures w14:val="none"/>
          </w:rPr>
          <w:t>4</w:t>
        </w:r>
      </w:hyperlink>
      <w:r w:rsidRPr="00D4005D">
        <w:rPr>
          <w:rFonts w:ascii="Times New Roman" w:eastAsia="Times New Roman" w:hAnsi="Times New Roman" w:cs="Times New Roman"/>
          <w:color w:val="333333"/>
          <w:kern w:val="0"/>
          <w:sz w:val="27"/>
          <w:szCs w:val="27"/>
          <w:lang w:eastAsia="en-IN" w:bidi="ar-SA"/>
          <w14:ligatures w14:val="none"/>
        </w:rPr>
        <w:t>]. In Fig. </w:t>
      </w:r>
      <w:hyperlink r:id="rId185" w:anchor="Fig8" w:history="1">
        <w:r w:rsidRPr="00D4005D">
          <w:rPr>
            <w:rFonts w:ascii="Times New Roman" w:eastAsia="Times New Roman" w:hAnsi="Times New Roman" w:cs="Times New Roman"/>
            <w:color w:val="004B83"/>
            <w:kern w:val="0"/>
            <w:sz w:val="27"/>
            <w:szCs w:val="27"/>
            <w:u w:val="single"/>
            <w:lang w:eastAsia="en-IN" w:bidi="ar-SA"/>
            <w14:ligatures w14:val="none"/>
          </w:rPr>
          <w:t>8</w:t>
        </w:r>
      </w:hyperlink>
      <w:r w:rsidRPr="00D4005D">
        <w:rPr>
          <w:rFonts w:ascii="Times New Roman" w:eastAsia="Times New Roman" w:hAnsi="Times New Roman" w:cs="Times New Roman"/>
          <w:color w:val="333333"/>
          <w:kern w:val="0"/>
          <w:sz w:val="27"/>
          <w:szCs w:val="27"/>
          <w:lang w:eastAsia="en-IN" w:bidi="ar-SA"/>
          <w14:ligatures w14:val="none"/>
        </w:rPr>
        <w:t>, we present the ground truth and the estimated relevance heatmaps from the XAI methods (each heatmap is standardized by the corresponding maximum absolute relevance within the map). This sample corresponds to a response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y</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n</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=0.0283</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7"/>
          <w:szCs w:val="27"/>
          <w:lang w:eastAsia="en-IN" w:bidi="ar-SA"/>
          <w14:ligatures w14:val="none"/>
        </w:rPr>
        <w:t>while the NN predicted 0.0301. Based on the ground truth, features that contributed positively to the response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y</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n</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7"/>
          <w:szCs w:val="27"/>
          <w:lang w:eastAsia="en-IN" w:bidi="ar-SA"/>
          <w14:ligatures w14:val="none"/>
        </w:rPr>
        <w:t>occur mainly over the northern, eastern tropical and southern Pacific Ocean, the northern Atlantic Ocean, and the Indian Ocean. Features with negative contribution occur over the tropical Atlantic Ocean and the southern Indian Ocean.</w:t>
      </w:r>
    </w:p>
    <w:p w14:paraId="6278D8C2"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The results from the method Gradient are not consistent at all with the ground truth. In the eastern tropical and southern Pacific Ocean, the method returns negative values instead of positive, and over the tropical Atlantic, positive values (instead of negative) are highlighted. The pattern (Spearman’s) correlation is very small on the order of 0.13, consistent with the above observations. As theoretically expected, this result indicates that the </w:t>
      </w:r>
      <w:r w:rsidRPr="00D4005D">
        <w:rPr>
          <w:rFonts w:ascii="Times New Roman" w:eastAsia="Times New Roman" w:hAnsi="Times New Roman" w:cs="Times New Roman"/>
          <w:i/>
          <w:iCs/>
          <w:color w:val="333333"/>
          <w:kern w:val="0"/>
          <w:sz w:val="27"/>
          <w:szCs w:val="27"/>
          <w:lang w:eastAsia="en-IN" w:bidi="ar-SA"/>
          <w14:ligatures w14:val="none"/>
        </w:rPr>
        <w:t>sensitivity</w:t>
      </w:r>
      <w:r w:rsidRPr="00D4005D">
        <w:rPr>
          <w:rFonts w:ascii="Times New Roman" w:eastAsia="Times New Roman" w:hAnsi="Times New Roman" w:cs="Times New Roman"/>
          <w:color w:val="333333"/>
          <w:kern w:val="0"/>
          <w:sz w:val="27"/>
          <w:szCs w:val="27"/>
          <w:lang w:eastAsia="en-IN" w:bidi="ar-SA"/>
          <w14:ligatures w14:val="none"/>
        </w:rPr>
        <w:t xml:space="preserve"> of the output to the input is not the </w:t>
      </w:r>
      <w:r w:rsidRPr="00D4005D">
        <w:rPr>
          <w:rFonts w:ascii="Times New Roman" w:eastAsia="Times New Roman" w:hAnsi="Times New Roman" w:cs="Times New Roman"/>
          <w:color w:val="333333"/>
          <w:kern w:val="0"/>
          <w:sz w:val="27"/>
          <w:szCs w:val="27"/>
          <w:lang w:eastAsia="en-IN" w:bidi="ar-SA"/>
          <w14:ligatures w14:val="none"/>
        </w:rPr>
        <w:lastRenderedPageBreak/>
        <w:t>same as the </w:t>
      </w:r>
      <w:r w:rsidRPr="00D4005D">
        <w:rPr>
          <w:rFonts w:ascii="Times New Roman" w:eastAsia="Times New Roman" w:hAnsi="Times New Roman" w:cs="Times New Roman"/>
          <w:i/>
          <w:iCs/>
          <w:color w:val="333333"/>
          <w:kern w:val="0"/>
          <w:sz w:val="27"/>
          <w:szCs w:val="27"/>
          <w:lang w:eastAsia="en-IN" w:bidi="ar-SA"/>
          <w14:ligatures w14:val="none"/>
        </w:rPr>
        <w:t>attribution</w:t>
      </w:r>
      <w:r w:rsidRPr="00D4005D">
        <w:rPr>
          <w:rFonts w:ascii="Times New Roman" w:eastAsia="Times New Roman" w:hAnsi="Times New Roman" w:cs="Times New Roman"/>
          <w:color w:val="333333"/>
          <w:kern w:val="0"/>
          <w:sz w:val="27"/>
          <w:szCs w:val="27"/>
          <w:lang w:eastAsia="en-IN" w:bidi="ar-SA"/>
          <w14:ligatures w14:val="none"/>
        </w:rPr>
        <w:t> of the output to the input [</w:t>
      </w:r>
      <w:hyperlink r:id="rId186" w:anchor="ref-CR3" w:tooltip="Ancona, M., Ceolini, E., Öztireli, C., Gross, M.: Gradient-based attribution methods. In: Samek, W., Montavon, G., Vedaldi, A., Hansen, L.K., Müller, K.-R. (eds.) Explainable AI: Interpreting, Explaining and Visualizing Deep Learning. LNCS (LNAI), vol. 11700, " w:history="1">
        <w:r w:rsidRPr="00D4005D">
          <w:rPr>
            <w:rFonts w:ascii="Times New Roman" w:eastAsia="Times New Roman" w:hAnsi="Times New Roman" w:cs="Times New Roman"/>
            <w:color w:val="004B83"/>
            <w:kern w:val="0"/>
            <w:sz w:val="27"/>
            <w:szCs w:val="27"/>
            <w:u w:val="single"/>
            <w:lang w:eastAsia="en-IN" w:bidi="ar-SA"/>
            <w14:ligatures w14:val="none"/>
          </w:rPr>
          <w:t>3</w:t>
        </w:r>
      </w:hyperlink>
      <w:r w:rsidRPr="00D4005D">
        <w:rPr>
          <w:rFonts w:ascii="Times New Roman" w:eastAsia="Times New Roman" w:hAnsi="Times New Roman" w:cs="Times New Roman"/>
          <w:color w:val="333333"/>
          <w:kern w:val="0"/>
          <w:sz w:val="27"/>
          <w:szCs w:val="27"/>
          <w:lang w:eastAsia="en-IN" w:bidi="ar-SA"/>
          <w14:ligatures w14:val="none"/>
        </w:rPr>
        <w:t>]. The method Smooth Gradient performs poorly and similarly to the method Gradient, with a correlation coefficient on the order of 0.16.</w:t>
      </w:r>
    </w:p>
    <w:p w14:paraId="534D2EF2"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0E7B955C"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29C66C26"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0FB1BAA0"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39D6538A"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16C8BF9A"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51206FB4" w14:textId="60A8FE82" w:rsidR="006C4AAD" w:rsidRPr="00D4005D" w:rsidRDefault="006C4AA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r w:rsidRPr="00D4005D">
        <w:rPr>
          <w:rFonts w:ascii="Times New Roman" w:eastAsia="Times New Roman" w:hAnsi="Times New Roman" w:cs="Times New Roman"/>
          <w:b/>
          <w:bCs/>
          <w:color w:val="333333"/>
          <w:kern w:val="0"/>
          <w:sz w:val="27"/>
          <w:szCs w:val="27"/>
          <w:lang w:eastAsia="en-IN" w:bidi="ar-SA"/>
          <w14:ligatures w14:val="none"/>
        </w:rPr>
        <w:t>Fig. 8.</w:t>
      </w:r>
    </w:p>
    <w:p w14:paraId="6E90169A" w14:textId="77777777" w:rsidR="00D4005D" w:rsidRPr="00D4005D" w:rsidRDefault="00D4005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p>
    <w:p w14:paraId="646A3570"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noProof/>
          <w:color w:val="004B83"/>
          <w:kern w:val="0"/>
          <w:sz w:val="27"/>
          <w:szCs w:val="27"/>
          <w:lang w:eastAsia="en-IN" w:bidi="ar-SA"/>
          <w14:ligatures w14:val="none"/>
        </w:rPr>
        <w:drawing>
          <wp:inline distT="0" distB="0" distL="0" distR="0" wp14:anchorId="08121F75" wp14:editId="3A4D776A">
            <wp:extent cx="5731510" cy="2444115"/>
            <wp:effectExtent l="0" t="0" r="2540" b="0"/>
            <wp:docPr id="11" name="Picture 11" descr="figure 8">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8">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1510" cy="2444115"/>
                    </a:xfrm>
                    <a:prstGeom prst="rect">
                      <a:avLst/>
                    </a:prstGeom>
                    <a:noFill/>
                    <a:ln>
                      <a:noFill/>
                    </a:ln>
                  </pic:spPr>
                </pic:pic>
              </a:graphicData>
            </a:graphic>
          </wp:inline>
        </w:drawing>
      </w:r>
    </w:p>
    <w:p w14:paraId="150E0A02" w14:textId="77777777" w:rsidR="00B379E7" w:rsidRDefault="00B379E7" w:rsidP="006C4AAD">
      <w:pPr>
        <w:shd w:val="clear" w:color="auto" w:fill="FCFCFC"/>
        <w:spacing w:line="240" w:lineRule="auto"/>
        <w:rPr>
          <w:rFonts w:ascii="Times New Roman" w:eastAsia="Times New Roman" w:hAnsi="Times New Roman" w:cs="Times New Roman"/>
          <w:color w:val="333333"/>
          <w:kern w:val="0"/>
          <w:sz w:val="27"/>
          <w:szCs w:val="27"/>
          <w:lang w:eastAsia="en-IN" w:bidi="ar-SA"/>
          <w14:ligatures w14:val="none"/>
        </w:rPr>
      </w:pPr>
    </w:p>
    <w:p w14:paraId="5990FCDA" w14:textId="7E581AEE" w:rsidR="006C4AAD" w:rsidRPr="00D4005D" w:rsidRDefault="006C4AAD" w:rsidP="006C4AAD">
      <w:pPr>
        <w:shd w:val="clear" w:color="auto" w:fill="FCFCFC"/>
        <w:spacing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Performance of different XAI methods. The XAI performance is assessed by comparing the estimated heatmaps to the ground truth. All heatmaps are standardized with the corresponding maximum (absolute) value. Red (blue) color corresponds to positive (negative) contribution to the response/prediction, with darker shading representing higher (absolute) values. The Spearman’s rank correlation coefficient between each heatmap and the ground truth is also provided. Only for the methods Deep Taylor and the correlation with the absolute ground truth is given. Similar to Mamalakis et al., 2021 [</w:t>
      </w:r>
      <w:hyperlink r:id="rId189" w:anchor="ref-CR43" w:tooltip="Mamalakis, A., Ebert-Uphoff, I., Barnes, E.A.: Neural network attribution methods for problems in geoscience: a novel synthetic benchmark dataset. arXiv preprint &#10;                    arXiv:2103.10005&#10;                    &#10;                   (2021)" w:history="1">
        <w:r w:rsidRPr="00D4005D">
          <w:rPr>
            <w:rFonts w:ascii="Times New Roman" w:eastAsia="Times New Roman" w:hAnsi="Times New Roman" w:cs="Times New Roman"/>
            <w:color w:val="004B83"/>
            <w:kern w:val="0"/>
            <w:sz w:val="27"/>
            <w:szCs w:val="27"/>
            <w:u w:val="single"/>
            <w:lang w:eastAsia="en-IN" w:bidi="ar-SA"/>
            <w14:ligatures w14:val="none"/>
          </w:rPr>
          <w:t>43</w:t>
        </w:r>
      </w:hyperlink>
      <w:r w:rsidRPr="00D4005D">
        <w:rPr>
          <w:rFonts w:ascii="Times New Roman" w:eastAsia="Times New Roman" w:hAnsi="Times New Roman" w:cs="Times New Roman"/>
          <w:color w:val="333333"/>
          <w:kern w:val="0"/>
          <w:sz w:val="27"/>
          <w:szCs w:val="27"/>
          <w:lang w:eastAsia="en-IN" w:bidi="ar-SA"/>
          <w14:ligatures w14:val="none"/>
        </w:rPr>
        <w:t>]. (Color figure online)</w:t>
      </w:r>
    </w:p>
    <w:p w14:paraId="232D5D8B" w14:textId="77777777" w:rsidR="00D4005D" w:rsidRPr="00D4005D" w:rsidRDefault="00D4005D" w:rsidP="006C4AAD">
      <w:pPr>
        <w:shd w:val="clear" w:color="auto" w:fill="FCFCFC"/>
        <w:spacing w:after="360" w:line="240" w:lineRule="auto"/>
        <w:rPr>
          <w:rFonts w:ascii="Times New Roman" w:hAnsi="Times New Roman" w:cs="Times New Roman"/>
        </w:rPr>
      </w:pPr>
    </w:p>
    <w:p w14:paraId="1E42ABEB" w14:textId="39A251EA"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Methods Input*Gradient and Integrated Gradients perform very similarly, both capturing the ground truth very closely. Indeed, both methods capture the positive patterns over eastern Pacific, northern Atlantic and the Indian Oceans, and to an extend the negative patterns over the tropical Atlantic and southern Indian Oceans. The Spearman’s correlation with the ground truth for both methods is on the order of 0.75, indicating the very high agreement.</w:t>
      </w:r>
    </w:p>
    <w:p w14:paraId="7ECA09C5" w14:textId="4D685478"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lastRenderedPageBreak/>
        <w:t>Regarding the LRP method, first, results confirm the arguments in [</w:t>
      </w:r>
      <w:hyperlink r:id="rId190" w:anchor="ref-CR53" w:tooltip="Montavon, G., Lapuschkin, S., Binder, A., Samek, W., Müller, K.R.: Explaining nonlinear classification decisions with deep Taylor decomposition. Pattern Recogn. 65, 211–222 (2017)" w:history="1">
        <w:r w:rsidRPr="00D4005D">
          <w:rPr>
            <w:rFonts w:ascii="Times New Roman" w:eastAsia="Times New Roman" w:hAnsi="Times New Roman" w:cs="Times New Roman"/>
            <w:color w:val="004B83"/>
            <w:kern w:val="0"/>
            <w:sz w:val="27"/>
            <w:szCs w:val="27"/>
            <w:u w:val="single"/>
            <w:lang w:eastAsia="en-IN" w:bidi="ar-SA"/>
            <w14:ligatures w14:val="none"/>
          </w:rPr>
          <w:t>53</w:t>
        </w:r>
      </w:hyperlink>
      <w:r w:rsidRPr="00D4005D">
        <w:rPr>
          <w:rFonts w:ascii="Times New Roman" w:eastAsia="Times New Roman" w:hAnsi="Times New Roman" w:cs="Times New Roman"/>
          <w:color w:val="333333"/>
          <w:kern w:val="0"/>
          <w:sz w:val="27"/>
          <w:szCs w:val="27"/>
          <w:lang w:eastAsia="en-IN" w:bidi="ar-SA"/>
          <w14:ligatures w14:val="none"/>
        </w:rPr>
        <w:t>, </w:t>
      </w:r>
      <w:hyperlink r:id="rId191" w:anchor="ref-CR65" w:tooltip="Samek, W., Montavon, G., Binder, A., Lapuschkin, S., Müller, K.R.: Interpreting the predictions of complex ml models by layer-wise relevance propagation. arXiv preprint &#10;                    arXiv:1611.08191&#10;                    &#10;                   (2016)" w:history="1">
        <w:r w:rsidRPr="00D4005D">
          <w:rPr>
            <w:rFonts w:ascii="Times New Roman" w:eastAsia="Times New Roman" w:hAnsi="Times New Roman" w:cs="Times New Roman"/>
            <w:color w:val="004B83"/>
            <w:kern w:val="0"/>
            <w:sz w:val="27"/>
            <w:szCs w:val="27"/>
            <w:u w:val="single"/>
            <w:lang w:eastAsia="en-IN" w:bidi="ar-SA"/>
            <w14:ligatures w14:val="none"/>
          </w:rPr>
          <w:t>65</w:t>
        </w:r>
      </w:hyperlink>
      <w:r w:rsidRPr="00D4005D">
        <w:rPr>
          <w:rFonts w:ascii="Times New Roman" w:eastAsia="Times New Roman" w:hAnsi="Times New Roman" w:cs="Times New Roman"/>
          <w:color w:val="333333"/>
          <w:kern w:val="0"/>
          <w:sz w:val="27"/>
          <w:szCs w:val="27"/>
          <w:lang w:eastAsia="en-IN" w:bidi="ar-SA"/>
          <w14:ligatures w14:val="none"/>
        </w:rPr>
        <w:t>], that the Deep Taylor leads to similar results with the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7"/>
          <w:szCs w:val="27"/>
          <w:lang w:eastAsia="en-IN" w:bidi="ar-SA"/>
          <w14:ligatures w14:val="none"/>
        </w:rPr>
        <w:t>, when a NN with ReLU activations is used. Second, both methods return only positive contributions. This was explained by Mamalakis et al. and is due to the fact that the propagation rule of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α=1,β=0</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7"/>
          <w:szCs w:val="27"/>
          <w:lang w:eastAsia="en-IN" w:bidi="ar-SA"/>
          <w14:ligatures w14:val="none"/>
        </w:rPr>
        <w:t>is performed based on the product of the relevance in the higher layer with a strictly positive number. Hence, the sign of the NN prediction is propagated back to all neurons and to all features of the input. Because the NN prediction is positive in Fig. </w:t>
      </w:r>
      <w:hyperlink r:id="rId192" w:anchor="Fig8" w:history="1">
        <w:r w:rsidRPr="00D4005D">
          <w:rPr>
            <w:rFonts w:ascii="Times New Roman" w:eastAsia="Times New Roman" w:hAnsi="Times New Roman" w:cs="Times New Roman"/>
            <w:color w:val="004B83"/>
            <w:kern w:val="0"/>
            <w:sz w:val="27"/>
            <w:szCs w:val="27"/>
            <w:u w:val="single"/>
            <w:lang w:eastAsia="en-IN" w:bidi="ar-SA"/>
            <w14:ligatures w14:val="none"/>
          </w:rPr>
          <w:t>8</w:t>
        </w:r>
      </w:hyperlink>
      <w:r w:rsidRPr="00D4005D">
        <w:rPr>
          <w:rFonts w:ascii="Times New Roman" w:eastAsia="Times New Roman" w:hAnsi="Times New Roman" w:cs="Times New Roman"/>
          <w:color w:val="333333"/>
          <w:kern w:val="0"/>
          <w:sz w:val="27"/>
          <w:szCs w:val="27"/>
          <w:lang w:eastAsia="en-IN" w:bidi="ar-SA"/>
          <w14:ligatures w14:val="none"/>
        </w:rPr>
        <w:t>, then it is expected that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α=1,β=0</w:t>
      </w:r>
      <w:r w:rsidR="00D4005D" w:rsidRPr="00D4005D">
        <w:rPr>
          <w:rFonts w:ascii="Times New Roman" w:eastAsia="Times New Roman" w:hAnsi="Times New Roman" w:cs="Times New Roman"/>
          <w:color w:val="333333"/>
          <w:kern w:val="0"/>
          <w:sz w:val="27"/>
          <w:szCs w:val="27"/>
          <w:lang w:eastAsia="en-IN" w:bidi="ar-SA"/>
          <w14:ligatures w14:val="none"/>
        </w:rPr>
        <w:t xml:space="preserve"> </w:t>
      </w:r>
      <w:r w:rsidRPr="00D4005D">
        <w:rPr>
          <w:rFonts w:ascii="Times New Roman" w:eastAsia="Times New Roman" w:hAnsi="Times New Roman" w:cs="Times New Roman"/>
          <w:color w:val="333333"/>
          <w:kern w:val="0"/>
          <w:sz w:val="27"/>
          <w:szCs w:val="27"/>
          <w:lang w:eastAsia="en-IN" w:bidi="ar-SA"/>
          <w14:ligatures w14:val="none"/>
        </w:rPr>
        <w:t>(and Deep Taylor) returns only positive contributions (see also remarks by [</w:t>
      </w:r>
      <w:hyperlink r:id="rId193" w:anchor="ref-CR33" w:tooltip="Kohlbrenner, M., Bauer, A., Nakajima, S., Binder, A., Samek, W., Lapuschkin, S.: Towards best practice in explaining neural network decisions with LRP. In: 2020 International Joint Conference on Neural Networks (IJCNN), pp. 1–7. IEEE (2020)" w:history="1">
        <w:r w:rsidRPr="00D4005D">
          <w:rPr>
            <w:rFonts w:ascii="Times New Roman" w:eastAsia="Times New Roman" w:hAnsi="Times New Roman" w:cs="Times New Roman"/>
            <w:color w:val="004B83"/>
            <w:kern w:val="0"/>
            <w:sz w:val="27"/>
            <w:szCs w:val="27"/>
            <w:u w:val="single"/>
            <w:lang w:eastAsia="en-IN" w:bidi="ar-SA"/>
            <w14:ligatures w14:val="none"/>
          </w:rPr>
          <w:t>33</w:t>
        </w:r>
      </w:hyperlink>
      <w:r w:rsidRPr="00D4005D">
        <w:rPr>
          <w:rFonts w:ascii="Times New Roman" w:eastAsia="Times New Roman" w:hAnsi="Times New Roman" w:cs="Times New Roman"/>
          <w:color w:val="333333"/>
          <w:kern w:val="0"/>
          <w:sz w:val="27"/>
          <w:szCs w:val="27"/>
          <w:lang w:eastAsia="en-IN" w:bidi="ar-SA"/>
          <w14:ligatures w14:val="none"/>
        </w:rPr>
        <w:t>]). What is not so intuitive is the fact that the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α=1,β=0</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0</w:t>
      </w:r>
      <w:r w:rsidRPr="00D4005D">
        <w:rPr>
          <w:rFonts w:ascii="Times New Roman" w:eastAsia="Times New Roman" w:hAnsi="Times New Roman" w:cs="Times New Roman"/>
          <w:color w:val="333333"/>
          <w:kern w:val="0"/>
          <w:sz w:val="27"/>
          <w:szCs w:val="27"/>
          <w:lang w:eastAsia="en-IN" w:bidi="ar-SA"/>
          <w14:ligatures w14:val="none"/>
        </w:rPr>
        <w:t> seems to highlight all important features, independent of the sign of their contribution (compare with ground truth). Given that, by construction,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α=1,β=0</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7"/>
          <w:szCs w:val="27"/>
          <w:lang w:eastAsia="en-IN" w:bidi="ar-SA"/>
          <w14:ligatures w14:val="none"/>
        </w:rPr>
        <w:t>considers only positive preactivations [</w:t>
      </w:r>
      <w:hyperlink r:id="rId194" w:anchor="ref-CR23" w:tooltip="Hao, Z., Singh, V.P., Xia, Y.: Seasonal drought prediction: advances, challenges, and future prospects. Rev. Geophys. 56(1), 108–141 (2018)" w:history="1">
        <w:r w:rsidRPr="00D4005D">
          <w:rPr>
            <w:rFonts w:ascii="Times New Roman" w:eastAsia="Times New Roman" w:hAnsi="Times New Roman" w:cs="Times New Roman"/>
            <w:color w:val="004B83"/>
            <w:kern w:val="0"/>
            <w:sz w:val="27"/>
            <w:szCs w:val="27"/>
            <w:u w:val="single"/>
            <w:lang w:eastAsia="en-IN" w:bidi="ar-SA"/>
            <w14:ligatures w14:val="none"/>
          </w:rPr>
          <w:t>23</w:t>
        </w:r>
      </w:hyperlink>
      <w:r w:rsidRPr="00D4005D">
        <w:rPr>
          <w:rFonts w:ascii="Times New Roman" w:eastAsia="Times New Roman" w:hAnsi="Times New Roman" w:cs="Times New Roman"/>
          <w:color w:val="333333"/>
          <w:kern w:val="0"/>
          <w:sz w:val="27"/>
          <w:szCs w:val="27"/>
          <w:lang w:eastAsia="en-IN" w:bidi="ar-SA"/>
          <w14:ligatures w14:val="none"/>
        </w:rPr>
        <w:t>], one might assume that it will only highlight the features that positively contribute to the prediction. However, the results in Fig. </w:t>
      </w:r>
      <w:hyperlink r:id="rId195" w:anchor="Fig8" w:history="1">
        <w:r w:rsidRPr="00D4005D">
          <w:rPr>
            <w:rFonts w:ascii="Times New Roman" w:eastAsia="Times New Roman" w:hAnsi="Times New Roman" w:cs="Times New Roman"/>
            <w:color w:val="004B83"/>
            <w:kern w:val="0"/>
            <w:sz w:val="27"/>
            <w:szCs w:val="27"/>
            <w:u w:val="single"/>
            <w:lang w:eastAsia="en-IN" w:bidi="ar-SA"/>
            <w14:ligatures w14:val="none"/>
          </w:rPr>
          <w:t>8</w:t>
        </w:r>
      </w:hyperlink>
      <w:r w:rsidRPr="00D4005D">
        <w:rPr>
          <w:rFonts w:ascii="Times New Roman" w:eastAsia="Times New Roman" w:hAnsi="Times New Roman" w:cs="Times New Roman"/>
          <w:color w:val="333333"/>
          <w:kern w:val="0"/>
          <w:sz w:val="27"/>
          <w:szCs w:val="27"/>
          <w:lang w:eastAsia="en-IN" w:bidi="ar-SA"/>
          <w14:ligatures w14:val="none"/>
        </w:rPr>
        <w:t> show that the method highlights the tropical Atlantic Ocean with a positive contribution. This is problematic, since the ground truth clearly indicates that this region is contributing negatively to the response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y</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n</w:t>
      </w:r>
      <w:r w:rsidRPr="00D4005D">
        <w:rPr>
          <w:rFonts w:ascii="Times New Roman" w:eastAsia="Times New Roman" w:hAnsi="Times New Roman" w:cs="Times New Roman"/>
          <w:color w:val="333333"/>
          <w:kern w:val="0"/>
          <w:sz w:val="27"/>
          <w:szCs w:val="27"/>
          <w:lang w:eastAsia="en-IN" w:bidi="ar-SA"/>
          <w14:ligatures w14:val="none"/>
        </w:rPr>
        <w:t> in this example. The issue of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α=1,β=0</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7"/>
          <w:szCs w:val="27"/>
          <w:lang w:eastAsia="en-IN" w:bidi="ar-SA"/>
          <w14:ligatures w14:val="none"/>
        </w:rPr>
        <w:t>about highlighting all features independent of whether they are contributing positively or negatively to the prediction has been very recently discussed in other applications of XAI as well [</w:t>
      </w:r>
      <w:hyperlink r:id="rId196" w:anchor="ref-CR33" w:tooltip="Kohlbrenner, M., Bauer, A., Nakajima, S., Binder, A., Samek, W., Lapuschkin, S.: Towards best practice in explaining neural network decisions with LRP. In: 2020 International Joint Conference on Neural Networks (IJCNN), pp. 1–7. IEEE (2020)" w:history="1">
        <w:r w:rsidRPr="00D4005D">
          <w:rPr>
            <w:rFonts w:ascii="Times New Roman" w:eastAsia="Times New Roman" w:hAnsi="Times New Roman" w:cs="Times New Roman"/>
            <w:color w:val="004B83"/>
            <w:kern w:val="0"/>
            <w:sz w:val="27"/>
            <w:szCs w:val="27"/>
            <w:u w:val="single"/>
            <w:lang w:eastAsia="en-IN" w:bidi="ar-SA"/>
            <w14:ligatures w14:val="none"/>
          </w:rPr>
          <w:t>33</w:t>
        </w:r>
      </w:hyperlink>
      <w:r w:rsidRPr="00D4005D">
        <w:rPr>
          <w:rFonts w:ascii="Times New Roman" w:eastAsia="Times New Roman" w:hAnsi="Times New Roman" w:cs="Times New Roman"/>
          <w:color w:val="333333"/>
          <w:kern w:val="0"/>
          <w:sz w:val="27"/>
          <w:szCs w:val="27"/>
          <w:lang w:eastAsia="en-IN" w:bidi="ar-SA"/>
          <w14:ligatures w14:val="none"/>
        </w:rPr>
        <w:t>].</w:t>
      </w:r>
    </w:p>
    <w:p w14:paraId="27E5BBA3" w14:textId="01FC6794"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Lastly, when using the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z</w:t>
      </w:r>
      <w:r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LRP</w:t>
      </w:r>
      <w:r w:rsidRPr="00D4005D">
        <w:rPr>
          <w:rFonts w:ascii="Times New Roman" w:eastAsia="Times New Roman" w:hAnsi="Times New Roman" w:cs="Times New Roman"/>
          <w:color w:val="333333"/>
          <w:kern w:val="0"/>
          <w:sz w:val="27"/>
          <w:szCs w:val="27"/>
          <w:lang w:eastAsia="en-IN" w:bidi="ar-SA"/>
          <w14:ligatures w14:val="none"/>
        </w:rPr>
        <w:t> rule, the attribution heatmap very closely captures the ground truth, and it exhibits a very high Spearman’s correlation on the order of 0.76. The results are very similar to those of the methods Input*Gradient and Integrated Gradients, making these three methods the best performing ones for this example. This is consistent with the discussion in [</w:t>
      </w:r>
      <w:hyperlink r:id="rId197" w:anchor="ref-CR2" w:tooltip="Ancona, M., Ceolini, E., Öztireli, C., Gross, M.: Towards better understanding of gradient-based attribution methods for deep neural networks. arXiv preprint &#10;                    arXiv:1711.06104&#10;                    &#10;                   (2017)" w:history="1">
        <w:r w:rsidRPr="00D4005D">
          <w:rPr>
            <w:rFonts w:ascii="Times New Roman" w:eastAsia="Times New Roman" w:hAnsi="Times New Roman" w:cs="Times New Roman"/>
            <w:color w:val="004B83"/>
            <w:kern w:val="0"/>
            <w:sz w:val="27"/>
            <w:szCs w:val="27"/>
            <w:u w:val="single"/>
            <w:lang w:eastAsia="en-IN" w:bidi="ar-SA"/>
            <w14:ligatures w14:val="none"/>
          </w:rPr>
          <w:t>2</w:t>
        </w:r>
      </w:hyperlink>
      <w:r w:rsidRPr="00D4005D">
        <w:rPr>
          <w:rFonts w:ascii="Times New Roman" w:eastAsia="Times New Roman" w:hAnsi="Times New Roman" w:cs="Times New Roman"/>
          <w:color w:val="333333"/>
          <w:kern w:val="0"/>
          <w:sz w:val="27"/>
          <w:szCs w:val="27"/>
          <w:lang w:eastAsia="en-IN" w:bidi="ar-SA"/>
          <w14:ligatures w14:val="none"/>
        </w:rPr>
        <w:t>], which showed the equivalence of the methods Input*Gradient and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z</w:t>
      </w:r>
      <w:r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LRP</w:t>
      </w:r>
      <w:r w:rsidRPr="00D4005D">
        <w:rPr>
          <w:rFonts w:ascii="Times New Roman" w:eastAsia="Times New Roman" w:hAnsi="Times New Roman" w:cs="Times New Roman"/>
          <w:color w:val="333333"/>
          <w:kern w:val="0"/>
          <w:sz w:val="27"/>
          <w:szCs w:val="27"/>
          <w:lang w:eastAsia="en-IN" w:bidi="ar-SA"/>
          <w14:ligatures w14:val="none"/>
        </w:rPr>
        <w:t> in cases of NNs with ReLU activation functions, as in this work.</w:t>
      </w:r>
    </w:p>
    <w:p w14:paraId="2D8260FE"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23CC5746"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48C86284"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0224A637"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23DD084D"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602D67BE"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0038347E" w14:textId="77777777" w:rsidR="00D4005D" w:rsidRPr="00D4005D" w:rsidRDefault="00D4005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69784CF2" w14:textId="77777777" w:rsidR="00221193" w:rsidRDefault="00221193"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1F37353A" w14:textId="77777777" w:rsidR="00221193" w:rsidRDefault="00221193"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7323C4E2" w14:textId="77777777" w:rsidR="00221193" w:rsidRDefault="00221193"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7A801038" w14:textId="77777777" w:rsidR="00221193" w:rsidRDefault="00221193"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46D9EAAD" w14:textId="77777777" w:rsidR="00221193" w:rsidRDefault="00221193"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52287D5C" w14:textId="77777777" w:rsidR="00221193" w:rsidRDefault="00221193"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11A19129" w14:textId="77777777" w:rsidR="00221193" w:rsidRDefault="00221193"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0DA04B88" w14:textId="77777777" w:rsidR="00221193" w:rsidRDefault="00221193"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5C766D04" w14:textId="77777777" w:rsidR="00221193" w:rsidRDefault="00221193"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p>
    <w:p w14:paraId="335C1370" w14:textId="597E46FE" w:rsidR="006C4AAD" w:rsidRPr="00D4005D" w:rsidRDefault="006C4AAD" w:rsidP="006C4AAD">
      <w:pPr>
        <w:shd w:val="clear" w:color="auto" w:fill="FCFCFC"/>
        <w:spacing w:after="0" w:line="240" w:lineRule="auto"/>
        <w:rPr>
          <w:rFonts w:ascii="Times New Roman" w:eastAsia="Times New Roman" w:hAnsi="Times New Roman" w:cs="Times New Roman"/>
          <w:b/>
          <w:bCs/>
          <w:color w:val="333333"/>
          <w:kern w:val="0"/>
          <w:sz w:val="27"/>
          <w:szCs w:val="27"/>
          <w:lang w:eastAsia="en-IN" w:bidi="ar-SA"/>
          <w14:ligatures w14:val="none"/>
        </w:rPr>
      </w:pPr>
      <w:r w:rsidRPr="00D4005D">
        <w:rPr>
          <w:rFonts w:ascii="Times New Roman" w:eastAsia="Times New Roman" w:hAnsi="Times New Roman" w:cs="Times New Roman"/>
          <w:b/>
          <w:bCs/>
          <w:color w:val="333333"/>
          <w:kern w:val="0"/>
          <w:sz w:val="27"/>
          <w:szCs w:val="27"/>
          <w:lang w:eastAsia="en-IN" w:bidi="ar-SA"/>
          <w14:ligatures w14:val="none"/>
        </w:rPr>
        <w:t>Fig. 9.</w:t>
      </w:r>
    </w:p>
    <w:p w14:paraId="49B990AF" w14:textId="77777777" w:rsidR="00D4005D" w:rsidRPr="00D4005D" w:rsidRDefault="00D4005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p>
    <w:p w14:paraId="6E628481" w14:textId="77777777"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noProof/>
          <w:color w:val="004B83"/>
          <w:kern w:val="0"/>
          <w:sz w:val="27"/>
          <w:szCs w:val="27"/>
          <w:lang w:eastAsia="en-IN" w:bidi="ar-SA"/>
          <w14:ligatures w14:val="none"/>
        </w:rPr>
        <w:drawing>
          <wp:inline distT="0" distB="0" distL="0" distR="0" wp14:anchorId="48EAE1EB" wp14:editId="75E9C7FD">
            <wp:extent cx="5731510" cy="6852920"/>
            <wp:effectExtent l="0" t="0" r="2540" b="5080"/>
            <wp:docPr id="10" name="Picture 10" descr="figure 9">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 9">
                      <a:hlinkClick r:id="rId198"/>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31510" cy="6852920"/>
                    </a:xfrm>
                    <a:prstGeom prst="rect">
                      <a:avLst/>
                    </a:prstGeom>
                    <a:noFill/>
                    <a:ln>
                      <a:noFill/>
                    </a:ln>
                  </pic:spPr>
                </pic:pic>
              </a:graphicData>
            </a:graphic>
          </wp:inline>
        </w:drawing>
      </w:r>
    </w:p>
    <w:p w14:paraId="23067C46" w14:textId="1528C1F2" w:rsidR="006C4AAD" w:rsidRPr="00D4005D" w:rsidRDefault="006C4AAD" w:rsidP="00D4005D">
      <w:pPr>
        <w:shd w:val="clear" w:color="auto" w:fill="FCFCFC"/>
        <w:spacing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Summary of the performance of different XAI methods. Histograms of the Spearman’s correlation coefficients between different XAI heatmaps and the ground truth for 100,000 testing samples. Similar to Mamalakis et al., 2021 [</w:t>
      </w:r>
      <w:hyperlink r:id="rId200" w:anchor="ref-CR43" w:tooltip="Mamalakis, A., Ebert-Uphoff, I., Barnes, E.A.: Neural network attribution methods for problems in geoscience: a novel synthetic benchmark dataset. arXiv preprint &#10;                    arXiv:2103.10005&#10;                    &#10;                   (2021)" w:history="1">
        <w:r w:rsidRPr="00D4005D">
          <w:rPr>
            <w:rFonts w:ascii="Times New Roman" w:eastAsia="Times New Roman" w:hAnsi="Times New Roman" w:cs="Times New Roman"/>
            <w:color w:val="004B83"/>
            <w:kern w:val="0"/>
            <w:sz w:val="27"/>
            <w:szCs w:val="27"/>
            <w:u w:val="single"/>
            <w:lang w:eastAsia="en-IN" w:bidi="ar-SA"/>
            <w14:ligatures w14:val="none"/>
          </w:rPr>
          <w:t>43</w:t>
        </w:r>
      </w:hyperlink>
      <w:r w:rsidRPr="00D4005D">
        <w:rPr>
          <w:rFonts w:ascii="Times New Roman" w:eastAsia="Times New Roman" w:hAnsi="Times New Roman" w:cs="Times New Roman"/>
          <w:color w:val="333333"/>
          <w:kern w:val="0"/>
          <w:sz w:val="27"/>
          <w:szCs w:val="27"/>
          <w:lang w:eastAsia="en-IN" w:bidi="ar-SA"/>
          <w14:ligatures w14:val="none"/>
        </w:rPr>
        <w:t>].</w:t>
      </w:r>
      <w:r w:rsidR="00D4005D" w:rsidRPr="00D4005D">
        <w:rPr>
          <w:rFonts w:ascii="Times New Roman" w:eastAsia="Times New Roman" w:hAnsi="Times New Roman" w:cs="Times New Roman"/>
          <w:color w:val="333333"/>
          <w:kern w:val="0"/>
          <w:sz w:val="27"/>
          <w:szCs w:val="27"/>
          <w:lang w:eastAsia="en-IN" w:bidi="ar-SA"/>
          <w14:ligatures w14:val="none"/>
        </w:rPr>
        <w:t xml:space="preserve"> </w:t>
      </w:r>
    </w:p>
    <w:p w14:paraId="268C8E2F" w14:textId="77777777" w:rsidR="00D4005D" w:rsidRPr="00D4005D" w:rsidRDefault="00D4005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p>
    <w:p w14:paraId="4ADA4586" w14:textId="6DB52C74" w:rsidR="006C4AAD" w:rsidRPr="00D4005D" w:rsidRDefault="006C4AAD" w:rsidP="006C4AAD">
      <w:pPr>
        <w:shd w:val="clear" w:color="auto" w:fill="FCFCFC"/>
        <w:spacing w:after="0"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To verify that the above insights are valid for the entire testing dataset and not only for the specific example in Fig. </w:t>
      </w:r>
      <w:hyperlink r:id="rId201" w:anchor="Fig8" w:history="1">
        <w:r w:rsidRPr="00D4005D">
          <w:rPr>
            <w:rFonts w:ascii="Times New Roman" w:eastAsia="Times New Roman" w:hAnsi="Times New Roman" w:cs="Times New Roman"/>
            <w:color w:val="004B83"/>
            <w:kern w:val="0"/>
            <w:sz w:val="27"/>
            <w:szCs w:val="27"/>
            <w:u w:val="single"/>
            <w:lang w:eastAsia="en-IN" w:bidi="ar-SA"/>
            <w14:ligatures w14:val="none"/>
          </w:rPr>
          <w:t>8</w:t>
        </w:r>
      </w:hyperlink>
      <w:r w:rsidRPr="00D4005D">
        <w:rPr>
          <w:rFonts w:ascii="Times New Roman" w:eastAsia="Times New Roman" w:hAnsi="Times New Roman" w:cs="Times New Roman"/>
          <w:color w:val="333333"/>
          <w:kern w:val="0"/>
          <w:sz w:val="27"/>
          <w:szCs w:val="27"/>
          <w:lang w:eastAsia="en-IN" w:bidi="ar-SA"/>
          <w14:ligatures w14:val="none"/>
        </w:rPr>
        <w:t>, we also generated the histograms of the Spearman’s correlation coefficients between the XAI methods and the ground truth for all 100,000 testing samples (similarly to Mamalakis et al.). As shown in Fig. </w:t>
      </w:r>
      <w:hyperlink r:id="rId202" w:anchor="Fig9" w:history="1">
        <w:r w:rsidRPr="00D4005D">
          <w:rPr>
            <w:rFonts w:ascii="Times New Roman" w:eastAsia="Times New Roman" w:hAnsi="Times New Roman" w:cs="Times New Roman"/>
            <w:color w:val="004B83"/>
            <w:kern w:val="0"/>
            <w:sz w:val="27"/>
            <w:szCs w:val="27"/>
            <w:u w:val="single"/>
            <w:lang w:eastAsia="en-IN" w:bidi="ar-SA"/>
            <w14:ligatures w14:val="none"/>
          </w:rPr>
          <w:t>9</w:t>
        </w:r>
      </w:hyperlink>
      <w:r w:rsidRPr="00D4005D">
        <w:rPr>
          <w:rFonts w:ascii="Times New Roman" w:eastAsia="Times New Roman" w:hAnsi="Times New Roman" w:cs="Times New Roman"/>
          <w:color w:val="333333"/>
          <w:kern w:val="0"/>
          <w:sz w:val="27"/>
          <w:szCs w:val="27"/>
          <w:lang w:eastAsia="en-IN" w:bidi="ar-SA"/>
          <w14:ligatures w14:val="none"/>
        </w:rPr>
        <w:t xml:space="preserve">, </w:t>
      </w:r>
      <w:r w:rsidRPr="00D4005D">
        <w:rPr>
          <w:rFonts w:ascii="Times New Roman" w:eastAsia="Times New Roman" w:hAnsi="Times New Roman" w:cs="Times New Roman"/>
          <w:color w:val="333333"/>
          <w:kern w:val="0"/>
          <w:sz w:val="27"/>
          <w:szCs w:val="27"/>
          <w:lang w:eastAsia="en-IN" w:bidi="ar-SA"/>
          <w14:ligatures w14:val="none"/>
        </w:rPr>
        <w:lastRenderedPageBreak/>
        <w:t>methods Gradient and Smooth Gradient perform very poorly (both exhibit almost zero average correlation with the ground truth), while methods Input*Gradient and Integrated Gradients perform equally well, exhibiting an average correlation with the ground truth around 0.7. The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z</w:t>
      </w:r>
      <w:r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LRP</w:t>
      </w:r>
      <w:r w:rsidRPr="00D4005D">
        <w:rPr>
          <w:rFonts w:ascii="Times New Roman" w:eastAsia="Times New Roman" w:hAnsi="Times New Roman" w:cs="Times New Roman"/>
          <w:color w:val="333333"/>
          <w:kern w:val="0"/>
          <w:sz w:val="27"/>
          <w:szCs w:val="27"/>
          <w:lang w:eastAsia="en-IN" w:bidi="ar-SA"/>
          <w14:ligatures w14:val="none"/>
        </w:rPr>
        <w:t> rule is seen to be the best performing among the LRP rules, with very similar performance to the Input*Gradient and Integrated Gradients methods (as theoretically expected for this model setting; see [</w:t>
      </w:r>
      <w:hyperlink r:id="rId203" w:anchor="ref-CR2" w:tooltip="Ancona, M., Ceolini, E., Öztireli, C., Gross, M.: Towards better understanding of gradient-based attribution methods for deep neural networks. arXiv preprint &#10;                    arXiv:1711.06104&#10;                    &#10;                   (2017)" w:history="1">
        <w:r w:rsidRPr="00D4005D">
          <w:rPr>
            <w:rFonts w:ascii="Times New Roman" w:eastAsia="Times New Roman" w:hAnsi="Times New Roman" w:cs="Times New Roman"/>
            <w:color w:val="004B83"/>
            <w:kern w:val="0"/>
            <w:sz w:val="27"/>
            <w:szCs w:val="27"/>
            <w:u w:val="single"/>
            <w:lang w:eastAsia="en-IN" w:bidi="ar-SA"/>
            <w14:ligatures w14:val="none"/>
          </w:rPr>
          <w:t>2</w:t>
        </w:r>
      </w:hyperlink>
      <w:r w:rsidRPr="00D4005D">
        <w:rPr>
          <w:rFonts w:ascii="Times New Roman" w:eastAsia="Times New Roman" w:hAnsi="Times New Roman" w:cs="Times New Roman"/>
          <w:color w:val="333333"/>
          <w:kern w:val="0"/>
          <w:sz w:val="27"/>
          <w:szCs w:val="27"/>
          <w:lang w:eastAsia="en-IN" w:bidi="ar-SA"/>
          <w14:ligatures w14:val="none"/>
        </w:rPr>
        <w:t>]). The corresponding average correlation coefficient is also on the order of 0.7. Regarding the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α=1,β=0</w:t>
      </w:r>
      <w:r w:rsidRPr="00D4005D">
        <w:rPr>
          <w:rFonts w:ascii="Times New Roman" w:eastAsia="Times New Roman" w:hAnsi="Times New Roman" w:cs="Times New Roman"/>
          <w:color w:val="333333"/>
          <w:kern w:val="0"/>
          <w:sz w:val="27"/>
          <w:szCs w:val="27"/>
          <w:lang w:eastAsia="en-IN" w:bidi="ar-SA"/>
          <w14:ligatures w14:val="none"/>
        </w:rPr>
        <w:t>, we present two curves. The first curve (black curve in Fig. </w:t>
      </w:r>
      <w:hyperlink r:id="rId204" w:anchor="Fig9" w:history="1">
        <w:r w:rsidRPr="00D4005D">
          <w:rPr>
            <w:rFonts w:ascii="Times New Roman" w:eastAsia="Times New Roman" w:hAnsi="Times New Roman" w:cs="Times New Roman"/>
            <w:color w:val="004B83"/>
            <w:kern w:val="0"/>
            <w:sz w:val="27"/>
            <w:szCs w:val="27"/>
            <w:u w:val="single"/>
            <w:lang w:eastAsia="en-IN" w:bidi="ar-SA"/>
            <w14:ligatures w14:val="none"/>
          </w:rPr>
          <w:t>9</w:t>
        </w:r>
      </w:hyperlink>
      <w:r w:rsidRPr="00D4005D">
        <w:rPr>
          <w:rFonts w:ascii="Times New Roman" w:eastAsia="Times New Roman" w:hAnsi="Times New Roman" w:cs="Times New Roman"/>
          <w:color w:val="333333"/>
          <w:kern w:val="0"/>
          <w:sz w:val="27"/>
          <w:szCs w:val="27"/>
          <w:lang w:eastAsia="en-IN" w:bidi="ar-SA"/>
          <w14:ligatures w14:val="none"/>
        </w:rPr>
        <w:t>) corresponds to correlation with the ground truth after we have set all the negative contributions in the ground truth to zero. The second curve (blue curve) corresponds to correlation with the absolute value of the ground truth. For both curves we multiply the correlation value with -1 when the NN prediction was negative, to account for the fact that the prediction’s sign is propagated back to the attributions. Results show that when correlating with the absolute ground truth (blue curve), the correlations are systematically higher than when correlating with the nonnegative ground truth (black curve). This verifies that the issue of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α=1,β=0</w:t>
      </w:r>
      <w:r w:rsidR="00D4005D"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 xml:space="preserve"> </w:t>
      </w:r>
      <w:r w:rsidRPr="00D4005D">
        <w:rPr>
          <w:rFonts w:ascii="Times New Roman" w:eastAsia="Times New Roman" w:hAnsi="Times New Roman" w:cs="Times New Roman"/>
          <w:color w:val="333333"/>
          <w:kern w:val="0"/>
          <w:sz w:val="27"/>
          <w:szCs w:val="27"/>
          <w:lang w:eastAsia="en-IN" w:bidi="ar-SA"/>
          <w14:ligatures w14:val="none"/>
        </w:rPr>
        <w:t>highlighting both positive and negative attributions occurs for all testing samples.</w:t>
      </w:r>
    </w:p>
    <w:p w14:paraId="32A9F315" w14:textId="2EBBFB1E" w:rsidR="006C4AAD" w:rsidRDefault="006C4AAD" w:rsidP="006C4AAD">
      <w:pPr>
        <w:shd w:val="clear" w:color="auto" w:fill="FCFCFC"/>
        <w:spacing w:line="240" w:lineRule="auto"/>
        <w:rPr>
          <w:rFonts w:ascii="Times New Roman" w:eastAsia="Times New Roman" w:hAnsi="Times New Roman" w:cs="Times New Roman"/>
          <w:color w:val="333333"/>
          <w:kern w:val="0"/>
          <w:sz w:val="27"/>
          <w:szCs w:val="27"/>
          <w:lang w:eastAsia="en-IN" w:bidi="ar-SA"/>
          <w14:ligatures w14:val="none"/>
        </w:rPr>
      </w:pPr>
      <w:r w:rsidRPr="00D4005D">
        <w:rPr>
          <w:rFonts w:ascii="Times New Roman" w:eastAsia="Times New Roman" w:hAnsi="Times New Roman" w:cs="Times New Roman"/>
          <w:color w:val="333333"/>
          <w:kern w:val="0"/>
          <w:sz w:val="27"/>
          <w:szCs w:val="27"/>
          <w:lang w:eastAsia="en-IN" w:bidi="ar-SA"/>
          <w14:ligatures w14:val="none"/>
        </w:rPr>
        <w:t>In general, these results demonstrate the benefits of attribution benchmarks for the identification of possible systematic pitfalls of XAI. The above assessment suggests that methods Gradient and Smooth Gradient may be suitable for estimating the sensitivity of the output to the input, but this is not necessarily equivalent to the attribution. When using the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α=1,β=0</w:t>
      </w:r>
      <w:r w:rsidRPr="00D4005D">
        <w:rPr>
          <w:rFonts w:ascii="Times New Roman" w:eastAsia="Times New Roman" w:hAnsi="Times New Roman" w:cs="Times New Roman"/>
          <w:color w:val="333333"/>
          <w:kern w:val="0"/>
          <w:sz w:val="27"/>
          <w:szCs w:val="27"/>
          <w:lang w:eastAsia="en-IN" w:bidi="ar-SA"/>
          <w14:ligatures w14:val="none"/>
        </w:rPr>
        <w:t>, one should be cautious, keeping always in mind that, i) it might propagate the sign of the prediction back to all the relevancies of the input layer and ii) it is likely to mix positive and negative contributions. For the setup used here (i.e. to address the specific prediction task using a shallow, fully connected network), the methods Input*Gradient, Integrated Gradients, and the </w:t>
      </w:r>
      <w:r w:rsidRPr="00D4005D">
        <w:rPr>
          <w:rFonts w:ascii="Times New Roman" w:eastAsia="Times New Roman" w:hAnsi="Times New Roman" w:cs="Times New Roman"/>
          <w:color w:val="333333"/>
          <w:kern w:val="0"/>
          <w:sz w:val="30"/>
          <w:szCs w:val="30"/>
          <w:bdr w:val="none" w:sz="0" w:space="0" w:color="auto" w:frame="1"/>
          <w:lang w:eastAsia="en-IN" w:bidi="ar-SA"/>
          <w14:ligatures w14:val="none"/>
        </w:rPr>
        <w:t>LRP</w:t>
      </w:r>
      <w:r w:rsidRPr="00D4005D">
        <w:rPr>
          <w:rFonts w:ascii="Times New Roman" w:eastAsia="Times New Roman" w:hAnsi="Times New Roman" w:cs="Times New Roman"/>
          <w:color w:val="333333"/>
          <w:kern w:val="0"/>
          <w:sz w:val="21"/>
          <w:szCs w:val="21"/>
          <w:bdr w:val="none" w:sz="0" w:space="0" w:color="auto" w:frame="1"/>
          <w:lang w:eastAsia="en-IN" w:bidi="ar-SA"/>
          <w14:ligatures w14:val="none"/>
        </w:rPr>
        <w:t>z</w:t>
      </w:r>
      <w:r w:rsidRPr="00D4005D">
        <w:rPr>
          <w:rFonts w:ascii="Times New Roman" w:eastAsia="Times New Roman" w:hAnsi="Times New Roman" w:cs="Times New Roman"/>
          <w:color w:val="333333"/>
          <w:kern w:val="0"/>
          <w:sz w:val="27"/>
          <w:szCs w:val="27"/>
          <w:bdr w:val="none" w:sz="0" w:space="0" w:color="auto" w:frame="1"/>
          <w:lang w:eastAsia="en-IN" w:bidi="ar-SA"/>
          <w14:ligatures w14:val="none"/>
        </w:rPr>
        <w:t>LRP</w:t>
      </w:r>
      <w:r w:rsidRPr="00D4005D">
        <w:rPr>
          <w:rFonts w:ascii="Times New Roman" w:eastAsia="Times New Roman" w:hAnsi="Times New Roman" w:cs="Times New Roman"/>
          <w:color w:val="333333"/>
          <w:kern w:val="0"/>
          <w:sz w:val="27"/>
          <w:szCs w:val="27"/>
          <w:lang w:eastAsia="en-IN" w:bidi="ar-SA"/>
          <w14:ligatures w14:val="none"/>
        </w:rPr>
        <w:t> rule all very closely captured the true function </w:t>
      </w:r>
      <w:r w:rsidRPr="00D4005D">
        <w:rPr>
          <w:rFonts w:ascii="Times New Roman" w:eastAsia="Times New Roman" w:hAnsi="Times New Roman" w:cs="Times New Roman"/>
          <w:i/>
          <w:iCs/>
          <w:color w:val="333333"/>
          <w:kern w:val="0"/>
          <w:sz w:val="27"/>
          <w:szCs w:val="27"/>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and are the best performing XAI methods considered. However, this result does not mean that the latter methods are systematically better performing for all types of applications. For example, in a different prediction setting (i.e. for a different function </w:t>
      </w:r>
      <w:r w:rsidRPr="00D4005D">
        <w:rPr>
          <w:rFonts w:ascii="Times New Roman" w:eastAsia="Times New Roman" w:hAnsi="Times New Roman" w:cs="Times New Roman"/>
          <w:i/>
          <w:iCs/>
          <w:color w:val="333333"/>
          <w:kern w:val="0"/>
          <w:sz w:val="27"/>
          <w:szCs w:val="27"/>
          <w:lang w:eastAsia="en-IN" w:bidi="ar-SA"/>
          <w14:ligatures w14:val="none"/>
        </w:rPr>
        <w:t>F</w:t>
      </w:r>
      <w:r w:rsidRPr="00D4005D">
        <w:rPr>
          <w:rFonts w:ascii="Times New Roman" w:eastAsia="Times New Roman" w:hAnsi="Times New Roman" w:cs="Times New Roman"/>
          <w:color w:val="333333"/>
          <w:kern w:val="0"/>
          <w:sz w:val="27"/>
          <w:szCs w:val="27"/>
          <w:lang w:eastAsia="en-IN" w:bidi="ar-SA"/>
          <w14:ligatures w14:val="none"/>
        </w:rPr>
        <w:t>) and when using a deep convolutional neural network, the above methods have been found to provide relatively incomprehensible explanations due to gradient shattering [</w:t>
      </w:r>
      <w:hyperlink r:id="rId205" w:anchor="ref-CR42" w:tooltip="Mamalakis, A., Barnes, E.A., Ebert-Uphoff, I.: Investigating the fidelity of explainable artificial intelligence methods for applications of convolutional neural networks in geoscience. arXiv preprint &#10;                    arXiv:2202.03407&#10;                    &#10;" w:history="1">
        <w:r w:rsidRPr="00D4005D">
          <w:rPr>
            <w:rFonts w:ascii="Times New Roman" w:eastAsia="Times New Roman" w:hAnsi="Times New Roman" w:cs="Times New Roman"/>
            <w:color w:val="004B83"/>
            <w:kern w:val="0"/>
            <w:sz w:val="27"/>
            <w:szCs w:val="27"/>
            <w:u w:val="single"/>
            <w:lang w:eastAsia="en-IN" w:bidi="ar-SA"/>
            <w14:ligatures w14:val="none"/>
          </w:rPr>
          <w:t>42</w:t>
        </w:r>
      </w:hyperlink>
      <w:r w:rsidRPr="00D4005D">
        <w:rPr>
          <w:rFonts w:ascii="Times New Roman" w:eastAsia="Times New Roman" w:hAnsi="Times New Roman" w:cs="Times New Roman"/>
          <w:color w:val="333333"/>
          <w:kern w:val="0"/>
          <w:sz w:val="27"/>
          <w:szCs w:val="27"/>
          <w:lang w:eastAsia="en-IN" w:bidi="ar-SA"/>
          <w14:ligatures w14:val="none"/>
        </w:rPr>
        <w:t>]. Thus, no optimal method exists in general and each method’s suitability depends on the type of the application and the adopted model architecture, which highlights the need to objectively assess XAI methods for a range of applications and develop best-practice guidelines.</w:t>
      </w:r>
    </w:p>
    <w:p w14:paraId="3F95D149" w14:textId="77777777" w:rsidR="007A10A2" w:rsidRDefault="007A10A2" w:rsidP="006C4AAD">
      <w:pPr>
        <w:shd w:val="clear" w:color="auto" w:fill="FCFCFC"/>
        <w:spacing w:line="240" w:lineRule="auto"/>
        <w:rPr>
          <w:rFonts w:ascii="Times New Roman" w:eastAsia="Times New Roman" w:hAnsi="Times New Roman" w:cs="Times New Roman"/>
          <w:color w:val="333333"/>
          <w:kern w:val="0"/>
          <w:sz w:val="27"/>
          <w:szCs w:val="27"/>
          <w:lang w:eastAsia="en-IN" w:bidi="ar-SA"/>
          <w14:ligatures w14:val="none"/>
        </w:rPr>
      </w:pPr>
    </w:p>
    <w:p w14:paraId="106750C8" w14:textId="77777777" w:rsidR="007A10A2" w:rsidRDefault="007A10A2" w:rsidP="006C4AAD">
      <w:pPr>
        <w:shd w:val="clear" w:color="auto" w:fill="FCFCFC"/>
        <w:spacing w:line="240" w:lineRule="auto"/>
        <w:rPr>
          <w:rFonts w:ascii="Times New Roman" w:eastAsia="Times New Roman" w:hAnsi="Times New Roman" w:cs="Times New Roman"/>
          <w:b/>
          <w:bCs/>
          <w:color w:val="333333"/>
          <w:kern w:val="0"/>
          <w:sz w:val="36"/>
          <w:szCs w:val="36"/>
          <w:lang w:eastAsia="en-IN" w:bidi="ar-SA"/>
          <w14:ligatures w14:val="none"/>
        </w:rPr>
      </w:pPr>
    </w:p>
    <w:p w14:paraId="2559A0C2" w14:textId="77777777" w:rsidR="007A10A2" w:rsidRDefault="007A10A2" w:rsidP="006C4AAD">
      <w:pPr>
        <w:shd w:val="clear" w:color="auto" w:fill="FCFCFC"/>
        <w:spacing w:line="240" w:lineRule="auto"/>
        <w:rPr>
          <w:rFonts w:ascii="Times New Roman" w:eastAsia="Times New Roman" w:hAnsi="Times New Roman" w:cs="Times New Roman"/>
          <w:b/>
          <w:bCs/>
          <w:color w:val="333333"/>
          <w:kern w:val="0"/>
          <w:sz w:val="36"/>
          <w:szCs w:val="36"/>
          <w:lang w:eastAsia="en-IN" w:bidi="ar-SA"/>
          <w14:ligatures w14:val="none"/>
        </w:rPr>
      </w:pPr>
    </w:p>
    <w:p w14:paraId="4B2D8C23" w14:textId="77777777" w:rsidR="00221193" w:rsidRDefault="00221193" w:rsidP="006C4AAD">
      <w:pPr>
        <w:shd w:val="clear" w:color="auto" w:fill="FCFCFC"/>
        <w:spacing w:line="240" w:lineRule="auto"/>
        <w:rPr>
          <w:rFonts w:ascii="Times New Roman" w:eastAsia="Times New Roman" w:hAnsi="Times New Roman" w:cs="Times New Roman"/>
          <w:b/>
          <w:bCs/>
          <w:color w:val="333333"/>
          <w:kern w:val="0"/>
          <w:sz w:val="36"/>
          <w:szCs w:val="36"/>
          <w:lang w:eastAsia="en-IN" w:bidi="ar-SA"/>
          <w14:ligatures w14:val="none"/>
        </w:rPr>
      </w:pPr>
    </w:p>
    <w:p w14:paraId="6FB20CB9" w14:textId="07C9BEC1" w:rsidR="007A10A2" w:rsidRPr="007A10A2" w:rsidRDefault="007A10A2" w:rsidP="006C4AAD">
      <w:pPr>
        <w:shd w:val="clear" w:color="auto" w:fill="FCFCFC"/>
        <w:spacing w:line="240" w:lineRule="auto"/>
        <w:rPr>
          <w:rFonts w:ascii="Times New Roman" w:eastAsia="Times New Roman" w:hAnsi="Times New Roman" w:cs="Times New Roman"/>
          <w:b/>
          <w:bCs/>
          <w:color w:val="333333"/>
          <w:kern w:val="0"/>
          <w:sz w:val="36"/>
          <w:szCs w:val="36"/>
          <w:lang w:eastAsia="en-IN" w:bidi="ar-SA"/>
          <w14:ligatures w14:val="none"/>
        </w:rPr>
      </w:pPr>
      <w:r w:rsidRPr="007A10A2">
        <w:rPr>
          <w:rFonts w:ascii="Times New Roman" w:eastAsia="Times New Roman" w:hAnsi="Times New Roman" w:cs="Times New Roman"/>
          <w:b/>
          <w:bCs/>
          <w:color w:val="333333"/>
          <w:kern w:val="0"/>
          <w:sz w:val="36"/>
          <w:szCs w:val="36"/>
          <w:lang w:eastAsia="en-IN" w:bidi="ar-SA"/>
          <w14:ligatures w14:val="none"/>
        </w:rPr>
        <w:lastRenderedPageBreak/>
        <w:t>4 Pros of AI in Mete</w:t>
      </w:r>
      <w:r w:rsidR="00221193">
        <w:rPr>
          <w:rFonts w:ascii="Times New Roman" w:eastAsia="Times New Roman" w:hAnsi="Times New Roman" w:cs="Times New Roman"/>
          <w:b/>
          <w:bCs/>
          <w:color w:val="333333"/>
          <w:kern w:val="0"/>
          <w:sz w:val="36"/>
          <w:szCs w:val="36"/>
          <w:lang w:eastAsia="en-IN" w:bidi="ar-SA"/>
          <w14:ligatures w14:val="none"/>
        </w:rPr>
        <w:t>o</w:t>
      </w:r>
      <w:r w:rsidRPr="007A10A2">
        <w:rPr>
          <w:rFonts w:ascii="Times New Roman" w:eastAsia="Times New Roman" w:hAnsi="Times New Roman" w:cs="Times New Roman"/>
          <w:b/>
          <w:bCs/>
          <w:color w:val="333333"/>
          <w:kern w:val="0"/>
          <w:sz w:val="36"/>
          <w:szCs w:val="36"/>
          <w:lang w:eastAsia="en-IN" w:bidi="ar-SA"/>
          <w14:ligatures w14:val="none"/>
        </w:rPr>
        <w:t>rology and Earth Science</w:t>
      </w:r>
    </w:p>
    <w:p w14:paraId="78C4C9D4" w14:textId="77777777" w:rsidR="007A10A2" w:rsidRPr="007A10A2" w:rsidRDefault="007A10A2" w:rsidP="007A10A2">
      <w:pPr>
        <w:pStyle w:val="NormalWeb"/>
        <w:shd w:val="clear" w:color="auto" w:fill="FFFFFF"/>
        <w:spacing w:before="0" w:beforeAutospacing="0" w:after="360" w:afterAutospacing="0" w:line="401" w:lineRule="atLeast"/>
        <w:rPr>
          <w:color w:val="666666"/>
        </w:rPr>
      </w:pPr>
      <w:r w:rsidRPr="007A10A2">
        <w:rPr>
          <w:rStyle w:val="Strong"/>
          <w:color w:val="666666"/>
        </w:rPr>
        <w:t>Improving climate resilience. </w:t>
      </w:r>
      <w:r w:rsidRPr="007A10A2">
        <w:rPr>
          <w:color w:val="666666"/>
        </w:rPr>
        <w:t>Delivering a project in association with the World Bank and government of India, farmers in India use an AI-powered weather advisory system from Cropin to optimize farming practices for seed, crop, nutrient and soil management. On this deployment, the company has digitized over 30,000 farm plots covering 77 crop varieties and increased farm revenue by 37%, according to Cropin founder and CEO Krishna Kumar.</w:t>
      </w:r>
    </w:p>
    <w:p w14:paraId="307FBDEE" w14:textId="77777777" w:rsidR="007A10A2" w:rsidRPr="007A10A2" w:rsidRDefault="007A10A2" w:rsidP="007A10A2">
      <w:pPr>
        <w:pStyle w:val="NormalWeb"/>
        <w:shd w:val="clear" w:color="auto" w:fill="FFFFFF"/>
        <w:spacing w:before="360" w:beforeAutospacing="0" w:after="360" w:afterAutospacing="0" w:line="401" w:lineRule="atLeast"/>
        <w:rPr>
          <w:color w:val="666666"/>
        </w:rPr>
      </w:pPr>
      <w:r w:rsidRPr="007A10A2">
        <w:rPr>
          <w:rStyle w:val="Strong"/>
          <w:color w:val="666666"/>
        </w:rPr>
        <w:t>Wind energy forecasting. </w:t>
      </w:r>
      <w:r w:rsidRPr="007A10A2">
        <w:rPr>
          <w:color w:val="666666"/>
        </w:rPr>
        <w:t>Wind projects tend to be located distant from weather infrastructure. Classic numerical weather prediction models typically do not resolve this terrain very well, resulting in erroneous weather output predictions. ML techniques combine onsite meteorological observation data, historical data and </w:t>
      </w:r>
      <w:hyperlink r:id="rId206" w:history="1">
        <w:r w:rsidRPr="007A10A2">
          <w:rPr>
            <w:rStyle w:val="Hyperlink"/>
            <w:color w:val="007CAD"/>
          </w:rPr>
          <w:t>data about turbine operations</w:t>
        </w:r>
      </w:hyperlink>
      <w:r w:rsidRPr="007A10A2">
        <w:rPr>
          <w:color w:val="666666"/>
        </w:rPr>
        <w:t> to keep the models from both overpredicting and underpredicting.</w:t>
      </w:r>
    </w:p>
    <w:p w14:paraId="2FA62D4D" w14:textId="77777777" w:rsidR="007A10A2" w:rsidRPr="007A10A2" w:rsidRDefault="007A10A2" w:rsidP="007A10A2">
      <w:pPr>
        <w:pStyle w:val="NormalWeb"/>
        <w:shd w:val="clear" w:color="auto" w:fill="FFFFFF"/>
        <w:spacing w:before="360" w:beforeAutospacing="0" w:after="360" w:afterAutospacing="0" w:line="401" w:lineRule="atLeast"/>
        <w:rPr>
          <w:color w:val="666666"/>
        </w:rPr>
      </w:pPr>
      <w:r w:rsidRPr="007A10A2">
        <w:rPr>
          <w:rStyle w:val="Strong"/>
          <w:color w:val="666666"/>
        </w:rPr>
        <w:t>Generation demand. </w:t>
      </w:r>
      <w:r w:rsidRPr="007A10A2">
        <w:rPr>
          <w:color w:val="666666"/>
        </w:rPr>
        <w:t>Temperature forecasts are one of the primary inputs that utility companies rely on when planning for energy demand. However, decision-making can be imperfect due to sources of error in prediction models. New ML approaches can learn to infer information that's not resolved by the numerical models to correct for these errors, according to Scott Mackaro, head of insights and innovation for weather forecasting platform Vaisala Xweather.</w:t>
      </w:r>
    </w:p>
    <w:p w14:paraId="1524B4A6" w14:textId="77777777" w:rsidR="007A10A2" w:rsidRPr="007A10A2" w:rsidRDefault="007A10A2" w:rsidP="007A10A2">
      <w:pPr>
        <w:pStyle w:val="NormalWeb"/>
        <w:shd w:val="clear" w:color="auto" w:fill="FFFFFF"/>
        <w:spacing w:before="360" w:beforeAutospacing="0" w:after="360" w:afterAutospacing="0" w:line="401" w:lineRule="atLeast"/>
        <w:rPr>
          <w:color w:val="666666"/>
        </w:rPr>
      </w:pPr>
      <w:r w:rsidRPr="007A10A2">
        <w:rPr>
          <w:rStyle w:val="Strong"/>
          <w:color w:val="666666"/>
        </w:rPr>
        <w:t>Predicting power outages. </w:t>
      </w:r>
      <w:r w:rsidRPr="007A10A2">
        <w:rPr>
          <w:color w:val="666666"/>
        </w:rPr>
        <w:t>AI vendors can train AI algorithms on satellite and weather data to predict the impact of storms and mitigate outages. </w:t>
      </w:r>
      <w:hyperlink r:id="rId207" w:history="1">
        <w:r w:rsidRPr="007A10A2">
          <w:rPr>
            <w:rStyle w:val="Hyperlink"/>
            <w:color w:val="007CAD"/>
          </w:rPr>
          <w:t>Satellite AI</w:t>
        </w:r>
      </w:hyperlink>
      <w:r w:rsidRPr="007A10A2">
        <w:rPr>
          <w:color w:val="666666"/>
        </w:rPr>
        <w:t> can also help utility companies understand weather paths and the severity of incoming storms to minimize damage, plan a response, restore safety to communities and communicate accurately with response teams and local authorities.</w:t>
      </w:r>
    </w:p>
    <w:p w14:paraId="1B78E9DF" w14:textId="21241842" w:rsidR="00412BAE" w:rsidRDefault="007A10A2" w:rsidP="006C4AAD">
      <w:pPr>
        <w:pBdr>
          <w:bottom w:val="single" w:sz="12" w:space="6" w:color="D5D5D5"/>
        </w:pBdr>
        <w:shd w:val="clear" w:color="auto" w:fill="FCFCFC"/>
        <w:spacing w:after="0" w:line="240" w:lineRule="auto"/>
        <w:outlineLvl w:val="1"/>
        <w:rPr>
          <w:rFonts w:ascii="Times New Roman" w:eastAsia="Times New Roman" w:hAnsi="Times New Roman" w:cs="Times New Roman"/>
          <w:b/>
          <w:bCs/>
          <w:color w:val="333333"/>
          <w:kern w:val="0"/>
          <w:sz w:val="36"/>
          <w:szCs w:val="36"/>
          <w:lang w:eastAsia="en-IN" w:bidi="ar-SA"/>
          <w14:ligatures w14:val="none"/>
        </w:rPr>
      </w:pPr>
      <w:r>
        <w:rPr>
          <w:rFonts w:ascii="Times New Roman" w:eastAsia="Times New Roman" w:hAnsi="Times New Roman" w:cs="Times New Roman"/>
          <w:b/>
          <w:bCs/>
          <w:color w:val="333333"/>
          <w:kern w:val="0"/>
          <w:sz w:val="36"/>
          <w:szCs w:val="36"/>
          <w:lang w:eastAsia="en-IN" w:bidi="ar-SA"/>
          <w14:ligatures w14:val="none"/>
        </w:rPr>
        <w:t>5 cons of AI in Mete</w:t>
      </w:r>
      <w:r w:rsidR="00221193">
        <w:rPr>
          <w:rFonts w:ascii="Times New Roman" w:eastAsia="Times New Roman" w:hAnsi="Times New Roman" w:cs="Times New Roman"/>
          <w:b/>
          <w:bCs/>
          <w:color w:val="333333"/>
          <w:kern w:val="0"/>
          <w:sz w:val="36"/>
          <w:szCs w:val="36"/>
          <w:lang w:eastAsia="en-IN" w:bidi="ar-SA"/>
          <w14:ligatures w14:val="none"/>
        </w:rPr>
        <w:t>o</w:t>
      </w:r>
      <w:r>
        <w:rPr>
          <w:rFonts w:ascii="Times New Roman" w:eastAsia="Times New Roman" w:hAnsi="Times New Roman" w:cs="Times New Roman"/>
          <w:b/>
          <w:bCs/>
          <w:color w:val="333333"/>
          <w:kern w:val="0"/>
          <w:sz w:val="36"/>
          <w:szCs w:val="36"/>
          <w:lang w:eastAsia="en-IN" w:bidi="ar-SA"/>
          <w14:ligatures w14:val="none"/>
        </w:rPr>
        <w:t>rology and Earth Science</w:t>
      </w:r>
    </w:p>
    <w:p w14:paraId="58F5136B" w14:textId="77777777" w:rsidR="00B379E7" w:rsidRDefault="00B379E7" w:rsidP="00B379E7">
      <w:pPr>
        <w:shd w:val="clear" w:color="auto" w:fill="FFFFFF"/>
        <w:spacing w:before="100" w:beforeAutospacing="1" w:after="100" w:afterAutospacing="1" w:line="240" w:lineRule="auto"/>
        <w:textAlignment w:val="baseline"/>
        <w:rPr>
          <w:rFonts w:ascii="Georgia" w:hAnsi="Georgia"/>
          <w:color w:val="282828"/>
          <w:sz w:val="26"/>
          <w:szCs w:val="26"/>
        </w:rPr>
      </w:pPr>
    </w:p>
    <w:p w14:paraId="3E164108" w14:textId="1EAC7444" w:rsidR="00B379E7" w:rsidRDefault="00B379E7" w:rsidP="00B379E7">
      <w:pPr>
        <w:numPr>
          <w:ilvl w:val="0"/>
          <w:numId w:val="11"/>
        </w:numPr>
        <w:shd w:val="clear" w:color="auto" w:fill="FFFFFF"/>
        <w:spacing w:before="100" w:beforeAutospacing="1" w:after="100" w:afterAutospacing="1" w:line="240" w:lineRule="auto"/>
        <w:textAlignment w:val="baseline"/>
        <w:rPr>
          <w:rFonts w:ascii="Georgia" w:hAnsi="Georgia"/>
          <w:color w:val="282828"/>
          <w:sz w:val="26"/>
          <w:szCs w:val="26"/>
        </w:rPr>
      </w:pPr>
      <w:r>
        <w:rPr>
          <w:rFonts w:ascii="Georgia" w:hAnsi="Georgia"/>
          <w:color w:val="282828"/>
          <w:sz w:val="26"/>
          <w:szCs w:val="26"/>
        </w:rPr>
        <w:t>Changes in ocean circulation and the resulting warmer temperatures disrupt the world's normal weather patterns, bringing about more extreme weather and an increased frequency of severe and </w:t>
      </w:r>
      <w:hyperlink r:id="rId208" w:history="1">
        <w:r>
          <w:rPr>
            <w:rStyle w:val="Hyperlink"/>
            <w:rFonts w:ascii="Georgia" w:hAnsi="Georgia"/>
            <w:color w:val="282828"/>
            <w:sz w:val="26"/>
            <w:szCs w:val="26"/>
          </w:rPr>
          <w:t>catastrophic storms</w:t>
        </w:r>
      </w:hyperlink>
      <w:r>
        <w:rPr>
          <w:rFonts w:ascii="Georgia" w:hAnsi="Georgia"/>
          <w:color w:val="282828"/>
          <w:sz w:val="26"/>
          <w:szCs w:val="26"/>
        </w:rPr>
        <w:t>, such as hurricanes and typhoons. The increase in severe storms leads to a more frequent occurrence of such things as "hundred-year floods," decimation of habitats and property, not to mention, loss of life—human and otherwise.  </w:t>
      </w:r>
    </w:p>
    <w:p w14:paraId="6D3ED634" w14:textId="77777777" w:rsidR="00B379E7" w:rsidRPr="00B379E7" w:rsidRDefault="00B379E7" w:rsidP="00B379E7">
      <w:pPr>
        <w:shd w:val="clear" w:color="auto" w:fill="FFFFFF"/>
        <w:spacing w:before="100" w:beforeAutospacing="1" w:after="100" w:afterAutospacing="1" w:line="240" w:lineRule="auto"/>
        <w:ind w:left="720"/>
        <w:textAlignment w:val="baseline"/>
        <w:rPr>
          <w:rFonts w:ascii="Georgia" w:hAnsi="Georgia"/>
          <w:color w:val="282828"/>
          <w:sz w:val="26"/>
          <w:szCs w:val="26"/>
        </w:rPr>
      </w:pPr>
    </w:p>
    <w:p w14:paraId="60C8B57D" w14:textId="28B4E086" w:rsidR="00B379E7" w:rsidRDefault="00B379E7" w:rsidP="00B379E7">
      <w:pPr>
        <w:numPr>
          <w:ilvl w:val="0"/>
          <w:numId w:val="11"/>
        </w:numPr>
        <w:shd w:val="clear" w:color="auto" w:fill="FFFFFF"/>
        <w:spacing w:before="100" w:beforeAutospacing="1" w:after="100" w:afterAutospacing="1" w:line="240" w:lineRule="auto"/>
        <w:textAlignment w:val="baseline"/>
        <w:rPr>
          <w:rFonts w:ascii="Georgia" w:hAnsi="Georgia"/>
          <w:color w:val="282828"/>
          <w:sz w:val="26"/>
          <w:szCs w:val="26"/>
        </w:rPr>
      </w:pPr>
      <w:r>
        <w:rPr>
          <w:rFonts w:ascii="Georgia" w:hAnsi="Georgia"/>
          <w:color w:val="282828"/>
          <w:sz w:val="26"/>
          <w:szCs w:val="26"/>
        </w:rPr>
        <w:t>Deserts become drier, leading to increased </w:t>
      </w:r>
      <w:hyperlink r:id="rId209" w:history="1">
        <w:r>
          <w:rPr>
            <w:rStyle w:val="Hyperlink"/>
            <w:rFonts w:ascii="Georgia" w:hAnsi="Georgia"/>
            <w:color w:val="282828"/>
            <w:sz w:val="26"/>
            <w:szCs w:val="26"/>
          </w:rPr>
          <w:t>desertification</w:t>
        </w:r>
      </w:hyperlink>
      <w:r>
        <w:rPr>
          <w:rFonts w:ascii="Georgia" w:hAnsi="Georgia"/>
          <w:color w:val="282828"/>
          <w:sz w:val="26"/>
          <w:szCs w:val="26"/>
        </w:rPr>
        <w:t>, resulting in border conflicts in already water-scarce areas.</w:t>
      </w:r>
    </w:p>
    <w:p w14:paraId="49919376" w14:textId="6A50A13F" w:rsidR="00B379E7" w:rsidRDefault="00B379E7" w:rsidP="00B379E7">
      <w:pPr>
        <w:shd w:val="clear" w:color="auto" w:fill="FFFFFF"/>
        <w:spacing w:before="100" w:beforeAutospacing="1" w:after="100" w:afterAutospacing="1" w:line="240" w:lineRule="auto"/>
        <w:ind w:left="720"/>
        <w:textAlignment w:val="baseline"/>
        <w:rPr>
          <w:rFonts w:ascii="Georgia" w:eastAsia="Times New Roman" w:hAnsi="Georgia" w:cs="Times New Roman"/>
          <w:color w:val="282828"/>
          <w:kern w:val="0"/>
          <w:sz w:val="26"/>
          <w:szCs w:val="26"/>
          <w:lang w:eastAsia="en-IN" w:bidi="ar-SA"/>
          <w14:ligatures w14:val="none"/>
        </w:rPr>
      </w:pPr>
    </w:p>
    <w:p w14:paraId="55219252" w14:textId="206E7BD6" w:rsidR="00B379E7" w:rsidRPr="00B379E7" w:rsidRDefault="00B379E7" w:rsidP="00B379E7">
      <w:pPr>
        <w:numPr>
          <w:ilvl w:val="0"/>
          <w:numId w:val="11"/>
        </w:numPr>
        <w:shd w:val="clear" w:color="auto" w:fill="FFFFFF"/>
        <w:spacing w:before="100" w:beforeAutospacing="1" w:after="100" w:afterAutospacing="1" w:line="240" w:lineRule="auto"/>
        <w:textAlignment w:val="baseline"/>
        <w:rPr>
          <w:rFonts w:ascii="Georgia" w:eastAsia="Times New Roman" w:hAnsi="Georgia" w:cs="Times New Roman"/>
          <w:color w:val="282828"/>
          <w:kern w:val="0"/>
          <w:sz w:val="26"/>
          <w:szCs w:val="26"/>
          <w:lang w:eastAsia="en-IN" w:bidi="ar-SA"/>
          <w14:ligatures w14:val="none"/>
        </w:rPr>
      </w:pPr>
      <w:r w:rsidRPr="00B379E7">
        <w:rPr>
          <w:rFonts w:ascii="Georgia" w:eastAsia="Times New Roman" w:hAnsi="Georgia" w:cs="Times New Roman"/>
          <w:color w:val="282828"/>
          <w:kern w:val="0"/>
          <w:sz w:val="26"/>
          <w:szCs w:val="26"/>
          <w:lang w:eastAsia="en-IN" w:bidi="ar-SA"/>
          <w14:ligatures w14:val="none"/>
        </w:rPr>
        <w:t>Insect-borne diseases increase. For example, if insects don't die off in an area because it no longer reaches the cold temperatures it once did, diseases those insects may carry—such Lyme disease—can proliferate more easily.</w:t>
      </w:r>
    </w:p>
    <w:p w14:paraId="48409062" w14:textId="77777777" w:rsidR="00B379E7" w:rsidRDefault="00B379E7" w:rsidP="00B379E7">
      <w:pPr>
        <w:shd w:val="clear" w:color="auto" w:fill="FFFFFF"/>
        <w:spacing w:before="100" w:beforeAutospacing="1" w:after="100" w:afterAutospacing="1" w:line="240" w:lineRule="auto"/>
        <w:ind w:left="720"/>
        <w:textAlignment w:val="baseline"/>
        <w:rPr>
          <w:rFonts w:ascii="Georgia" w:eastAsia="Times New Roman" w:hAnsi="Georgia" w:cs="Times New Roman"/>
          <w:color w:val="282828"/>
          <w:kern w:val="0"/>
          <w:sz w:val="26"/>
          <w:szCs w:val="26"/>
          <w:lang w:eastAsia="en-IN" w:bidi="ar-SA"/>
          <w14:ligatures w14:val="none"/>
        </w:rPr>
      </w:pPr>
    </w:p>
    <w:p w14:paraId="187A32AB" w14:textId="1657FAE3" w:rsidR="00B379E7" w:rsidRPr="00B379E7" w:rsidRDefault="00B379E7" w:rsidP="00B379E7">
      <w:pPr>
        <w:numPr>
          <w:ilvl w:val="0"/>
          <w:numId w:val="11"/>
        </w:numPr>
        <w:shd w:val="clear" w:color="auto" w:fill="FFFFFF"/>
        <w:spacing w:before="100" w:beforeAutospacing="1" w:after="100" w:afterAutospacing="1" w:line="240" w:lineRule="auto"/>
        <w:textAlignment w:val="baseline"/>
        <w:rPr>
          <w:rFonts w:ascii="Georgia" w:eastAsia="Times New Roman" w:hAnsi="Georgia" w:cs="Times New Roman"/>
          <w:color w:val="282828"/>
          <w:kern w:val="0"/>
          <w:sz w:val="26"/>
          <w:szCs w:val="26"/>
          <w:lang w:eastAsia="en-IN" w:bidi="ar-SA"/>
          <w14:ligatures w14:val="none"/>
        </w:rPr>
      </w:pPr>
      <w:r w:rsidRPr="00B379E7">
        <w:rPr>
          <w:rFonts w:ascii="Georgia" w:eastAsia="Times New Roman" w:hAnsi="Georgia" w:cs="Times New Roman"/>
          <w:color w:val="282828"/>
          <w:kern w:val="0"/>
          <w:sz w:val="26"/>
          <w:szCs w:val="26"/>
          <w:lang w:eastAsia="en-IN" w:bidi="ar-SA"/>
          <w14:ligatures w14:val="none"/>
        </w:rPr>
        <w:t>Because the behaviors of many plants, insects, and animals are dependent on temperature, a change in climate can cause an imbalance in the ecosystem itself. For example, say the availability of food for a particular insect no longer coincides with the time when the offspring of the natural predator for that insect is born. Uncontrolled by predation, the insect population booms, resulting in an overabundance of that pest. This, in turn, leads to increased stress on the foliage the insects eat, which ultimately results in a loss of food for larger animals in the food chain that also depend on those plants for sustenance.</w:t>
      </w:r>
    </w:p>
    <w:p w14:paraId="438E83FA" w14:textId="77777777" w:rsidR="00B379E7" w:rsidRDefault="00B379E7" w:rsidP="00B379E7">
      <w:pPr>
        <w:shd w:val="clear" w:color="auto" w:fill="FFFFFF"/>
        <w:spacing w:before="100" w:beforeAutospacing="1" w:after="100" w:afterAutospacing="1" w:line="240" w:lineRule="auto"/>
        <w:ind w:left="720"/>
        <w:textAlignment w:val="baseline"/>
        <w:rPr>
          <w:rFonts w:ascii="Georgia" w:hAnsi="Georgia"/>
          <w:color w:val="282828"/>
          <w:sz w:val="26"/>
          <w:szCs w:val="26"/>
        </w:rPr>
      </w:pPr>
    </w:p>
    <w:p w14:paraId="649B1D29" w14:textId="77777777" w:rsidR="007A10A2" w:rsidRDefault="007A10A2" w:rsidP="006C4AAD">
      <w:pPr>
        <w:pBdr>
          <w:bottom w:val="single" w:sz="12" w:space="6" w:color="D5D5D5"/>
        </w:pBdr>
        <w:shd w:val="clear" w:color="auto" w:fill="FCFCFC"/>
        <w:spacing w:after="0" w:line="240" w:lineRule="auto"/>
        <w:outlineLvl w:val="1"/>
        <w:rPr>
          <w:rFonts w:ascii="Times New Roman" w:eastAsia="Times New Roman" w:hAnsi="Times New Roman" w:cs="Times New Roman"/>
          <w:b/>
          <w:bCs/>
          <w:color w:val="333333"/>
          <w:kern w:val="0"/>
          <w:sz w:val="36"/>
          <w:szCs w:val="36"/>
          <w:lang w:eastAsia="en-IN" w:bidi="ar-SA"/>
          <w14:ligatures w14:val="none"/>
        </w:rPr>
      </w:pPr>
    </w:p>
    <w:p w14:paraId="7E19FAA0" w14:textId="77777777" w:rsidR="007A10A2" w:rsidRDefault="007A10A2" w:rsidP="006C4AAD">
      <w:pPr>
        <w:pBdr>
          <w:bottom w:val="single" w:sz="12" w:space="6" w:color="D5D5D5"/>
        </w:pBdr>
        <w:shd w:val="clear" w:color="auto" w:fill="FCFCFC"/>
        <w:spacing w:after="0" w:line="240" w:lineRule="auto"/>
        <w:outlineLvl w:val="1"/>
        <w:rPr>
          <w:rFonts w:ascii="Times New Roman" w:eastAsia="Times New Roman" w:hAnsi="Times New Roman" w:cs="Times New Roman"/>
          <w:b/>
          <w:bCs/>
          <w:color w:val="333333"/>
          <w:kern w:val="0"/>
          <w:sz w:val="36"/>
          <w:szCs w:val="36"/>
          <w:lang w:eastAsia="en-IN" w:bidi="ar-SA"/>
          <w14:ligatures w14:val="none"/>
        </w:rPr>
      </w:pPr>
    </w:p>
    <w:p w14:paraId="28795CD6" w14:textId="77777777" w:rsidR="007A10A2" w:rsidRPr="00D4005D" w:rsidRDefault="007A10A2" w:rsidP="006C4AAD">
      <w:pPr>
        <w:pBdr>
          <w:bottom w:val="single" w:sz="12" w:space="6" w:color="D5D5D5"/>
        </w:pBdr>
        <w:shd w:val="clear" w:color="auto" w:fill="FCFCFC"/>
        <w:spacing w:after="0" w:line="240" w:lineRule="auto"/>
        <w:outlineLvl w:val="1"/>
        <w:rPr>
          <w:rFonts w:ascii="Times New Roman" w:eastAsia="Times New Roman" w:hAnsi="Times New Roman" w:cs="Times New Roman"/>
          <w:b/>
          <w:bCs/>
          <w:color w:val="333333"/>
          <w:kern w:val="0"/>
          <w:sz w:val="36"/>
          <w:szCs w:val="36"/>
          <w:lang w:eastAsia="en-IN" w:bidi="ar-SA"/>
          <w14:ligatures w14:val="none"/>
        </w:rPr>
      </w:pPr>
    </w:p>
    <w:p w14:paraId="6DE5199A" w14:textId="77777777" w:rsidR="00B379E7" w:rsidRDefault="00B379E7" w:rsidP="006C4AAD">
      <w:pPr>
        <w:pBdr>
          <w:bottom w:val="single" w:sz="12" w:space="6" w:color="D5D5D5"/>
        </w:pBdr>
        <w:shd w:val="clear" w:color="auto" w:fill="FCFCFC"/>
        <w:spacing w:after="0" w:line="240" w:lineRule="auto"/>
        <w:outlineLvl w:val="1"/>
        <w:rPr>
          <w:rFonts w:ascii="Times New Roman" w:eastAsia="Times New Roman" w:hAnsi="Times New Roman" w:cs="Times New Roman"/>
          <w:b/>
          <w:bCs/>
          <w:color w:val="333333"/>
          <w:kern w:val="0"/>
          <w:sz w:val="36"/>
          <w:szCs w:val="36"/>
          <w:lang w:eastAsia="en-IN" w:bidi="ar-SA"/>
          <w14:ligatures w14:val="none"/>
        </w:rPr>
      </w:pPr>
    </w:p>
    <w:p w14:paraId="63F47A23" w14:textId="77777777" w:rsidR="00B379E7" w:rsidRDefault="00B379E7" w:rsidP="006C4AAD">
      <w:pPr>
        <w:pBdr>
          <w:bottom w:val="single" w:sz="12" w:space="6" w:color="D5D5D5"/>
        </w:pBdr>
        <w:shd w:val="clear" w:color="auto" w:fill="FCFCFC"/>
        <w:spacing w:after="0" w:line="240" w:lineRule="auto"/>
        <w:outlineLvl w:val="1"/>
        <w:rPr>
          <w:rFonts w:ascii="Times New Roman" w:eastAsia="Times New Roman" w:hAnsi="Times New Roman" w:cs="Times New Roman"/>
          <w:b/>
          <w:bCs/>
          <w:color w:val="333333"/>
          <w:kern w:val="0"/>
          <w:sz w:val="36"/>
          <w:szCs w:val="36"/>
          <w:lang w:eastAsia="en-IN" w:bidi="ar-SA"/>
          <w14:ligatures w14:val="none"/>
        </w:rPr>
      </w:pPr>
    </w:p>
    <w:p w14:paraId="3CDF3875" w14:textId="09141EF6" w:rsidR="006C4AAD" w:rsidRPr="00D4005D" w:rsidRDefault="007A10A2" w:rsidP="006C4AAD">
      <w:pPr>
        <w:pBdr>
          <w:bottom w:val="single" w:sz="12" w:space="6" w:color="D5D5D5"/>
        </w:pBdr>
        <w:shd w:val="clear" w:color="auto" w:fill="FCFCFC"/>
        <w:spacing w:after="0" w:line="240" w:lineRule="auto"/>
        <w:outlineLvl w:val="1"/>
        <w:rPr>
          <w:rFonts w:ascii="Times New Roman" w:eastAsia="Times New Roman" w:hAnsi="Times New Roman" w:cs="Times New Roman"/>
          <w:b/>
          <w:bCs/>
          <w:color w:val="333333"/>
          <w:kern w:val="0"/>
          <w:sz w:val="36"/>
          <w:szCs w:val="36"/>
          <w:lang w:eastAsia="en-IN" w:bidi="ar-SA"/>
          <w14:ligatures w14:val="none"/>
        </w:rPr>
      </w:pPr>
      <w:r>
        <w:rPr>
          <w:rFonts w:ascii="Times New Roman" w:eastAsia="Times New Roman" w:hAnsi="Times New Roman" w:cs="Times New Roman"/>
          <w:b/>
          <w:bCs/>
          <w:color w:val="333333"/>
          <w:kern w:val="0"/>
          <w:sz w:val="36"/>
          <w:szCs w:val="36"/>
          <w:lang w:eastAsia="en-IN" w:bidi="ar-SA"/>
          <w14:ligatures w14:val="none"/>
        </w:rPr>
        <w:t>6</w:t>
      </w:r>
      <w:r w:rsidR="006C4AAD" w:rsidRPr="00D4005D">
        <w:rPr>
          <w:rFonts w:ascii="Times New Roman" w:eastAsia="Times New Roman" w:hAnsi="Times New Roman" w:cs="Times New Roman"/>
          <w:b/>
          <w:bCs/>
          <w:color w:val="333333"/>
          <w:kern w:val="0"/>
          <w:sz w:val="36"/>
          <w:szCs w:val="36"/>
          <w:lang w:eastAsia="en-IN" w:bidi="ar-SA"/>
          <w14:ligatures w14:val="none"/>
        </w:rPr>
        <w:t> Conclusions</w:t>
      </w:r>
    </w:p>
    <w:p w14:paraId="5A85B373" w14:textId="77777777" w:rsidR="006C4AAD" w:rsidRPr="00D4005D" w:rsidRDefault="006C4AAD" w:rsidP="006C4AAD">
      <w:pPr>
        <w:shd w:val="clear" w:color="auto" w:fill="FCFCFC"/>
        <w:spacing w:after="36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The potential of NNs to successfully tackle complex problems in earth sciences has become quite evident in recent years. An important requirement for further application and exploitation of NNs in geoscience is their interpretability, and newly developed XAI methods show very promising results for this task. In this chapter we provided an overview of the most recent work from our group, applying XAI to meteorology and climate science. This overview clearly illustrates that XAI methods can provide valuable insights on the NN strategies, and that they are used in these fields under many different settings and prediction tasks, being beneficial for different scientific goals. For many applications that have been published in the literature, the ultimate goal is a highly-performing prediction model, and XAI methods are used by the scientists to calibrate their trust to the model, by ensuring that the decision strategy of the network is physically consistent (see e.g., [</w:t>
      </w:r>
      <w:hyperlink r:id="rId210" w:anchor="ref-CR18" w:tooltip="Gagne, D.J., II., Haupt, S.E., Nychka, D.W., Thompson, G.: Interpretable deep learning for spatial analysis of severe hailstorms. Mon. Weather Rev. 147(8), 2827–2845 (2019)" w:history="1">
        <w:r w:rsidRPr="00D4005D">
          <w:rPr>
            <w:rFonts w:ascii="Times New Roman" w:eastAsia="Times New Roman" w:hAnsi="Times New Roman" w:cs="Times New Roman"/>
            <w:color w:val="004B83"/>
            <w:kern w:val="0"/>
            <w:sz w:val="24"/>
            <w:szCs w:val="24"/>
            <w:u w:val="single"/>
            <w:lang w:eastAsia="en-IN" w:bidi="ar-SA"/>
            <w14:ligatures w14:val="none"/>
          </w:rPr>
          <w:t>18</w:t>
        </w:r>
      </w:hyperlink>
      <w:r w:rsidRPr="00D4005D">
        <w:rPr>
          <w:rFonts w:ascii="Times New Roman" w:eastAsia="Times New Roman" w:hAnsi="Times New Roman" w:cs="Times New Roman"/>
          <w:color w:val="333333"/>
          <w:kern w:val="0"/>
          <w:sz w:val="24"/>
          <w:szCs w:val="24"/>
          <w:lang w:eastAsia="en-IN" w:bidi="ar-SA"/>
          <w14:ligatures w14:val="none"/>
        </w:rPr>
        <w:t>, </w:t>
      </w:r>
      <w:hyperlink r:id="rId211" w:anchor="ref-CR21" w:tooltip="Ham, Y.G., Kim, J.H., Luo, J.J.: Deep learning for multi-year ENSO forecasts. Nature 573(7775), 568–572 (2019)" w:history="1">
        <w:r w:rsidRPr="00D4005D">
          <w:rPr>
            <w:rFonts w:ascii="Times New Roman" w:eastAsia="Times New Roman" w:hAnsi="Times New Roman" w:cs="Times New Roman"/>
            <w:color w:val="004B83"/>
            <w:kern w:val="0"/>
            <w:sz w:val="24"/>
            <w:szCs w:val="24"/>
            <w:u w:val="single"/>
            <w:lang w:eastAsia="en-IN" w:bidi="ar-SA"/>
            <w14:ligatures w14:val="none"/>
          </w:rPr>
          <w:t>21</w:t>
        </w:r>
      </w:hyperlink>
      <w:r w:rsidRPr="00D4005D">
        <w:rPr>
          <w:rFonts w:ascii="Times New Roman" w:eastAsia="Times New Roman" w:hAnsi="Times New Roman" w:cs="Times New Roman"/>
          <w:color w:val="333333"/>
          <w:kern w:val="0"/>
          <w:sz w:val="24"/>
          <w:szCs w:val="24"/>
          <w:lang w:eastAsia="en-IN" w:bidi="ar-SA"/>
          <w14:ligatures w14:val="none"/>
        </w:rPr>
        <w:t>, </w:t>
      </w:r>
      <w:hyperlink r:id="rId212" w:anchor="ref-CR25" w:tooltip="Hilburn, K.A., Ebert-Uphoff, I., Miller, S.D.: Development and interpretation of a neural-network-based synthetic radar reflectivity estimator using GOES-R satellite observations. J. Appl. Meteorol. Climatol. 60(1), 3–21 (2021)" w:history="1">
        <w:r w:rsidRPr="00D4005D">
          <w:rPr>
            <w:rFonts w:ascii="Times New Roman" w:eastAsia="Times New Roman" w:hAnsi="Times New Roman" w:cs="Times New Roman"/>
            <w:color w:val="004B83"/>
            <w:kern w:val="0"/>
            <w:sz w:val="24"/>
            <w:szCs w:val="24"/>
            <w:u w:val="single"/>
            <w:lang w:eastAsia="en-IN" w:bidi="ar-SA"/>
            <w14:ligatures w14:val="none"/>
          </w:rPr>
          <w:t>25</w:t>
        </w:r>
      </w:hyperlink>
      <w:r w:rsidRPr="00D4005D">
        <w:rPr>
          <w:rFonts w:ascii="Times New Roman" w:eastAsia="Times New Roman" w:hAnsi="Times New Roman" w:cs="Times New Roman"/>
          <w:color w:val="333333"/>
          <w:kern w:val="0"/>
          <w:sz w:val="24"/>
          <w:szCs w:val="24"/>
          <w:lang w:eastAsia="en-IN" w:bidi="ar-SA"/>
          <w14:ligatures w14:val="none"/>
        </w:rPr>
        <w:t>, </w:t>
      </w:r>
      <w:hyperlink r:id="rId213" w:anchor="ref-CR29" w:tooltip="Keys, P.W., Barnes, E.A., Carter, N.H.: A machine-learning approach to human footprint index estimation with applications to sustainable development. Environ. Res. Lett. 16(4), 044061 (2021)" w:history="1">
        <w:r w:rsidRPr="00D4005D">
          <w:rPr>
            <w:rFonts w:ascii="Times New Roman" w:eastAsia="Times New Roman" w:hAnsi="Times New Roman" w:cs="Times New Roman"/>
            <w:color w:val="004B83"/>
            <w:kern w:val="0"/>
            <w:sz w:val="24"/>
            <w:szCs w:val="24"/>
            <w:u w:val="single"/>
            <w:lang w:eastAsia="en-IN" w:bidi="ar-SA"/>
            <w14:ligatures w14:val="none"/>
          </w:rPr>
          <w:t>29</w:t>
        </w:r>
      </w:hyperlink>
      <w:r w:rsidRPr="00D4005D">
        <w:rPr>
          <w:rFonts w:ascii="Times New Roman" w:eastAsia="Times New Roman" w:hAnsi="Times New Roman" w:cs="Times New Roman"/>
          <w:color w:val="333333"/>
          <w:kern w:val="0"/>
          <w:sz w:val="24"/>
          <w:szCs w:val="24"/>
          <w:lang w:eastAsia="en-IN" w:bidi="ar-SA"/>
          <w14:ligatures w14:val="none"/>
        </w:rPr>
        <w:t>, </w:t>
      </w:r>
      <w:hyperlink r:id="rId214" w:anchor="ref-CR35" w:tooltip="Lapuschkin, S., Wäldchen, S., Binder, A., Montavon, G., Samek, W., Müller, K.R.: Unmasking clever HANs predictors and assessing what machines really learn. Nat. Commun. 10(1), 1–8 (2019)" w:history="1">
        <w:r w:rsidRPr="00D4005D">
          <w:rPr>
            <w:rFonts w:ascii="Times New Roman" w:eastAsia="Times New Roman" w:hAnsi="Times New Roman" w:cs="Times New Roman"/>
            <w:color w:val="004B83"/>
            <w:kern w:val="0"/>
            <w:sz w:val="24"/>
            <w:szCs w:val="24"/>
            <w:u w:val="single"/>
            <w:lang w:eastAsia="en-IN" w:bidi="ar-SA"/>
            <w14:ligatures w14:val="none"/>
          </w:rPr>
          <w:t>35</w:t>
        </w:r>
      </w:hyperlink>
      <w:r w:rsidRPr="00D4005D">
        <w:rPr>
          <w:rFonts w:ascii="Times New Roman" w:eastAsia="Times New Roman" w:hAnsi="Times New Roman" w:cs="Times New Roman"/>
          <w:color w:val="333333"/>
          <w:kern w:val="0"/>
          <w:sz w:val="24"/>
          <w:szCs w:val="24"/>
          <w:lang w:eastAsia="en-IN" w:bidi="ar-SA"/>
          <w14:ligatures w14:val="none"/>
        </w:rPr>
        <w:t>, </w:t>
      </w:r>
      <w:hyperlink r:id="rId215" w:anchor="ref-CR47" w:tooltip="Mayer, K.J., Barnes, E.A.: Subseasonal forecasts of opportunity identified by an explainable neural network. Geophys. Res. Lett. 48(10), e2020GL092092 (2021)" w:history="1">
        <w:r w:rsidRPr="00D4005D">
          <w:rPr>
            <w:rFonts w:ascii="Times New Roman" w:eastAsia="Times New Roman" w:hAnsi="Times New Roman" w:cs="Times New Roman"/>
            <w:color w:val="004B83"/>
            <w:kern w:val="0"/>
            <w:sz w:val="24"/>
            <w:szCs w:val="24"/>
            <w:u w:val="single"/>
            <w:lang w:eastAsia="en-IN" w:bidi="ar-SA"/>
            <w14:ligatures w14:val="none"/>
          </w:rPr>
          <w:t>47</w:t>
        </w:r>
      </w:hyperlink>
      <w:r w:rsidRPr="00D4005D">
        <w:rPr>
          <w:rFonts w:ascii="Times New Roman" w:eastAsia="Times New Roman" w:hAnsi="Times New Roman" w:cs="Times New Roman"/>
          <w:color w:val="333333"/>
          <w:kern w:val="0"/>
          <w:sz w:val="24"/>
          <w:szCs w:val="24"/>
          <w:lang w:eastAsia="en-IN" w:bidi="ar-SA"/>
          <w14:ligatures w14:val="none"/>
        </w:rPr>
        <w:t>, </w:t>
      </w:r>
      <w:hyperlink r:id="rId216" w:anchor="ref-CR80" w:tooltip="Toms, B.A., Barnes, E.A., Hurrell, J.W.: Assessing decadal predictability in an earth-system model using explainable neural networks. Geophys. Res. Lett. 48, e2021GL093842 (2021)" w:history="1">
        <w:r w:rsidRPr="00D4005D">
          <w:rPr>
            <w:rFonts w:ascii="Times New Roman" w:eastAsia="Times New Roman" w:hAnsi="Times New Roman" w:cs="Times New Roman"/>
            <w:color w:val="004B83"/>
            <w:kern w:val="0"/>
            <w:sz w:val="24"/>
            <w:szCs w:val="24"/>
            <w:u w:val="single"/>
            <w:lang w:eastAsia="en-IN" w:bidi="ar-SA"/>
            <w14:ligatures w14:val="none"/>
          </w:rPr>
          <w:t>80</w:t>
        </w:r>
      </w:hyperlink>
      <w:r w:rsidRPr="00D4005D">
        <w:rPr>
          <w:rFonts w:ascii="Times New Roman" w:eastAsia="Times New Roman" w:hAnsi="Times New Roman" w:cs="Times New Roman"/>
          <w:color w:val="333333"/>
          <w:kern w:val="0"/>
          <w:sz w:val="24"/>
          <w:szCs w:val="24"/>
          <w:lang w:eastAsia="en-IN" w:bidi="ar-SA"/>
          <w14:ligatures w14:val="none"/>
        </w:rPr>
        <w:t xml:space="preserve">]). In this way scientists can ensure that a high prediction performance is due to the right reasons, and that the network has learnt the true dynamics of </w:t>
      </w:r>
      <w:r w:rsidRPr="00D4005D">
        <w:rPr>
          <w:rFonts w:ascii="Times New Roman" w:eastAsia="Times New Roman" w:hAnsi="Times New Roman" w:cs="Times New Roman"/>
          <w:color w:val="333333"/>
          <w:kern w:val="0"/>
          <w:sz w:val="24"/>
          <w:szCs w:val="24"/>
          <w:lang w:eastAsia="en-IN" w:bidi="ar-SA"/>
          <w14:ligatures w14:val="none"/>
        </w:rPr>
        <w:lastRenderedPageBreak/>
        <w:t>the problem. Moreover, in many prediction applications, the explanation is used to help guide the design of the network that will be used to tackle the prediction problem (see e.g., [</w:t>
      </w:r>
      <w:hyperlink r:id="rId217" w:anchor="ref-CR16" w:tooltip="Ebert-Uphoff, I., Hilburn, K.: Evaluation, tuning, and interpretation of neural networks for working with images in meteorological applications. Bull. Am. Meteor. Soc. 101(12), E2149–E2170 (2020)" w:history="1">
        <w:r w:rsidRPr="00D4005D">
          <w:rPr>
            <w:rFonts w:ascii="Times New Roman" w:eastAsia="Times New Roman" w:hAnsi="Times New Roman" w:cs="Times New Roman"/>
            <w:color w:val="004B83"/>
            <w:kern w:val="0"/>
            <w:sz w:val="24"/>
            <w:szCs w:val="24"/>
            <w:u w:val="single"/>
            <w:lang w:eastAsia="en-IN" w:bidi="ar-SA"/>
            <w14:ligatures w14:val="none"/>
          </w:rPr>
          <w:t>16</w:t>
        </w:r>
      </w:hyperlink>
      <w:r w:rsidRPr="00D4005D">
        <w:rPr>
          <w:rFonts w:ascii="Times New Roman" w:eastAsia="Times New Roman" w:hAnsi="Times New Roman" w:cs="Times New Roman"/>
          <w:color w:val="333333"/>
          <w:kern w:val="0"/>
          <w:sz w:val="24"/>
          <w:szCs w:val="24"/>
          <w:lang w:eastAsia="en-IN" w:bidi="ar-SA"/>
          <w14:ligatures w14:val="none"/>
        </w:rPr>
        <w:t>]). As we showed, there are also applications where the prediction is not the goal of the analysis, but rather, the scientists are interested solely in the explanation. In this category of studies, XAI methods are used to gain physical insights about the dynamics of the problem or the sources of predictability. The highlighted relationships between the input and the output may warrant further investigation and advance our understanding, hence, establishing new science (see e.g., [</w:t>
      </w:r>
      <w:hyperlink r:id="rId218" w:anchor="ref-CR6" w:tooltip="Barnes, E.A., Toms, B., Hurrell, J.W., Ebert-Uphoff, I., Anderson, C., Anderson, D.: Indicator patterns of forced change learned by an artificial neural network. J. Adv. Model. Earth Syst. 12(9), e2020MS002195 (2020)" w:history="1">
        <w:r w:rsidRPr="00D4005D">
          <w:rPr>
            <w:rFonts w:ascii="Times New Roman" w:eastAsia="Times New Roman" w:hAnsi="Times New Roman" w:cs="Times New Roman"/>
            <w:color w:val="004B83"/>
            <w:kern w:val="0"/>
            <w:sz w:val="24"/>
            <w:szCs w:val="24"/>
            <w:u w:val="single"/>
            <w:lang w:eastAsia="en-IN" w:bidi="ar-SA"/>
            <w14:ligatures w14:val="none"/>
          </w:rPr>
          <w:t>6</w:t>
        </w:r>
      </w:hyperlink>
      <w:r w:rsidRPr="00D4005D">
        <w:rPr>
          <w:rFonts w:ascii="Times New Roman" w:eastAsia="Times New Roman" w:hAnsi="Times New Roman" w:cs="Times New Roman"/>
          <w:color w:val="333333"/>
          <w:kern w:val="0"/>
          <w:sz w:val="24"/>
          <w:szCs w:val="24"/>
          <w:lang w:eastAsia="en-IN" w:bidi="ar-SA"/>
          <w14:ligatures w14:val="none"/>
        </w:rPr>
        <w:t>, </w:t>
      </w:r>
      <w:hyperlink r:id="rId219" w:anchor="ref-CR74" w:tooltip="Sonnewald, M., Lguensat, R.: Revealing the impact of global heating on north atlantic circulation using transparent machine learning. Earth and Space Science Open Archive ESSOAr (2021)" w:history="1">
        <w:r w:rsidRPr="00D4005D">
          <w:rPr>
            <w:rFonts w:ascii="Times New Roman" w:eastAsia="Times New Roman" w:hAnsi="Times New Roman" w:cs="Times New Roman"/>
            <w:color w:val="004B83"/>
            <w:kern w:val="0"/>
            <w:sz w:val="24"/>
            <w:szCs w:val="24"/>
            <w:u w:val="single"/>
            <w:lang w:eastAsia="en-IN" w:bidi="ar-SA"/>
            <w14:ligatures w14:val="none"/>
          </w:rPr>
          <w:t>74</w:t>
        </w:r>
      </w:hyperlink>
      <w:r w:rsidRPr="00D4005D">
        <w:rPr>
          <w:rFonts w:ascii="Times New Roman" w:eastAsia="Times New Roman" w:hAnsi="Times New Roman" w:cs="Times New Roman"/>
          <w:color w:val="333333"/>
          <w:kern w:val="0"/>
          <w:sz w:val="24"/>
          <w:szCs w:val="24"/>
          <w:lang w:eastAsia="en-IN" w:bidi="ar-SA"/>
          <w14:ligatures w14:val="none"/>
        </w:rPr>
        <w:t>, </w:t>
      </w:r>
      <w:hyperlink r:id="rId220" w:anchor="ref-CR79" w:tooltip="Toms, B.A., Barnes, E.A., Ebert-Uphoff, I.: Physically interpretable neural networks for the geosciences: applications to earth system variability. J. Adv. Model. Earth Syst. 12(9), e2019MS002002 (2020)" w:history="1">
        <w:r w:rsidRPr="00D4005D">
          <w:rPr>
            <w:rFonts w:ascii="Times New Roman" w:eastAsia="Times New Roman" w:hAnsi="Times New Roman" w:cs="Times New Roman"/>
            <w:color w:val="004B83"/>
            <w:kern w:val="0"/>
            <w:sz w:val="24"/>
            <w:szCs w:val="24"/>
            <w:u w:val="single"/>
            <w:lang w:eastAsia="en-IN" w:bidi="ar-SA"/>
            <w14:ligatures w14:val="none"/>
          </w:rPr>
          <w:t>79</w:t>
        </w:r>
      </w:hyperlink>
      <w:r w:rsidRPr="00D4005D">
        <w:rPr>
          <w:rFonts w:ascii="Times New Roman" w:eastAsia="Times New Roman" w:hAnsi="Times New Roman" w:cs="Times New Roman"/>
          <w:color w:val="333333"/>
          <w:kern w:val="0"/>
          <w:sz w:val="24"/>
          <w:szCs w:val="24"/>
          <w:lang w:eastAsia="en-IN" w:bidi="ar-SA"/>
          <w14:ligatures w14:val="none"/>
        </w:rPr>
        <w:t>, </w:t>
      </w:r>
      <w:hyperlink r:id="rId221" w:anchor="ref-CR80" w:tooltip="Toms, B.A., Barnes, E.A., Hurrell, J.W.: Assessing decadal predictability in an earth-system model using explainable neural networks. Geophys. Res. Lett. 48, e2021GL093842 (2021)" w:history="1">
        <w:r w:rsidRPr="00D4005D">
          <w:rPr>
            <w:rFonts w:ascii="Times New Roman" w:eastAsia="Times New Roman" w:hAnsi="Times New Roman" w:cs="Times New Roman"/>
            <w:color w:val="004B83"/>
            <w:kern w:val="0"/>
            <w:sz w:val="24"/>
            <w:szCs w:val="24"/>
            <w:u w:val="single"/>
            <w:lang w:eastAsia="en-IN" w:bidi="ar-SA"/>
            <w14:ligatures w14:val="none"/>
          </w:rPr>
          <w:t>80</w:t>
        </w:r>
      </w:hyperlink>
      <w:r w:rsidRPr="00D4005D">
        <w:rPr>
          <w:rFonts w:ascii="Times New Roman" w:eastAsia="Times New Roman" w:hAnsi="Times New Roman" w:cs="Times New Roman"/>
          <w:color w:val="333333"/>
          <w:kern w:val="0"/>
          <w:sz w:val="24"/>
          <w:szCs w:val="24"/>
          <w:lang w:eastAsia="en-IN" w:bidi="ar-SA"/>
          <w14:ligatures w14:val="none"/>
        </w:rPr>
        <w:t>]).</w:t>
      </w:r>
    </w:p>
    <w:p w14:paraId="56421F8A" w14:textId="7C9D6C3C" w:rsidR="006C4AAD" w:rsidRPr="00D4005D" w:rsidRDefault="006C4AAD" w:rsidP="006C4AAD">
      <w:pPr>
        <w:shd w:val="clear" w:color="auto" w:fill="FCFCFC"/>
        <w:spacing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Independent of the goal of the analysis, an important aspect in XAI research is to better understand and assess the many different XAI methods that exist, in order to more successfully implement them. This need for objectivity in the XAI assessment arises from the fact that XAI methods are typically assessed without the use of any ground truth to test against and the conclusions can often be subjective. Thus, here we also summarized a newly introduced framework to generate synthetic attribution benchmarks to objectively test XAI methods [</w:t>
      </w:r>
      <w:hyperlink r:id="rId222" w:anchor="ref-CR43" w:tooltip="Mamalakis, A., Ebert-Uphoff, I., Barnes, E.A.: Neural network attribution methods for problems in geoscience: a novel synthetic benchmark dataset. arXiv preprint &#10;                    arXiv:2103.10005&#10;                    &#10;                   (2021)" w:history="1">
        <w:r w:rsidRPr="00D4005D">
          <w:rPr>
            <w:rFonts w:ascii="Times New Roman" w:eastAsia="Times New Roman" w:hAnsi="Times New Roman" w:cs="Times New Roman"/>
            <w:color w:val="004B83"/>
            <w:kern w:val="0"/>
            <w:sz w:val="24"/>
            <w:szCs w:val="24"/>
            <w:u w:val="single"/>
            <w:lang w:eastAsia="en-IN" w:bidi="ar-SA"/>
            <w14:ligatures w14:val="none"/>
          </w:rPr>
          <w:t>43</w:t>
        </w:r>
      </w:hyperlink>
      <w:r w:rsidRPr="00D4005D">
        <w:rPr>
          <w:rFonts w:ascii="Times New Roman" w:eastAsia="Times New Roman" w:hAnsi="Times New Roman" w:cs="Times New Roman"/>
          <w:color w:val="333333"/>
          <w:kern w:val="0"/>
          <w:sz w:val="24"/>
          <w:szCs w:val="24"/>
          <w:lang w:eastAsia="en-IN" w:bidi="ar-SA"/>
          <w14:ligatures w14:val="none"/>
        </w:rPr>
        <w:t>]. In the proposed framework, the ground truth of the attribution of the output to the input is derivable for any sample and known </w:t>
      </w:r>
      <w:r w:rsidRPr="00D4005D">
        <w:rPr>
          <w:rFonts w:ascii="Times New Roman" w:eastAsia="Times New Roman" w:hAnsi="Times New Roman" w:cs="Times New Roman"/>
          <w:i/>
          <w:iCs/>
          <w:color w:val="333333"/>
          <w:kern w:val="0"/>
          <w:sz w:val="24"/>
          <w:szCs w:val="24"/>
          <w:lang w:eastAsia="en-IN" w:bidi="ar-SA"/>
          <w14:ligatures w14:val="none"/>
        </w:rPr>
        <w:t>a priori</w:t>
      </w:r>
      <w:r w:rsidRPr="00D4005D">
        <w:rPr>
          <w:rFonts w:ascii="Times New Roman" w:eastAsia="Times New Roman" w:hAnsi="Times New Roman" w:cs="Times New Roman"/>
          <w:color w:val="333333"/>
          <w:kern w:val="0"/>
          <w:sz w:val="24"/>
          <w:szCs w:val="24"/>
          <w:lang w:eastAsia="en-IN" w:bidi="ar-SA"/>
          <w14:ligatures w14:val="none"/>
        </w:rPr>
        <w:t>. This allows the scientist to objectively assess if the explanation is accurate or not. The framework is based on the use of additively separable functions, where the response Y </w:t>
      </w:r>
      <w:r w:rsidRPr="00D4005D">
        <w:rPr>
          <w:rFonts w:ascii="Cambria Math" w:eastAsia="Times New Roman" w:hAnsi="Cambria Math" w:cs="Cambria Math"/>
          <w:color w:val="333333"/>
          <w:kern w:val="0"/>
          <w:sz w:val="24"/>
          <w:szCs w:val="24"/>
          <w:bdr w:val="none" w:sz="0" w:space="0" w:color="auto" w:frame="1"/>
          <w:lang w:eastAsia="en-IN" w:bidi="ar-SA"/>
          <w14:ligatures w14:val="none"/>
        </w:rPr>
        <w:t>∈</w:t>
      </w:r>
      <w:r w:rsidRPr="00D4005D">
        <w:rPr>
          <w:rFonts w:ascii="Times New Roman" w:eastAsia="Times New Roman" w:hAnsi="Times New Roman" w:cs="Times New Roman"/>
          <w:color w:val="333333"/>
          <w:kern w:val="0"/>
          <w:sz w:val="24"/>
          <w:szCs w:val="24"/>
          <w:bdr w:val="none" w:sz="0" w:space="0" w:color="auto" w:frame="1"/>
          <w:lang w:eastAsia="en-IN" w:bidi="ar-SA"/>
          <w14:ligatures w14:val="none"/>
        </w:rPr>
        <w:t>R</w:t>
      </w:r>
      <w:r w:rsidRPr="00D4005D">
        <w:rPr>
          <w:rFonts w:ascii="Cambria Math" w:eastAsia="Times New Roman" w:hAnsi="Cambria Math" w:cs="Cambria Math"/>
          <w:color w:val="333333"/>
          <w:kern w:val="0"/>
          <w:sz w:val="24"/>
          <w:szCs w:val="24"/>
          <w:bdr w:val="none" w:sz="0" w:space="0" w:color="auto" w:frame="1"/>
          <w:lang w:eastAsia="en-IN" w:bidi="ar-SA"/>
          <w14:ligatures w14:val="none"/>
        </w:rPr>
        <w:t>∈</w:t>
      </w:r>
      <w:r w:rsidRPr="00D4005D">
        <w:rPr>
          <w:rFonts w:ascii="Times New Roman" w:eastAsia="Times New Roman" w:hAnsi="Times New Roman" w:cs="Times New Roman"/>
          <w:color w:val="333333"/>
          <w:kern w:val="0"/>
          <w:sz w:val="24"/>
          <w:szCs w:val="24"/>
          <w:bdr w:val="none" w:sz="0" w:space="0" w:color="auto" w:frame="1"/>
          <w:lang w:eastAsia="en-IN" w:bidi="ar-SA"/>
          <w14:ligatures w14:val="none"/>
        </w:rPr>
        <w:t>ℜ</w:t>
      </w:r>
      <w:r w:rsidRPr="00D4005D">
        <w:rPr>
          <w:rFonts w:ascii="Times New Roman" w:eastAsia="Times New Roman" w:hAnsi="Times New Roman" w:cs="Times New Roman"/>
          <w:color w:val="333333"/>
          <w:kern w:val="0"/>
          <w:sz w:val="24"/>
          <w:szCs w:val="24"/>
          <w:lang w:eastAsia="en-IN" w:bidi="ar-SA"/>
          <w14:ligatures w14:val="none"/>
        </w:rPr>
        <w:t> to the input </w:t>
      </w:r>
      <w:r w:rsidRPr="00D4005D">
        <w:rPr>
          <w:rFonts w:ascii="Times New Roman" w:eastAsia="Times New Roman" w:hAnsi="Times New Roman" w:cs="Times New Roman"/>
          <w:b/>
          <w:bCs/>
          <w:color w:val="333333"/>
          <w:kern w:val="0"/>
          <w:sz w:val="24"/>
          <w:szCs w:val="24"/>
          <w:lang w:eastAsia="en-IN" w:bidi="ar-SA"/>
          <w14:ligatures w14:val="none"/>
        </w:rPr>
        <w:t>X</w:t>
      </w:r>
      <w:r w:rsidRPr="00D4005D">
        <w:rPr>
          <w:rFonts w:ascii="Times New Roman" w:eastAsia="Times New Roman" w:hAnsi="Times New Roman" w:cs="Times New Roman"/>
          <w:color w:val="333333"/>
          <w:kern w:val="0"/>
          <w:sz w:val="24"/>
          <w:szCs w:val="24"/>
          <w:lang w:eastAsia="en-IN" w:bidi="ar-SA"/>
          <w14:ligatures w14:val="none"/>
        </w:rPr>
        <w:t> </w:t>
      </w:r>
      <w:r w:rsidRPr="00D4005D">
        <w:rPr>
          <w:rFonts w:ascii="Cambria Math" w:eastAsia="Times New Roman" w:hAnsi="Cambria Math" w:cs="Cambria Math"/>
          <w:color w:val="333333"/>
          <w:kern w:val="0"/>
          <w:sz w:val="24"/>
          <w:szCs w:val="24"/>
          <w:bdr w:val="none" w:sz="0" w:space="0" w:color="auto" w:frame="1"/>
          <w:lang w:eastAsia="en-IN" w:bidi="ar-SA"/>
          <w14:ligatures w14:val="none"/>
        </w:rPr>
        <w:t>∈</w:t>
      </w:r>
      <w:r w:rsidRPr="00D4005D">
        <w:rPr>
          <w:rFonts w:ascii="Times New Roman" w:eastAsia="Times New Roman" w:hAnsi="Times New Roman" w:cs="Times New Roman"/>
          <w:color w:val="333333"/>
          <w:kern w:val="0"/>
          <w:sz w:val="24"/>
          <w:szCs w:val="24"/>
          <w:bdr w:val="none" w:sz="0" w:space="0" w:color="auto" w:frame="1"/>
          <w:lang w:eastAsia="en-IN" w:bidi="ar-SA"/>
          <w14:ligatures w14:val="none"/>
        </w:rPr>
        <w:t>Rd</w:t>
      </w:r>
      <w:r w:rsidRPr="00D4005D">
        <w:rPr>
          <w:rFonts w:ascii="Cambria Math" w:eastAsia="Times New Roman" w:hAnsi="Cambria Math" w:cs="Cambria Math"/>
          <w:color w:val="333333"/>
          <w:kern w:val="0"/>
          <w:sz w:val="24"/>
          <w:szCs w:val="24"/>
          <w:bdr w:val="none" w:sz="0" w:space="0" w:color="auto" w:frame="1"/>
          <w:lang w:eastAsia="en-IN" w:bidi="ar-SA"/>
          <w14:ligatures w14:val="none"/>
        </w:rPr>
        <w:t>∈</w:t>
      </w:r>
      <w:r w:rsidRPr="00D4005D">
        <w:rPr>
          <w:rFonts w:ascii="Times New Roman" w:eastAsia="Times New Roman" w:hAnsi="Times New Roman" w:cs="Times New Roman"/>
          <w:color w:val="333333"/>
          <w:kern w:val="0"/>
          <w:sz w:val="24"/>
          <w:szCs w:val="24"/>
          <w:bdr w:val="none" w:sz="0" w:space="0" w:color="auto" w:frame="1"/>
          <w:lang w:eastAsia="en-IN" w:bidi="ar-SA"/>
          <w14:ligatures w14:val="none"/>
        </w:rPr>
        <w:t>ℜ</w:t>
      </w:r>
      <w:r w:rsidRPr="00D4005D">
        <w:rPr>
          <w:rFonts w:ascii="Times New Roman" w:eastAsia="Times New Roman" w:hAnsi="Times New Roman" w:cs="Times New Roman"/>
          <w:color w:val="333333"/>
          <w:kern w:val="0"/>
          <w:sz w:val="24"/>
          <w:szCs w:val="24"/>
          <w:lang w:eastAsia="en-IN" w:bidi="ar-SA"/>
          <w14:ligatures w14:val="none"/>
        </w:rPr>
        <w:t> is the sum of local responses. The local responses may have any functional form, and independent of how complex that might be, the true attribution is always derivable. We believe that a common use and engagement of such attribution benchmarks by the geoscientific community can lead to a more cautious and accurate application of XAI methods to physical problems, towards increasing model trust and facilitating scientific discovery.</w:t>
      </w:r>
    </w:p>
    <w:p w14:paraId="51AE8895" w14:textId="77777777" w:rsidR="00412BAE" w:rsidRPr="00D4005D" w:rsidRDefault="00412BAE" w:rsidP="006C4AAD">
      <w:pPr>
        <w:pBdr>
          <w:bottom w:val="single" w:sz="12" w:space="6" w:color="D5D5D5"/>
        </w:pBdr>
        <w:spacing w:after="0" w:line="240" w:lineRule="auto"/>
        <w:outlineLvl w:val="1"/>
        <w:rPr>
          <w:rFonts w:ascii="Times New Roman" w:eastAsia="Times New Roman" w:hAnsi="Times New Roman" w:cs="Times New Roman"/>
          <w:kern w:val="0"/>
          <w:sz w:val="36"/>
          <w:szCs w:val="36"/>
          <w:lang w:eastAsia="en-IN" w:bidi="ar-SA"/>
          <w14:ligatures w14:val="none"/>
        </w:rPr>
      </w:pPr>
    </w:p>
    <w:p w14:paraId="26BB9E60" w14:textId="77777777" w:rsidR="00412BAE" w:rsidRPr="00D4005D" w:rsidRDefault="00412BAE" w:rsidP="006C4AAD">
      <w:pPr>
        <w:pBdr>
          <w:bottom w:val="single" w:sz="12" w:space="6" w:color="D5D5D5"/>
        </w:pBdr>
        <w:spacing w:after="0" w:line="240" w:lineRule="auto"/>
        <w:outlineLvl w:val="1"/>
        <w:rPr>
          <w:rFonts w:ascii="Times New Roman" w:eastAsia="Times New Roman" w:hAnsi="Times New Roman" w:cs="Times New Roman"/>
          <w:kern w:val="0"/>
          <w:sz w:val="36"/>
          <w:szCs w:val="36"/>
          <w:lang w:eastAsia="en-IN" w:bidi="ar-SA"/>
          <w14:ligatures w14:val="none"/>
        </w:rPr>
      </w:pPr>
    </w:p>
    <w:p w14:paraId="4C718918" w14:textId="77777777" w:rsidR="00412BAE" w:rsidRPr="00D4005D" w:rsidRDefault="00412BAE" w:rsidP="006C4AAD">
      <w:pPr>
        <w:pBdr>
          <w:bottom w:val="single" w:sz="12" w:space="6" w:color="D5D5D5"/>
        </w:pBdr>
        <w:spacing w:after="0" w:line="240" w:lineRule="auto"/>
        <w:outlineLvl w:val="1"/>
        <w:rPr>
          <w:rFonts w:ascii="Times New Roman" w:eastAsia="Times New Roman" w:hAnsi="Times New Roman" w:cs="Times New Roman"/>
          <w:kern w:val="0"/>
          <w:sz w:val="36"/>
          <w:szCs w:val="36"/>
          <w:lang w:eastAsia="en-IN" w:bidi="ar-SA"/>
          <w14:ligatures w14:val="none"/>
        </w:rPr>
      </w:pPr>
    </w:p>
    <w:p w14:paraId="68BEB115" w14:textId="77777777" w:rsidR="00B379E7" w:rsidRDefault="00B379E7" w:rsidP="006C4AAD">
      <w:pPr>
        <w:pBdr>
          <w:bottom w:val="single" w:sz="12" w:space="6" w:color="D5D5D5"/>
        </w:pBdr>
        <w:spacing w:after="0" w:line="240" w:lineRule="auto"/>
        <w:outlineLvl w:val="1"/>
        <w:rPr>
          <w:rFonts w:ascii="Times New Roman" w:eastAsia="Times New Roman" w:hAnsi="Times New Roman" w:cs="Times New Roman"/>
          <w:b/>
          <w:bCs/>
          <w:kern w:val="0"/>
          <w:sz w:val="36"/>
          <w:szCs w:val="36"/>
          <w:lang w:eastAsia="en-IN" w:bidi="ar-SA"/>
          <w14:ligatures w14:val="none"/>
        </w:rPr>
      </w:pPr>
    </w:p>
    <w:p w14:paraId="6A083165" w14:textId="77777777" w:rsidR="00B379E7" w:rsidRDefault="00B379E7" w:rsidP="006C4AAD">
      <w:pPr>
        <w:pBdr>
          <w:bottom w:val="single" w:sz="12" w:space="6" w:color="D5D5D5"/>
        </w:pBdr>
        <w:spacing w:after="0" w:line="240" w:lineRule="auto"/>
        <w:outlineLvl w:val="1"/>
        <w:rPr>
          <w:rFonts w:ascii="Times New Roman" w:eastAsia="Times New Roman" w:hAnsi="Times New Roman" w:cs="Times New Roman"/>
          <w:b/>
          <w:bCs/>
          <w:kern w:val="0"/>
          <w:sz w:val="36"/>
          <w:szCs w:val="36"/>
          <w:lang w:eastAsia="en-IN" w:bidi="ar-SA"/>
          <w14:ligatures w14:val="none"/>
        </w:rPr>
      </w:pPr>
    </w:p>
    <w:p w14:paraId="7AAD9147" w14:textId="77777777" w:rsidR="00B379E7" w:rsidRDefault="00B379E7" w:rsidP="006C4AAD">
      <w:pPr>
        <w:pBdr>
          <w:bottom w:val="single" w:sz="12" w:space="6" w:color="D5D5D5"/>
        </w:pBdr>
        <w:spacing w:after="0" w:line="240" w:lineRule="auto"/>
        <w:outlineLvl w:val="1"/>
        <w:rPr>
          <w:rFonts w:ascii="Times New Roman" w:eastAsia="Times New Roman" w:hAnsi="Times New Roman" w:cs="Times New Roman"/>
          <w:b/>
          <w:bCs/>
          <w:kern w:val="0"/>
          <w:sz w:val="36"/>
          <w:szCs w:val="36"/>
          <w:lang w:eastAsia="en-IN" w:bidi="ar-SA"/>
          <w14:ligatures w14:val="none"/>
        </w:rPr>
      </w:pPr>
    </w:p>
    <w:p w14:paraId="18F0682A" w14:textId="77777777" w:rsidR="00B379E7" w:rsidRDefault="00B379E7" w:rsidP="006C4AAD">
      <w:pPr>
        <w:pBdr>
          <w:bottom w:val="single" w:sz="12" w:space="6" w:color="D5D5D5"/>
        </w:pBdr>
        <w:spacing w:after="0" w:line="240" w:lineRule="auto"/>
        <w:outlineLvl w:val="1"/>
        <w:rPr>
          <w:rFonts w:ascii="Times New Roman" w:eastAsia="Times New Roman" w:hAnsi="Times New Roman" w:cs="Times New Roman"/>
          <w:b/>
          <w:bCs/>
          <w:kern w:val="0"/>
          <w:sz w:val="36"/>
          <w:szCs w:val="36"/>
          <w:lang w:eastAsia="en-IN" w:bidi="ar-SA"/>
          <w14:ligatures w14:val="none"/>
        </w:rPr>
      </w:pPr>
    </w:p>
    <w:p w14:paraId="41C0C607" w14:textId="6FAB47DA" w:rsidR="006C4AAD" w:rsidRPr="00D4005D" w:rsidRDefault="007A10A2" w:rsidP="006C4AAD">
      <w:pPr>
        <w:pBdr>
          <w:bottom w:val="single" w:sz="12" w:space="6" w:color="D5D5D5"/>
        </w:pBdr>
        <w:spacing w:after="0" w:line="240" w:lineRule="auto"/>
        <w:outlineLvl w:val="1"/>
        <w:rPr>
          <w:rFonts w:ascii="Times New Roman" w:eastAsia="Times New Roman" w:hAnsi="Times New Roman" w:cs="Times New Roman"/>
          <w:b/>
          <w:bCs/>
          <w:kern w:val="0"/>
          <w:sz w:val="36"/>
          <w:szCs w:val="36"/>
          <w:lang w:eastAsia="en-IN" w:bidi="ar-SA"/>
          <w14:ligatures w14:val="none"/>
        </w:rPr>
      </w:pPr>
      <w:r>
        <w:rPr>
          <w:rFonts w:ascii="Times New Roman" w:eastAsia="Times New Roman" w:hAnsi="Times New Roman" w:cs="Times New Roman"/>
          <w:b/>
          <w:bCs/>
          <w:kern w:val="0"/>
          <w:sz w:val="36"/>
          <w:szCs w:val="36"/>
          <w:lang w:eastAsia="en-IN" w:bidi="ar-SA"/>
          <w14:ligatures w14:val="none"/>
        </w:rPr>
        <w:t xml:space="preserve">7 </w:t>
      </w:r>
      <w:r w:rsidR="006C4AAD" w:rsidRPr="00D4005D">
        <w:rPr>
          <w:rFonts w:ascii="Times New Roman" w:eastAsia="Times New Roman" w:hAnsi="Times New Roman" w:cs="Times New Roman"/>
          <w:b/>
          <w:bCs/>
          <w:kern w:val="0"/>
          <w:sz w:val="36"/>
          <w:szCs w:val="36"/>
          <w:lang w:eastAsia="en-IN" w:bidi="ar-SA"/>
          <w14:ligatures w14:val="none"/>
        </w:rPr>
        <w:t>Notes</w:t>
      </w:r>
    </w:p>
    <w:p w14:paraId="1B79CCAB" w14:textId="77777777" w:rsidR="006C4AAD" w:rsidRPr="00D4005D" w:rsidRDefault="006C4AAD" w:rsidP="006C4AAD">
      <w:pPr>
        <w:numPr>
          <w:ilvl w:val="0"/>
          <w:numId w:val="9"/>
        </w:numPr>
        <w:spacing w:before="100" w:beforeAutospacing="1" w:after="240" w:line="240" w:lineRule="auto"/>
        <w:rPr>
          <w:rFonts w:ascii="Times New Roman" w:eastAsia="Times New Roman" w:hAnsi="Times New Roman" w:cs="Times New Roman"/>
          <w:kern w:val="0"/>
          <w:sz w:val="24"/>
          <w:szCs w:val="24"/>
          <w:lang w:eastAsia="en-IN" w:bidi="ar-SA"/>
          <w14:ligatures w14:val="none"/>
        </w:rPr>
      </w:pPr>
      <w:r w:rsidRPr="00D4005D">
        <w:rPr>
          <w:rFonts w:ascii="Times New Roman" w:eastAsia="Times New Roman" w:hAnsi="Times New Roman" w:cs="Times New Roman"/>
          <w:kern w:val="0"/>
          <w:sz w:val="24"/>
          <w:szCs w:val="24"/>
          <w:lang w:eastAsia="en-IN" w:bidi="ar-SA"/>
          <w14:ligatures w14:val="none"/>
        </w:rPr>
        <w:t>1.</w:t>
      </w:r>
    </w:p>
    <w:p w14:paraId="2AAD7298" w14:textId="77777777" w:rsidR="006C4AAD" w:rsidRPr="00D4005D" w:rsidRDefault="006C4AAD" w:rsidP="006C4AAD">
      <w:pPr>
        <w:spacing w:line="240" w:lineRule="auto"/>
        <w:ind w:left="720"/>
        <w:rPr>
          <w:rFonts w:ascii="Times New Roman" w:eastAsia="Times New Roman" w:hAnsi="Times New Roman" w:cs="Times New Roman"/>
          <w:kern w:val="0"/>
          <w:sz w:val="24"/>
          <w:szCs w:val="24"/>
          <w:lang w:eastAsia="en-IN" w:bidi="ar-SA"/>
          <w14:ligatures w14:val="none"/>
        </w:rPr>
      </w:pPr>
      <w:r w:rsidRPr="00D4005D">
        <w:rPr>
          <w:rFonts w:ascii="Times New Roman" w:eastAsia="Times New Roman" w:hAnsi="Times New Roman" w:cs="Times New Roman"/>
          <w:kern w:val="0"/>
          <w:sz w:val="24"/>
          <w:szCs w:val="24"/>
          <w:lang w:eastAsia="en-IN" w:bidi="ar-SA"/>
          <w14:ligatures w14:val="none"/>
        </w:rPr>
        <w:t>We note here that a newly introduced line of research in XAI that is potentially relevant for climate prediction applications is in the concept of causability. Although XAI is typically used to address transparency of AI, causability refers to the quality of an explanation and to the extend to which an explanation may allow the scientist to reach a specified level of causal understanding about the underlying dynamics of the climate system [</w:t>
      </w:r>
      <w:hyperlink r:id="rId223" w:anchor="ref-CR26" w:tooltip="Holzinger, A., Malle, B., Saranti, A., Pfeifer, B.: Towards multi-modal causability with graph neural networks enabling information fusion for explainable AI. Inf. Fusion 71, 28–37 (2021). &#10;                    https://doi.org/10.1016/j.inffus.2021.01.008&#10;     " w:history="1">
        <w:r w:rsidRPr="00D4005D">
          <w:rPr>
            <w:rFonts w:ascii="Times New Roman" w:eastAsia="Times New Roman" w:hAnsi="Times New Roman" w:cs="Times New Roman"/>
            <w:color w:val="004B83"/>
            <w:kern w:val="0"/>
            <w:sz w:val="24"/>
            <w:szCs w:val="24"/>
            <w:u w:val="single"/>
            <w:lang w:eastAsia="en-IN" w:bidi="ar-SA"/>
            <w14:ligatures w14:val="none"/>
          </w:rPr>
          <w:t>26</w:t>
        </w:r>
      </w:hyperlink>
      <w:r w:rsidRPr="00D4005D">
        <w:rPr>
          <w:rFonts w:ascii="Times New Roman" w:eastAsia="Times New Roman" w:hAnsi="Times New Roman" w:cs="Times New Roman"/>
          <w:kern w:val="0"/>
          <w:sz w:val="24"/>
          <w:szCs w:val="24"/>
          <w:lang w:eastAsia="en-IN" w:bidi="ar-SA"/>
          <w14:ligatures w14:val="none"/>
        </w:rPr>
        <w:t>].</w:t>
      </w:r>
    </w:p>
    <w:p w14:paraId="4D8721D8" w14:textId="77777777" w:rsidR="006D4D17" w:rsidRPr="00D4005D" w:rsidRDefault="006D4D17" w:rsidP="006C4AAD">
      <w:pPr>
        <w:pBdr>
          <w:bottom w:val="single" w:sz="12" w:space="6" w:color="D5D5D5"/>
        </w:pBdr>
        <w:shd w:val="clear" w:color="auto" w:fill="FCFCFC"/>
        <w:spacing w:after="0" w:line="240" w:lineRule="auto"/>
        <w:outlineLvl w:val="1"/>
        <w:rPr>
          <w:rFonts w:ascii="Times New Roman" w:eastAsia="Times New Roman" w:hAnsi="Times New Roman" w:cs="Times New Roman"/>
          <w:b/>
          <w:bCs/>
          <w:color w:val="333333"/>
          <w:kern w:val="0"/>
          <w:sz w:val="36"/>
          <w:szCs w:val="36"/>
          <w:lang w:eastAsia="en-IN" w:bidi="ar-SA"/>
          <w14:ligatures w14:val="none"/>
        </w:rPr>
      </w:pPr>
    </w:p>
    <w:p w14:paraId="756265CE" w14:textId="77777777" w:rsidR="006D4D17" w:rsidRPr="00D4005D" w:rsidRDefault="006D4D17" w:rsidP="006C4AAD">
      <w:pPr>
        <w:pBdr>
          <w:bottom w:val="single" w:sz="12" w:space="6" w:color="D5D5D5"/>
        </w:pBdr>
        <w:shd w:val="clear" w:color="auto" w:fill="FCFCFC"/>
        <w:spacing w:after="0" w:line="240" w:lineRule="auto"/>
        <w:outlineLvl w:val="1"/>
        <w:rPr>
          <w:rFonts w:ascii="Times New Roman" w:eastAsia="Times New Roman" w:hAnsi="Times New Roman" w:cs="Times New Roman"/>
          <w:b/>
          <w:bCs/>
          <w:color w:val="333333"/>
          <w:kern w:val="0"/>
          <w:sz w:val="36"/>
          <w:szCs w:val="36"/>
          <w:lang w:eastAsia="en-IN" w:bidi="ar-SA"/>
          <w14:ligatures w14:val="none"/>
        </w:rPr>
      </w:pPr>
    </w:p>
    <w:p w14:paraId="5B120D14" w14:textId="23C587A9" w:rsidR="006C4AAD" w:rsidRPr="00D4005D" w:rsidRDefault="007A10A2" w:rsidP="006C4AAD">
      <w:pPr>
        <w:pBdr>
          <w:bottom w:val="single" w:sz="12" w:space="6" w:color="D5D5D5"/>
        </w:pBdr>
        <w:shd w:val="clear" w:color="auto" w:fill="FCFCFC"/>
        <w:spacing w:after="0" w:line="240" w:lineRule="auto"/>
        <w:outlineLvl w:val="1"/>
        <w:rPr>
          <w:rFonts w:ascii="Times New Roman" w:eastAsia="Times New Roman" w:hAnsi="Times New Roman" w:cs="Times New Roman"/>
          <w:b/>
          <w:bCs/>
          <w:color w:val="333333"/>
          <w:kern w:val="0"/>
          <w:sz w:val="36"/>
          <w:szCs w:val="36"/>
          <w:lang w:eastAsia="en-IN" w:bidi="ar-SA"/>
          <w14:ligatures w14:val="none"/>
        </w:rPr>
      </w:pPr>
      <w:r>
        <w:rPr>
          <w:rFonts w:ascii="Times New Roman" w:eastAsia="Times New Roman" w:hAnsi="Times New Roman" w:cs="Times New Roman"/>
          <w:b/>
          <w:bCs/>
          <w:color w:val="333333"/>
          <w:kern w:val="0"/>
          <w:sz w:val="36"/>
          <w:szCs w:val="36"/>
          <w:lang w:eastAsia="en-IN" w:bidi="ar-SA"/>
          <w14:ligatures w14:val="none"/>
        </w:rPr>
        <w:lastRenderedPageBreak/>
        <w:t xml:space="preserve">8 </w:t>
      </w:r>
      <w:r w:rsidR="006C4AAD" w:rsidRPr="00D4005D">
        <w:rPr>
          <w:rFonts w:ascii="Times New Roman" w:eastAsia="Times New Roman" w:hAnsi="Times New Roman" w:cs="Times New Roman"/>
          <w:b/>
          <w:bCs/>
          <w:color w:val="333333"/>
          <w:kern w:val="0"/>
          <w:sz w:val="36"/>
          <w:szCs w:val="36"/>
          <w:lang w:eastAsia="en-IN" w:bidi="ar-SA"/>
          <w14:ligatures w14:val="none"/>
        </w:rPr>
        <w:t>References</w:t>
      </w:r>
    </w:p>
    <w:p w14:paraId="5E8CACA1" w14:textId="77777777" w:rsidR="006C4AAD" w:rsidRPr="00D4005D" w:rsidRDefault="006C4AAD" w:rsidP="006C4AAD">
      <w:pPr>
        <w:numPr>
          <w:ilvl w:val="0"/>
          <w:numId w:val="10"/>
        </w:numPr>
        <w:pBdr>
          <w:bottom w:val="single" w:sz="6" w:space="12" w:color="D5D5D5"/>
        </w:pBdr>
        <w:shd w:val="clear" w:color="auto" w:fill="FCFCFC"/>
        <w:spacing w:after="120"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Agapiou, A.: Remote sensing heritage in a petabyte-scale: satellite data and heritage earth engine applications. Int. J. Digit. Earth </w:t>
      </w:r>
      <w:r w:rsidRPr="00D4005D">
        <w:rPr>
          <w:rFonts w:ascii="Times New Roman" w:eastAsia="Times New Roman" w:hAnsi="Times New Roman" w:cs="Times New Roman"/>
          <w:b/>
          <w:bCs/>
          <w:color w:val="333333"/>
          <w:kern w:val="0"/>
          <w:sz w:val="24"/>
          <w:szCs w:val="24"/>
          <w:lang w:eastAsia="en-IN" w:bidi="ar-SA"/>
          <w14:ligatures w14:val="none"/>
        </w:rPr>
        <w:t>10</w:t>
      </w:r>
      <w:r w:rsidRPr="00D4005D">
        <w:rPr>
          <w:rFonts w:ascii="Times New Roman" w:eastAsia="Times New Roman" w:hAnsi="Times New Roman" w:cs="Times New Roman"/>
          <w:color w:val="333333"/>
          <w:kern w:val="0"/>
          <w:sz w:val="24"/>
          <w:szCs w:val="24"/>
          <w:lang w:eastAsia="en-IN" w:bidi="ar-SA"/>
          <w14:ligatures w14:val="none"/>
        </w:rPr>
        <w:t>(1), 85–102 (2017)</w:t>
      </w:r>
    </w:p>
    <w:p w14:paraId="55C779B3" w14:textId="77777777" w:rsidR="006C4AAD" w:rsidRPr="00D4005D" w:rsidRDefault="00000000" w:rsidP="006C4AAD">
      <w:pPr>
        <w:pBdr>
          <w:bottom w:val="single" w:sz="6" w:space="12" w:color="D5D5D5"/>
        </w:pBdr>
        <w:shd w:val="clear" w:color="auto" w:fill="FCFCFC"/>
        <w:spacing w:after="0" w:line="240" w:lineRule="auto"/>
        <w:ind w:left="720"/>
        <w:rPr>
          <w:rFonts w:ascii="Times New Roman" w:eastAsia="Times New Roman" w:hAnsi="Times New Roman" w:cs="Times New Roman"/>
          <w:b/>
          <w:bCs/>
          <w:color w:val="333333"/>
          <w:kern w:val="0"/>
          <w:sz w:val="24"/>
          <w:szCs w:val="24"/>
          <w:lang w:eastAsia="en-IN" w:bidi="ar-SA"/>
          <w14:ligatures w14:val="none"/>
        </w:rPr>
      </w:pPr>
      <w:hyperlink r:id="rId224" w:history="1">
        <w:r w:rsidR="006C4AAD" w:rsidRPr="00D4005D">
          <w:rPr>
            <w:rFonts w:ascii="Times New Roman" w:eastAsia="Times New Roman" w:hAnsi="Times New Roman" w:cs="Times New Roman"/>
            <w:b/>
            <w:bCs/>
            <w:color w:val="004B83"/>
            <w:kern w:val="0"/>
            <w:sz w:val="24"/>
            <w:szCs w:val="24"/>
            <w:u w:val="single"/>
            <w:lang w:eastAsia="en-IN" w:bidi="ar-SA"/>
            <w14:ligatures w14:val="none"/>
          </w:rPr>
          <w:t>CrossRef</w:t>
        </w:r>
      </w:hyperlink>
      <w:r w:rsidR="006C4AAD" w:rsidRPr="00D4005D">
        <w:rPr>
          <w:rFonts w:ascii="Times New Roman" w:eastAsia="Times New Roman" w:hAnsi="Times New Roman" w:cs="Times New Roman"/>
          <w:b/>
          <w:bCs/>
          <w:color w:val="333333"/>
          <w:kern w:val="0"/>
          <w:sz w:val="24"/>
          <w:szCs w:val="24"/>
          <w:lang w:eastAsia="en-IN" w:bidi="ar-SA"/>
          <w14:ligatures w14:val="none"/>
        </w:rPr>
        <w:t> </w:t>
      </w:r>
      <w:hyperlink r:id="rId225" w:history="1">
        <w:r w:rsidR="006C4AAD" w:rsidRPr="00D4005D">
          <w:rPr>
            <w:rFonts w:ascii="Times New Roman" w:eastAsia="Times New Roman" w:hAnsi="Times New Roman" w:cs="Times New Roman"/>
            <w:b/>
            <w:bCs/>
            <w:color w:val="004B83"/>
            <w:kern w:val="0"/>
            <w:sz w:val="24"/>
            <w:szCs w:val="24"/>
            <w:u w:val="single"/>
            <w:lang w:eastAsia="en-IN" w:bidi="ar-SA"/>
            <w14:ligatures w14:val="none"/>
          </w:rPr>
          <w:t>Google Scholar</w:t>
        </w:r>
      </w:hyperlink>
      <w:r w:rsidR="006C4AAD" w:rsidRPr="00D4005D">
        <w:rPr>
          <w:rFonts w:ascii="Times New Roman" w:eastAsia="Times New Roman" w:hAnsi="Times New Roman" w:cs="Times New Roman"/>
          <w:b/>
          <w:bCs/>
          <w:color w:val="333333"/>
          <w:kern w:val="0"/>
          <w:sz w:val="24"/>
          <w:szCs w:val="24"/>
          <w:lang w:eastAsia="en-IN" w:bidi="ar-SA"/>
          <w14:ligatures w14:val="none"/>
        </w:rPr>
        <w:t> </w:t>
      </w:r>
    </w:p>
    <w:p w14:paraId="6094A05E" w14:textId="77777777" w:rsidR="006C4AAD" w:rsidRPr="00D4005D" w:rsidRDefault="006C4AAD" w:rsidP="006C4AAD">
      <w:pPr>
        <w:numPr>
          <w:ilvl w:val="0"/>
          <w:numId w:val="10"/>
        </w:numPr>
        <w:pBdr>
          <w:bottom w:val="single" w:sz="6" w:space="12" w:color="D5D5D5"/>
        </w:pBdr>
        <w:shd w:val="clear" w:color="auto" w:fill="FCFCFC"/>
        <w:spacing w:line="240" w:lineRule="auto"/>
        <w:rPr>
          <w:rFonts w:ascii="Times New Roman" w:eastAsia="Times New Roman" w:hAnsi="Times New Roman" w:cs="Times New Roman"/>
          <w:color w:val="333333"/>
          <w:kern w:val="0"/>
          <w:sz w:val="24"/>
          <w:szCs w:val="24"/>
          <w:lang w:eastAsia="en-IN" w:bidi="ar-SA"/>
          <w14:ligatures w14:val="none"/>
        </w:rPr>
      </w:pPr>
      <w:r w:rsidRPr="00D4005D">
        <w:rPr>
          <w:rFonts w:ascii="Times New Roman" w:eastAsia="Times New Roman" w:hAnsi="Times New Roman" w:cs="Times New Roman"/>
          <w:color w:val="333333"/>
          <w:kern w:val="0"/>
          <w:sz w:val="24"/>
          <w:szCs w:val="24"/>
          <w:lang w:eastAsia="en-IN" w:bidi="ar-SA"/>
          <w14:ligatures w14:val="none"/>
        </w:rPr>
        <w:t>Ancona, M., Ceolini, E., Öztireli, C., Gross, M.: Towards better understanding of gradient-based attribution methods for deep neural networks. arXiv preprint </w:t>
      </w:r>
      <w:hyperlink r:id="rId226" w:history="1">
        <w:r w:rsidRPr="00D4005D">
          <w:rPr>
            <w:rFonts w:ascii="Times New Roman" w:eastAsia="Times New Roman" w:hAnsi="Times New Roman" w:cs="Times New Roman"/>
            <w:color w:val="004B83"/>
            <w:kern w:val="0"/>
            <w:sz w:val="24"/>
            <w:szCs w:val="24"/>
            <w:u w:val="single"/>
            <w:lang w:eastAsia="en-IN" w:bidi="ar-SA"/>
            <w14:ligatures w14:val="none"/>
          </w:rPr>
          <w:t>arXiv:1711.06104</w:t>
        </w:r>
      </w:hyperlink>
      <w:r w:rsidRPr="00D4005D">
        <w:rPr>
          <w:rFonts w:ascii="Times New Roman" w:eastAsia="Times New Roman" w:hAnsi="Times New Roman" w:cs="Times New Roman"/>
          <w:color w:val="333333"/>
          <w:kern w:val="0"/>
          <w:sz w:val="24"/>
          <w:szCs w:val="24"/>
          <w:lang w:eastAsia="en-IN" w:bidi="ar-SA"/>
          <w14:ligatures w14:val="none"/>
        </w:rPr>
        <w:t> (2017)</w:t>
      </w:r>
    </w:p>
    <w:p w14:paraId="40D915E8" w14:textId="77777777" w:rsidR="006C4AAD" w:rsidRPr="00D4005D" w:rsidRDefault="006C4AAD" w:rsidP="006C4AAD">
      <w:pPr>
        <w:rPr>
          <w:rFonts w:ascii="Times New Roman" w:hAnsi="Times New Roman" w:cs="Times New Roman"/>
          <w:b/>
          <w:bCs/>
          <w:sz w:val="36"/>
          <w:szCs w:val="36"/>
          <w:lang w:val="en-US"/>
        </w:rPr>
      </w:pPr>
    </w:p>
    <w:sectPr w:rsidR="006C4AAD" w:rsidRPr="00D400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324E2"/>
    <w:multiLevelType w:val="multilevel"/>
    <w:tmpl w:val="584A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BF2B73"/>
    <w:multiLevelType w:val="multilevel"/>
    <w:tmpl w:val="2496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0C3D04"/>
    <w:multiLevelType w:val="multilevel"/>
    <w:tmpl w:val="17544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B278DD"/>
    <w:multiLevelType w:val="multilevel"/>
    <w:tmpl w:val="FFF88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3A180E"/>
    <w:multiLevelType w:val="hybridMultilevel"/>
    <w:tmpl w:val="0D860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041D81"/>
    <w:multiLevelType w:val="hybridMultilevel"/>
    <w:tmpl w:val="2AD211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2531D6"/>
    <w:multiLevelType w:val="multilevel"/>
    <w:tmpl w:val="299A6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8C0DF2"/>
    <w:multiLevelType w:val="multilevel"/>
    <w:tmpl w:val="570C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C80511"/>
    <w:multiLevelType w:val="multilevel"/>
    <w:tmpl w:val="37A8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FE000C"/>
    <w:multiLevelType w:val="multilevel"/>
    <w:tmpl w:val="1B329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FA25A8"/>
    <w:multiLevelType w:val="multilevel"/>
    <w:tmpl w:val="A6C8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513A7D"/>
    <w:multiLevelType w:val="multilevel"/>
    <w:tmpl w:val="3DE8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FA15B0"/>
    <w:multiLevelType w:val="multilevel"/>
    <w:tmpl w:val="55EA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951904"/>
    <w:multiLevelType w:val="multilevel"/>
    <w:tmpl w:val="AC8C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9262820">
    <w:abstractNumId w:val="0"/>
  </w:num>
  <w:num w:numId="2" w16cid:durableId="1287003158">
    <w:abstractNumId w:val="8"/>
  </w:num>
  <w:num w:numId="3" w16cid:durableId="1086148952">
    <w:abstractNumId w:val="3"/>
  </w:num>
  <w:num w:numId="4" w16cid:durableId="1626085084">
    <w:abstractNumId w:val="2"/>
  </w:num>
  <w:num w:numId="5" w16cid:durableId="1242444464">
    <w:abstractNumId w:val="5"/>
  </w:num>
  <w:num w:numId="6" w16cid:durableId="1080637241">
    <w:abstractNumId w:val="4"/>
  </w:num>
  <w:num w:numId="7" w16cid:durableId="1861311229">
    <w:abstractNumId w:val="12"/>
  </w:num>
  <w:num w:numId="8" w16cid:durableId="1960532318">
    <w:abstractNumId w:val="11"/>
  </w:num>
  <w:num w:numId="9" w16cid:durableId="872113945">
    <w:abstractNumId w:val="6"/>
  </w:num>
  <w:num w:numId="10" w16cid:durableId="1902595998">
    <w:abstractNumId w:val="9"/>
  </w:num>
  <w:num w:numId="11" w16cid:durableId="332799533">
    <w:abstractNumId w:val="1"/>
  </w:num>
  <w:num w:numId="12" w16cid:durableId="1565220442">
    <w:abstractNumId w:val="13"/>
  </w:num>
  <w:num w:numId="13" w16cid:durableId="1405906965">
    <w:abstractNumId w:val="10"/>
  </w:num>
  <w:num w:numId="14" w16cid:durableId="15900399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9F9"/>
    <w:rsid w:val="00221193"/>
    <w:rsid w:val="002B2723"/>
    <w:rsid w:val="00412BAE"/>
    <w:rsid w:val="006A45E9"/>
    <w:rsid w:val="006C4AAD"/>
    <w:rsid w:val="006D4D17"/>
    <w:rsid w:val="007A10A2"/>
    <w:rsid w:val="00804776"/>
    <w:rsid w:val="009319F9"/>
    <w:rsid w:val="00937ACD"/>
    <w:rsid w:val="00B379E7"/>
    <w:rsid w:val="00D27620"/>
    <w:rsid w:val="00D4005D"/>
    <w:rsid w:val="00EB0A19"/>
    <w:rsid w:val="00EC5747"/>
    <w:rsid w:val="00F425CB"/>
    <w:rsid w:val="00FC5B50"/>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AFE6C"/>
  <w15:chartTrackingRefBased/>
  <w15:docId w15:val="{7CA9B4DF-4316-4318-A547-0DAD95B3E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319F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ar-SA"/>
      <w14:ligatures w14:val="none"/>
    </w:rPr>
  </w:style>
  <w:style w:type="paragraph" w:styleId="Heading3">
    <w:name w:val="heading 3"/>
    <w:basedOn w:val="Normal"/>
    <w:link w:val="Heading3Char"/>
    <w:uiPriority w:val="9"/>
    <w:qFormat/>
    <w:rsid w:val="009319F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19F9"/>
    <w:rPr>
      <w:rFonts w:ascii="Times New Roman" w:eastAsia="Times New Roman" w:hAnsi="Times New Roman" w:cs="Times New Roman"/>
      <w:b/>
      <w:bCs/>
      <w:kern w:val="0"/>
      <w:sz w:val="36"/>
      <w:szCs w:val="36"/>
      <w:lang w:eastAsia="en-IN" w:bidi="ar-SA"/>
      <w14:ligatures w14:val="none"/>
    </w:rPr>
  </w:style>
  <w:style w:type="character" w:customStyle="1" w:styleId="Heading3Char">
    <w:name w:val="Heading 3 Char"/>
    <w:basedOn w:val="DefaultParagraphFont"/>
    <w:link w:val="Heading3"/>
    <w:uiPriority w:val="9"/>
    <w:rsid w:val="009319F9"/>
    <w:rPr>
      <w:rFonts w:ascii="Times New Roman" w:eastAsia="Times New Roman" w:hAnsi="Times New Roman" w:cs="Times New Roman"/>
      <w:b/>
      <w:bCs/>
      <w:kern w:val="0"/>
      <w:sz w:val="27"/>
      <w:szCs w:val="27"/>
      <w:lang w:eastAsia="en-IN" w:bidi="ar-SA"/>
      <w14:ligatures w14:val="none"/>
    </w:rPr>
  </w:style>
  <w:style w:type="paragraph" w:customStyle="1" w:styleId="msonormal0">
    <w:name w:val="msonormal"/>
    <w:basedOn w:val="Normal"/>
    <w:rsid w:val="009319F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NormalWeb">
    <w:name w:val="Normal (Web)"/>
    <w:basedOn w:val="Normal"/>
    <w:uiPriority w:val="99"/>
    <w:semiHidden/>
    <w:unhideWhenUsed/>
    <w:rsid w:val="009319F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c-article-subject-listsubject">
    <w:name w:val="c-article-subject-list__subject"/>
    <w:basedOn w:val="Normal"/>
    <w:rsid w:val="009319F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c-article-access-providertext">
    <w:name w:val="c-article-access-provider__text"/>
    <w:basedOn w:val="Normal"/>
    <w:rsid w:val="009319F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semiHidden/>
    <w:unhideWhenUsed/>
    <w:rsid w:val="009319F9"/>
    <w:rPr>
      <w:color w:val="0000FF"/>
      <w:u w:val="single"/>
    </w:rPr>
  </w:style>
  <w:style w:type="character" w:styleId="FollowedHyperlink">
    <w:name w:val="FollowedHyperlink"/>
    <w:basedOn w:val="DefaultParagraphFont"/>
    <w:uiPriority w:val="99"/>
    <w:semiHidden/>
    <w:unhideWhenUsed/>
    <w:rsid w:val="009319F9"/>
    <w:rPr>
      <w:color w:val="800080"/>
      <w:u w:val="single"/>
    </w:rPr>
  </w:style>
  <w:style w:type="character" w:customStyle="1" w:styleId="c-article-sectiontitle-number">
    <w:name w:val="c-article-section__title-number"/>
    <w:basedOn w:val="DefaultParagraphFont"/>
    <w:rsid w:val="009319F9"/>
  </w:style>
  <w:style w:type="character" w:customStyle="1" w:styleId="mathjax-tex">
    <w:name w:val="mathjax-tex"/>
    <w:basedOn w:val="DefaultParagraphFont"/>
    <w:rsid w:val="009319F9"/>
  </w:style>
  <w:style w:type="character" w:customStyle="1" w:styleId="mathjaxpreview">
    <w:name w:val="mathjax_preview"/>
    <w:basedOn w:val="DefaultParagraphFont"/>
    <w:rsid w:val="009319F9"/>
  </w:style>
  <w:style w:type="character" w:customStyle="1" w:styleId="mathjax">
    <w:name w:val="mathjax"/>
    <w:basedOn w:val="DefaultParagraphFont"/>
    <w:rsid w:val="009319F9"/>
  </w:style>
  <w:style w:type="character" w:customStyle="1" w:styleId="math">
    <w:name w:val="math"/>
    <w:basedOn w:val="DefaultParagraphFont"/>
    <w:rsid w:val="009319F9"/>
  </w:style>
  <w:style w:type="character" w:customStyle="1" w:styleId="mrow">
    <w:name w:val="mrow"/>
    <w:basedOn w:val="DefaultParagraphFont"/>
    <w:rsid w:val="009319F9"/>
  </w:style>
  <w:style w:type="character" w:customStyle="1" w:styleId="msubsup">
    <w:name w:val="msubsup"/>
    <w:basedOn w:val="DefaultParagraphFont"/>
    <w:rsid w:val="009319F9"/>
  </w:style>
  <w:style w:type="character" w:customStyle="1" w:styleId="mi">
    <w:name w:val="mi"/>
    <w:basedOn w:val="DefaultParagraphFont"/>
    <w:rsid w:val="009319F9"/>
  </w:style>
  <w:style w:type="character" w:customStyle="1" w:styleId="texatom">
    <w:name w:val="texatom"/>
    <w:basedOn w:val="DefaultParagraphFont"/>
    <w:rsid w:val="009319F9"/>
  </w:style>
  <w:style w:type="character" w:customStyle="1" w:styleId="mn">
    <w:name w:val="mn"/>
    <w:basedOn w:val="DefaultParagraphFont"/>
    <w:rsid w:val="009319F9"/>
  </w:style>
  <w:style w:type="character" w:customStyle="1" w:styleId="mo">
    <w:name w:val="mo"/>
    <w:basedOn w:val="DefaultParagraphFont"/>
    <w:rsid w:val="009319F9"/>
  </w:style>
  <w:style w:type="character" w:customStyle="1" w:styleId="mjxassistivemathml">
    <w:name w:val="mjx_assistive_mathml"/>
    <w:basedOn w:val="DefaultParagraphFont"/>
    <w:rsid w:val="009319F9"/>
  </w:style>
  <w:style w:type="character" w:customStyle="1" w:styleId="u-visually-hidden">
    <w:name w:val="u-visually-hidden"/>
    <w:basedOn w:val="DefaultParagraphFont"/>
    <w:rsid w:val="009319F9"/>
  </w:style>
  <w:style w:type="character" w:customStyle="1" w:styleId="mtable">
    <w:name w:val="mtable"/>
    <w:basedOn w:val="DefaultParagraphFont"/>
    <w:rsid w:val="009319F9"/>
  </w:style>
  <w:style w:type="character" w:customStyle="1" w:styleId="mtd">
    <w:name w:val="mtd"/>
    <w:basedOn w:val="DefaultParagraphFont"/>
    <w:rsid w:val="009319F9"/>
  </w:style>
  <w:style w:type="character" w:customStyle="1" w:styleId="munderover">
    <w:name w:val="munderover"/>
    <w:basedOn w:val="DefaultParagraphFont"/>
    <w:rsid w:val="009319F9"/>
  </w:style>
  <w:style w:type="character" w:customStyle="1" w:styleId="mtext">
    <w:name w:val="mtext"/>
    <w:basedOn w:val="DefaultParagraphFont"/>
    <w:rsid w:val="009319F9"/>
  </w:style>
  <w:style w:type="paragraph" w:customStyle="1" w:styleId="c-article-footnote--listeditem">
    <w:name w:val="c-article-footnote--listed__item"/>
    <w:basedOn w:val="Normal"/>
    <w:rsid w:val="009319F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c-article-footnote--listedindex">
    <w:name w:val="c-article-footnote--listed__index"/>
    <w:basedOn w:val="DefaultParagraphFont"/>
    <w:rsid w:val="009319F9"/>
  </w:style>
  <w:style w:type="paragraph" w:customStyle="1" w:styleId="c-article-referencesitem">
    <w:name w:val="c-article-references__item"/>
    <w:basedOn w:val="Normal"/>
    <w:rsid w:val="009319F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c-article-referencestext">
    <w:name w:val="c-article-references__text"/>
    <w:basedOn w:val="Normal"/>
    <w:rsid w:val="009319F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c-article-referenceslinks">
    <w:name w:val="c-article-references__links"/>
    <w:basedOn w:val="Normal"/>
    <w:rsid w:val="009319F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ListParagraph">
    <w:name w:val="List Paragraph"/>
    <w:basedOn w:val="Normal"/>
    <w:uiPriority w:val="34"/>
    <w:qFormat/>
    <w:rsid w:val="006C4AAD"/>
    <w:pPr>
      <w:ind w:left="720"/>
      <w:contextualSpacing/>
    </w:pPr>
  </w:style>
  <w:style w:type="character" w:styleId="Strong">
    <w:name w:val="Strong"/>
    <w:basedOn w:val="DefaultParagraphFont"/>
    <w:uiPriority w:val="22"/>
    <w:qFormat/>
    <w:rsid w:val="007A10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18340">
      <w:bodyDiv w:val="1"/>
      <w:marLeft w:val="0"/>
      <w:marRight w:val="0"/>
      <w:marTop w:val="0"/>
      <w:marBottom w:val="0"/>
      <w:divBdr>
        <w:top w:val="none" w:sz="0" w:space="0" w:color="auto"/>
        <w:left w:val="none" w:sz="0" w:space="0" w:color="auto"/>
        <w:bottom w:val="none" w:sz="0" w:space="0" w:color="auto"/>
        <w:right w:val="none" w:sz="0" w:space="0" w:color="auto"/>
      </w:divBdr>
    </w:div>
    <w:div w:id="420760711">
      <w:bodyDiv w:val="1"/>
      <w:marLeft w:val="0"/>
      <w:marRight w:val="0"/>
      <w:marTop w:val="0"/>
      <w:marBottom w:val="0"/>
      <w:divBdr>
        <w:top w:val="none" w:sz="0" w:space="0" w:color="auto"/>
        <w:left w:val="none" w:sz="0" w:space="0" w:color="auto"/>
        <w:bottom w:val="none" w:sz="0" w:space="0" w:color="auto"/>
        <w:right w:val="none" w:sz="0" w:space="0" w:color="auto"/>
      </w:divBdr>
      <w:divsChild>
        <w:div w:id="1398749698">
          <w:marLeft w:val="0"/>
          <w:marRight w:val="0"/>
          <w:marTop w:val="0"/>
          <w:marBottom w:val="0"/>
          <w:divBdr>
            <w:top w:val="none" w:sz="0" w:space="0" w:color="auto"/>
            <w:left w:val="none" w:sz="0" w:space="0" w:color="auto"/>
            <w:bottom w:val="none" w:sz="0" w:space="0" w:color="auto"/>
            <w:right w:val="none" w:sz="0" w:space="0" w:color="auto"/>
          </w:divBdr>
          <w:divsChild>
            <w:div w:id="1060323975">
              <w:marLeft w:val="0"/>
              <w:marRight w:val="0"/>
              <w:marTop w:val="0"/>
              <w:marBottom w:val="600"/>
              <w:divBdr>
                <w:top w:val="none" w:sz="0" w:space="0" w:color="auto"/>
                <w:left w:val="none" w:sz="0" w:space="0" w:color="auto"/>
                <w:bottom w:val="none" w:sz="0" w:space="0" w:color="auto"/>
                <w:right w:val="none" w:sz="0" w:space="0" w:color="auto"/>
              </w:divBdr>
            </w:div>
          </w:divsChild>
        </w:div>
        <w:div w:id="528957373">
          <w:marLeft w:val="0"/>
          <w:marRight w:val="0"/>
          <w:marTop w:val="0"/>
          <w:marBottom w:val="0"/>
          <w:divBdr>
            <w:top w:val="none" w:sz="0" w:space="0" w:color="auto"/>
            <w:left w:val="none" w:sz="0" w:space="0" w:color="auto"/>
            <w:bottom w:val="none" w:sz="0" w:space="0" w:color="auto"/>
            <w:right w:val="none" w:sz="0" w:space="0" w:color="auto"/>
          </w:divBdr>
          <w:divsChild>
            <w:div w:id="317929300">
              <w:marLeft w:val="0"/>
              <w:marRight w:val="0"/>
              <w:marTop w:val="0"/>
              <w:marBottom w:val="0"/>
              <w:divBdr>
                <w:top w:val="none" w:sz="0" w:space="0" w:color="auto"/>
                <w:left w:val="none" w:sz="0" w:space="0" w:color="auto"/>
                <w:bottom w:val="none" w:sz="0" w:space="0" w:color="auto"/>
                <w:right w:val="none" w:sz="0" w:space="0" w:color="auto"/>
              </w:divBdr>
              <w:divsChild>
                <w:div w:id="1691252852">
                  <w:marLeft w:val="0"/>
                  <w:marRight w:val="0"/>
                  <w:marTop w:val="360"/>
                  <w:marBottom w:val="360"/>
                  <w:divBdr>
                    <w:top w:val="single" w:sz="6" w:space="6" w:color="D5D5D5"/>
                    <w:left w:val="none" w:sz="0" w:space="0" w:color="auto"/>
                    <w:bottom w:val="single" w:sz="6" w:space="6" w:color="D5D5D5"/>
                    <w:right w:val="none" w:sz="0" w:space="0" w:color="auto"/>
                  </w:divBdr>
                </w:div>
              </w:divsChild>
            </w:div>
          </w:divsChild>
        </w:div>
        <w:div w:id="2118136911">
          <w:marLeft w:val="0"/>
          <w:marRight w:val="0"/>
          <w:marTop w:val="0"/>
          <w:marBottom w:val="0"/>
          <w:divBdr>
            <w:top w:val="none" w:sz="0" w:space="0" w:color="auto"/>
            <w:left w:val="none" w:sz="0" w:space="0" w:color="auto"/>
            <w:bottom w:val="none" w:sz="0" w:space="0" w:color="auto"/>
            <w:right w:val="none" w:sz="0" w:space="0" w:color="auto"/>
          </w:divBdr>
          <w:divsChild>
            <w:div w:id="640113612">
              <w:marLeft w:val="0"/>
              <w:marRight w:val="0"/>
              <w:marTop w:val="0"/>
              <w:marBottom w:val="0"/>
              <w:divBdr>
                <w:top w:val="none" w:sz="0" w:space="0" w:color="auto"/>
                <w:left w:val="none" w:sz="0" w:space="0" w:color="auto"/>
                <w:bottom w:val="none" w:sz="0" w:space="0" w:color="auto"/>
                <w:right w:val="none" w:sz="0" w:space="0" w:color="auto"/>
              </w:divBdr>
              <w:divsChild>
                <w:div w:id="616176352">
                  <w:marLeft w:val="0"/>
                  <w:marRight w:val="0"/>
                  <w:marTop w:val="0"/>
                  <w:marBottom w:val="600"/>
                  <w:divBdr>
                    <w:top w:val="none" w:sz="0" w:space="0" w:color="auto"/>
                    <w:left w:val="none" w:sz="0" w:space="0" w:color="auto"/>
                    <w:bottom w:val="none" w:sz="0" w:space="0" w:color="auto"/>
                    <w:right w:val="none" w:sz="0" w:space="0" w:color="auto"/>
                  </w:divBdr>
                  <w:divsChild>
                    <w:div w:id="304165679">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2071419294">
                          <w:marLeft w:val="0"/>
                          <w:marRight w:val="0"/>
                          <w:marTop w:val="0"/>
                          <w:marBottom w:val="240"/>
                          <w:divBdr>
                            <w:top w:val="none" w:sz="0" w:space="0" w:color="auto"/>
                            <w:left w:val="none" w:sz="0" w:space="0" w:color="auto"/>
                            <w:bottom w:val="none" w:sz="0" w:space="0" w:color="auto"/>
                            <w:right w:val="none" w:sz="0" w:space="0" w:color="auto"/>
                          </w:divBdr>
                          <w:divsChild>
                            <w:div w:id="2037460957">
                              <w:marLeft w:val="0"/>
                              <w:marRight w:val="0"/>
                              <w:marTop w:val="0"/>
                              <w:marBottom w:val="0"/>
                              <w:divBdr>
                                <w:top w:val="none" w:sz="0" w:space="0" w:color="auto"/>
                                <w:left w:val="none" w:sz="0" w:space="0" w:color="auto"/>
                                <w:bottom w:val="none" w:sz="0" w:space="0" w:color="auto"/>
                                <w:right w:val="none" w:sz="0" w:space="0" w:color="auto"/>
                              </w:divBdr>
                            </w:div>
                            <w:div w:id="11326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170284">
              <w:marLeft w:val="0"/>
              <w:marRight w:val="0"/>
              <w:marTop w:val="0"/>
              <w:marBottom w:val="0"/>
              <w:divBdr>
                <w:top w:val="none" w:sz="0" w:space="0" w:color="auto"/>
                <w:left w:val="none" w:sz="0" w:space="0" w:color="auto"/>
                <w:bottom w:val="none" w:sz="0" w:space="0" w:color="auto"/>
                <w:right w:val="none" w:sz="0" w:space="0" w:color="auto"/>
              </w:divBdr>
              <w:divsChild>
                <w:div w:id="1055547978">
                  <w:marLeft w:val="0"/>
                  <w:marRight w:val="0"/>
                  <w:marTop w:val="0"/>
                  <w:marBottom w:val="600"/>
                  <w:divBdr>
                    <w:top w:val="none" w:sz="0" w:space="0" w:color="auto"/>
                    <w:left w:val="none" w:sz="0" w:space="0" w:color="auto"/>
                    <w:bottom w:val="none" w:sz="0" w:space="0" w:color="auto"/>
                    <w:right w:val="none" w:sz="0" w:space="0" w:color="auto"/>
                  </w:divBdr>
                  <w:divsChild>
                    <w:div w:id="1317102182">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967859482">
                          <w:marLeft w:val="0"/>
                          <w:marRight w:val="0"/>
                          <w:marTop w:val="0"/>
                          <w:marBottom w:val="240"/>
                          <w:divBdr>
                            <w:top w:val="none" w:sz="0" w:space="0" w:color="auto"/>
                            <w:left w:val="none" w:sz="0" w:space="0" w:color="auto"/>
                            <w:bottom w:val="none" w:sz="0" w:space="0" w:color="auto"/>
                            <w:right w:val="none" w:sz="0" w:space="0" w:color="auto"/>
                          </w:divBdr>
                          <w:divsChild>
                            <w:div w:id="1265648750">
                              <w:marLeft w:val="0"/>
                              <w:marRight w:val="0"/>
                              <w:marTop w:val="0"/>
                              <w:marBottom w:val="0"/>
                              <w:divBdr>
                                <w:top w:val="none" w:sz="0" w:space="0" w:color="auto"/>
                                <w:left w:val="none" w:sz="0" w:space="0" w:color="auto"/>
                                <w:bottom w:val="none" w:sz="0" w:space="0" w:color="auto"/>
                                <w:right w:val="none" w:sz="0" w:space="0" w:color="auto"/>
                              </w:divBdr>
                            </w:div>
                            <w:div w:id="15669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258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179471432">
                          <w:marLeft w:val="0"/>
                          <w:marRight w:val="0"/>
                          <w:marTop w:val="0"/>
                          <w:marBottom w:val="240"/>
                          <w:divBdr>
                            <w:top w:val="none" w:sz="0" w:space="0" w:color="auto"/>
                            <w:left w:val="none" w:sz="0" w:space="0" w:color="auto"/>
                            <w:bottom w:val="none" w:sz="0" w:space="0" w:color="auto"/>
                            <w:right w:val="none" w:sz="0" w:space="0" w:color="auto"/>
                          </w:divBdr>
                          <w:divsChild>
                            <w:div w:id="357774652">
                              <w:marLeft w:val="0"/>
                              <w:marRight w:val="0"/>
                              <w:marTop w:val="0"/>
                              <w:marBottom w:val="0"/>
                              <w:divBdr>
                                <w:top w:val="none" w:sz="0" w:space="0" w:color="auto"/>
                                <w:left w:val="none" w:sz="0" w:space="0" w:color="auto"/>
                                <w:bottom w:val="none" w:sz="0" w:space="0" w:color="auto"/>
                                <w:right w:val="none" w:sz="0" w:space="0" w:color="auto"/>
                              </w:divBdr>
                            </w:div>
                            <w:div w:id="12759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0277">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387186918">
                          <w:marLeft w:val="0"/>
                          <w:marRight w:val="0"/>
                          <w:marTop w:val="0"/>
                          <w:marBottom w:val="240"/>
                          <w:divBdr>
                            <w:top w:val="none" w:sz="0" w:space="0" w:color="auto"/>
                            <w:left w:val="none" w:sz="0" w:space="0" w:color="auto"/>
                            <w:bottom w:val="none" w:sz="0" w:space="0" w:color="auto"/>
                            <w:right w:val="none" w:sz="0" w:space="0" w:color="auto"/>
                          </w:divBdr>
                          <w:divsChild>
                            <w:div w:id="1295520787">
                              <w:marLeft w:val="0"/>
                              <w:marRight w:val="0"/>
                              <w:marTop w:val="0"/>
                              <w:marBottom w:val="0"/>
                              <w:divBdr>
                                <w:top w:val="none" w:sz="0" w:space="0" w:color="auto"/>
                                <w:left w:val="none" w:sz="0" w:space="0" w:color="auto"/>
                                <w:bottom w:val="none" w:sz="0" w:space="0" w:color="auto"/>
                                <w:right w:val="none" w:sz="0" w:space="0" w:color="auto"/>
                              </w:divBdr>
                            </w:div>
                            <w:div w:id="97972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656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171917214">
                          <w:marLeft w:val="0"/>
                          <w:marRight w:val="0"/>
                          <w:marTop w:val="0"/>
                          <w:marBottom w:val="240"/>
                          <w:divBdr>
                            <w:top w:val="none" w:sz="0" w:space="0" w:color="auto"/>
                            <w:left w:val="none" w:sz="0" w:space="0" w:color="auto"/>
                            <w:bottom w:val="none" w:sz="0" w:space="0" w:color="auto"/>
                            <w:right w:val="none" w:sz="0" w:space="0" w:color="auto"/>
                          </w:divBdr>
                          <w:divsChild>
                            <w:div w:id="1550343685">
                              <w:marLeft w:val="0"/>
                              <w:marRight w:val="0"/>
                              <w:marTop w:val="0"/>
                              <w:marBottom w:val="0"/>
                              <w:divBdr>
                                <w:top w:val="none" w:sz="0" w:space="0" w:color="auto"/>
                                <w:left w:val="none" w:sz="0" w:space="0" w:color="auto"/>
                                <w:bottom w:val="none" w:sz="0" w:space="0" w:color="auto"/>
                                <w:right w:val="none" w:sz="0" w:space="0" w:color="auto"/>
                              </w:divBdr>
                            </w:div>
                            <w:div w:id="2709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3467">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740178356">
                          <w:marLeft w:val="0"/>
                          <w:marRight w:val="0"/>
                          <w:marTop w:val="0"/>
                          <w:marBottom w:val="240"/>
                          <w:divBdr>
                            <w:top w:val="none" w:sz="0" w:space="0" w:color="auto"/>
                            <w:left w:val="none" w:sz="0" w:space="0" w:color="auto"/>
                            <w:bottom w:val="none" w:sz="0" w:space="0" w:color="auto"/>
                            <w:right w:val="none" w:sz="0" w:space="0" w:color="auto"/>
                          </w:divBdr>
                          <w:divsChild>
                            <w:div w:id="1946647917">
                              <w:marLeft w:val="0"/>
                              <w:marRight w:val="0"/>
                              <w:marTop w:val="0"/>
                              <w:marBottom w:val="0"/>
                              <w:divBdr>
                                <w:top w:val="none" w:sz="0" w:space="0" w:color="auto"/>
                                <w:left w:val="none" w:sz="0" w:space="0" w:color="auto"/>
                                <w:bottom w:val="none" w:sz="0" w:space="0" w:color="auto"/>
                                <w:right w:val="none" w:sz="0" w:space="0" w:color="auto"/>
                              </w:divBdr>
                            </w:div>
                            <w:div w:id="17909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837455">
              <w:marLeft w:val="0"/>
              <w:marRight w:val="0"/>
              <w:marTop w:val="0"/>
              <w:marBottom w:val="0"/>
              <w:divBdr>
                <w:top w:val="none" w:sz="0" w:space="0" w:color="auto"/>
                <w:left w:val="none" w:sz="0" w:space="0" w:color="auto"/>
                <w:bottom w:val="none" w:sz="0" w:space="0" w:color="auto"/>
                <w:right w:val="none" w:sz="0" w:space="0" w:color="auto"/>
              </w:divBdr>
              <w:divsChild>
                <w:div w:id="816915925">
                  <w:marLeft w:val="0"/>
                  <w:marRight w:val="0"/>
                  <w:marTop w:val="0"/>
                  <w:marBottom w:val="600"/>
                  <w:divBdr>
                    <w:top w:val="none" w:sz="0" w:space="0" w:color="auto"/>
                    <w:left w:val="none" w:sz="0" w:space="0" w:color="auto"/>
                    <w:bottom w:val="none" w:sz="0" w:space="0" w:color="auto"/>
                    <w:right w:val="none" w:sz="0" w:space="0" w:color="auto"/>
                  </w:divBdr>
                  <w:divsChild>
                    <w:div w:id="239145534">
                      <w:marLeft w:val="0"/>
                      <w:marRight w:val="0"/>
                      <w:marTop w:val="0"/>
                      <w:marBottom w:val="360"/>
                      <w:divBdr>
                        <w:top w:val="none" w:sz="0" w:space="0" w:color="auto"/>
                        <w:left w:val="none" w:sz="0" w:space="0" w:color="auto"/>
                        <w:bottom w:val="none" w:sz="0" w:space="0" w:color="auto"/>
                        <w:right w:val="none" w:sz="0" w:space="0" w:color="auto"/>
                      </w:divBdr>
                      <w:divsChild>
                        <w:div w:id="1841774477">
                          <w:marLeft w:val="0"/>
                          <w:marRight w:val="0"/>
                          <w:marTop w:val="180"/>
                          <w:marBottom w:val="240"/>
                          <w:divBdr>
                            <w:top w:val="none" w:sz="0" w:space="0" w:color="auto"/>
                            <w:left w:val="none" w:sz="0" w:space="0" w:color="auto"/>
                            <w:bottom w:val="none" w:sz="0" w:space="0" w:color="auto"/>
                            <w:right w:val="none" w:sz="0" w:space="0" w:color="auto"/>
                          </w:divBdr>
                        </w:div>
                      </w:divsChild>
                    </w:div>
                    <w:div w:id="682517046">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502093324">
                          <w:marLeft w:val="0"/>
                          <w:marRight w:val="0"/>
                          <w:marTop w:val="0"/>
                          <w:marBottom w:val="240"/>
                          <w:divBdr>
                            <w:top w:val="none" w:sz="0" w:space="0" w:color="auto"/>
                            <w:left w:val="none" w:sz="0" w:space="0" w:color="auto"/>
                            <w:bottom w:val="none" w:sz="0" w:space="0" w:color="auto"/>
                            <w:right w:val="none" w:sz="0" w:space="0" w:color="auto"/>
                          </w:divBdr>
                          <w:divsChild>
                            <w:div w:id="1501042302">
                              <w:marLeft w:val="0"/>
                              <w:marRight w:val="0"/>
                              <w:marTop w:val="0"/>
                              <w:marBottom w:val="0"/>
                              <w:divBdr>
                                <w:top w:val="none" w:sz="0" w:space="0" w:color="auto"/>
                                <w:left w:val="none" w:sz="0" w:space="0" w:color="auto"/>
                                <w:bottom w:val="none" w:sz="0" w:space="0" w:color="auto"/>
                                <w:right w:val="none" w:sz="0" w:space="0" w:color="auto"/>
                              </w:divBdr>
                            </w:div>
                            <w:div w:id="21201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7821">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330449902">
                          <w:marLeft w:val="0"/>
                          <w:marRight w:val="0"/>
                          <w:marTop w:val="0"/>
                          <w:marBottom w:val="240"/>
                          <w:divBdr>
                            <w:top w:val="none" w:sz="0" w:space="0" w:color="auto"/>
                            <w:left w:val="none" w:sz="0" w:space="0" w:color="auto"/>
                            <w:bottom w:val="none" w:sz="0" w:space="0" w:color="auto"/>
                            <w:right w:val="none" w:sz="0" w:space="0" w:color="auto"/>
                          </w:divBdr>
                          <w:divsChild>
                            <w:div w:id="1432624064">
                              <w:marLeft w:val="0"/>
                              <w:marRight w:val="0"/>
                              <w:marTop w:val="0"/>
                              <w:marBottom w:val="0"/>
                              <w:divBdr>
                                <w:top w:val="none" w:sz="0" w:space="0" w:color="auto"/>
                                <w:left w:val="none" w:sz="0" w:space="0" w:color="auto"/>
                                <w:bottom w:val="none" w:sz="0" w:space="0" w:color="auto"/>
                                <w:right w:val="none" w:sz="0" w:space="0" w:color="auto"/>
                              </w:divBdr>
                            </w:div>
                            <w:div w:id="7208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705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421493879">
                          <w:marLeft w:val="0"/>
                          <w:marRight w:val="0"/>
                          <w:marTop w:val="0"/>
                          <w:marBottom w:val="240"/>
                          <w:divBdr>
                            <w:top w:val="none" w:sz="0" w:space="0" w:color="auto"/>
                            <w:left w:val="none" w:sz="0" w:space="0" w:color="auto"/>
                            <w:bottom w:val="none" w:sz="0" w:space="0" w:color="auto"/>
                            <w:right w:val="none" w:sz="0" w:space="0" w:color="auto"/>
                          </w:divBdr>
                          <w:divsChild>
                            <w:div w:id="1295408248">
                              <w:marLeft w:val="0"/>
                              <w:marRight w:val="0"/>
                              <w:marTop w:val="0"/>
                              <w:marBottom w:val="0"/>
                              <w:divBdr>
                                <w:top w:val="none" w:sz="0" w:space="0" w:color="auto"/>
                                <w:left w:val="none" w:sz="0" w:space="0" w:color="auto"/>
                                <w:bottom w:val="none" w:sz="0" w:space="0" w:color="auto"/>
                                <w:right w:val="none" w:sz="0" w:space="0" w:color="auto"/>
                              </w:divBdr>
                            </w:div>
                            <w:div w:id="4261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331084">
              <w:marLeft w:val="0"/>
              <w:marRight w:val="0"/>
              <w:marTop w:val="0"/>
              <w:marBottom w:val="0"/>
              <w:divBdr>
                <w:top w:val="none" w:sz="0" w:space="0" w:color="auto"/>
                <w:left w:val="none" w:sz="0" w:space="0" w:color="auto"/>
                <w:bottom w:val="none" w:sz="0" w:space="0" w:color="auto"/>
                <w:right w:val="none" w:sz="0" w:space="0" w:color="auto"/>
              </w:divBdr>
              <w:divsChild>
                <w:div w:id="81745904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056121393">
          <w:marLeft w:val="0"/>
          <w:marRight w:val="0"/>
          <w:marTop w:val="0"/>
          <w:marBottom w:val="0"/>
          <w:divBdr>
            <w:top w:val="none" w:sz="0" w:space="0" w:color="auto"/>
            <w:left w:val="none" w:sz="0" w:space="0" w:color="auto"/>
            <w:bottom w:val="none" w:sz="0" w:space="0" w:color="auto"/>
            <w:right w:val="none" w:sz="0" w:space="0" w:color="auto"/>
          </w:divBdr>
          <w:divsChild>
            <w:div w:id="1798716825">
              <w:marLeft w:val="0"/>
              <w:marRight w:val="0"/>
              <w:marTop w:val="0"/>
              <w:marBottom w:val="600"/>
              <w:divBdr>
                <w:top w:val="none" w:sz="0" w:space="0" w:color="auto"/>
                <w:left w:val="none" w:sz="0" w:space="0" w:color="auto"/>
                <w:bottom w:val="none" w:sz="0" w:space="0" w:color="auto"/>
                <w:right w:val="none" w:sz="0" w:space="0" w:color="auto"/>
              </w:divBdr>
              <w:divsChild>
                <w:div w:id="1813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5860">
          <w:marLeft w:val="0"/>
          <w:marRight w:val="0"/>
          <w:marTop w:val="0"/>
          <w:marBottom w:val="0"/>
          <w:divBdr>
            <w:top w:val="none" w:sz="0" w:space="0" w:color="auto"/>
            <w:left w:val="none" w:sz="0" w:space="0" w:color="auto"/>
            <w:bottom w:val="none" w:sz="0" w:space="0" w:color="auto"/>
            <w:right w:val="none" w:sz="0" w:space="0" w:color="auto"/>
          </w:divBdr>
          <w:divsChild>
            <w:div w:id="2057468030">
              <w:marLeft w:val="0"/>
              <w:marRight w:val="0"/>
              <w:marTop w:val="0"/>
              <w:marBottom w:val="0"/>
              <w:divBdr>
                <w:top w:val="none" w:sz="0" w:space="0" w:color="auto"/>
                <w:left w:val="none" w:sz="0" w:space="0" w:color="auto"/>
                <w:bottom w:val="none" w:sz="0" w:space="0" w:color="auto"/>
                <w:right w:val="none" w:sz="0" w:space="0" w:color="auto"/>
              </w:divBdr>
              <w:divsChild>
                <w:div w:id="1981423948">
                  <w:marLeft w:val="0"/>
                  <w:marRight w:val="0"/>
                  <w:marTop w:val="0"/>
                  <w:marBottom w:val="600"/>
                  <w:divBdr>
                    <w:top w:val="none" w:sz="0" w:space="0" w:color="auto"/>
                    <w:left w:val="none" w:sz="0" w:space="0" w:color="auto"/>
                    <w:bottom w:val="none" w:sz="0" w:space="0" w:color="auto"/>
                    <w:right w:val="none" w:sz="0" w:space="0" w:color="auto"/>
                  </w:divBdr>
                  <w:divsChild>
                    <w:div w:id="12467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01856">
      <w:bodyDiv w:val="1"/>
      <w:marLeft w:val="0"/>
      <w:marRight w:val="0"/>
      <w:marTop w:val="0"/>
      <w:marBottom w:val="0"/>
      <w:divBdr>
        <w:top w:val="none" w:sz="0" w:space="0" w:color="auto"/>
        <w:left w:val="none" w:sz="0" w:space="0" w:color="auto"/>
        <w:bottom w:val="none" w:sz="0" w:space="0" w:color="auto"/>
        <w:right w:val="none" w:sz="0" w:space="0" w:color="auto"/>
      </w:divBdr>
      <w:divsChild>
        <w:div w:id="1051003616">
          <w:marLeft w:val="0"/>
          <w:marRight w:val="0"/>
          <w:marTop w:val="0"/>
          <w:marBottom w:val="0"/>
          <w:divBdr>
            <w:top w:val="none" w:sz="0" w:space="0" w:color="auto"/>
            <w:left w:val="none" w:sz="0" w:space="0" w:color="auto"/>
            <w:bottom w:val="none" w:sz="0" w:space="0" w:color="auto"/>
            <w:right w:val="none" w:sz="0" w:space="0" w:color="auto"/>
          </w:divBdr>
          <w:divsChild>
            <w:div w:id="440076974">
              <w:marLeft w:val="0"/>
              <w:marRight w:val="0"/>
              <w:marTop w:val="0"/>
              <w:marBottom w:val="600"/>
              <w:divBdr>
                <w:top w:val="none" w:sz="0" w:space="0" w:color="auto"/>
                <w:left w:val="none" w:sz="0" w:space="0" w:color="auto"/>
                <w:bottom w:val="none" w:sz="0" w:space="0" w:color="auto"/>
                <w:right w:val="none" w:sz="0" w:space="0" w:color="auto"/>
              </w:divBdr>
            </w:div>
          </w:divsChild>
        </w:div>
        <w:div w:id="666322001">
          <w:marLeft w:val="0"/>
          <w:marRight w:val="0"/>
          <w:marTop w:val="0"/>
          <w:marBottom w:val="0"/>
          <w:divBdr>
            <w:top w:val="none" w:sz="0" w:space="0" w:color="auto"/>
            <w:left w:val="none" w:sz="0" w:space="0" w:color="auto"/>
            <w:bottom w:val="none" w:sz="0" w:space="0" w:color="auto"/>
            <w:right w:val="none" w:sz="0" w:space="0" w:color="auto"/>
          </w:divBdr>
          <w:divsChild>
            <w:div w:id="36318065">
              <w:marLeft w:val="0"/>
              <w:marRight w:val="0"/>
              <w:marTop w:val="0"/>
              <w:marBottom w:val="0"/>
              <w:divBdr>
                <w:top w:val="none" w:sz="0" w:space="0" w:color="auto"/>
                <w:left w:val="none" w:sz="0" w:space="0" w:color="auto"/>
                <w:bottom w:val="none" w:sz="0" w:space="0" w:color="auto"/>
                <w:right w:val="none" w:sz="0" w:space="0" w:color="auto"/>
              </w:divBdr>
              <w:divsChild>
                <w:div w:id="960184828">
                  <w:marLeft w:val="0"/>
                  <w:marRight w:val="0"/>
                  <w:marTop w:val="360"/>
                  <w:marBottom w:val="360"/>
                  <w:divBdr>
                    <w:top w:val="single" w:sz="6" w:space="6" w:color="D5D5D5"/>
                    <w:left w:val="none" w:sz="0" w:space="0" w:color="auto"/>
                    <w:bottom w:val="single" w:sz="6" w:space="6" w:color="D5D5D5"/>
                    <w:right w:val="none" w:sz="0" w:space="0" w:color="auto"/>
                  </w:divBdr>
                </w:div>
              </w:divsChild>
            </w:div>
          </w:divsChild>
        </w:div>
        <w:div w:id="1119110431">
          <w:marLeft w:val="0"/>
          <w:marRight w:val="0"/>
          <w:marTop w:val="0"/>
          <w:marBottom w:val="0"/>
          <w:divBdr>
            <w:top w:val="none" w:sz="0" w:space="0" w:color="auto"/>
            <w:left w:val="none" w:sz="0" w:space="0" w:color="auto"/>
            <w:bottom w:val="none" w:sz="0" w:space="0" w:color="auto"/>
            <w:right w:val="none" w:sz="0" w:space="0" w:color="auto"/>
          </w:divBdr>
          <w:divsChild>
            <w:div w:id="2020808472">
              <w:marLeft w:val="0"/>
              <w:marRight w:val="0"/>
              <w:marTop w:val="0"/>
              <w:marBottom w:val="0"/>
              <w:divBdr>
                <w:top w:val="none" w:sz="0" w:space="0" w:color="auto"/>
                <w:left w:val="none" w:sz="0" w:space="0" w:color="auto"/>
                <w:bottom w:val="none" w:sz="0" w:space="0" w:color="auto"/>
                <w:right w:val="none" w:sz="0" w:space="0" w:color="auto"/>
              </w:divBdr>
              <w:divsChild>
                <w:div w:id="254633594">
                  <w:marLeft w:val="0"/>
                  <w:marRight w:val="0"/>
                  <w:marTop w:val="0"/>
                  <w:marBottom w:val="600"/>
                  <w:divBdr>
                    <w:top w:val="none" w:sz="0" w:space="0" w:color="auto"/>
                    <w:left w:val="none" w:sz="0" w:space="0" w:color="auto"/>
                    <w:bottom w:val="none" w:sz="0" w:space="0" w:color="auto"/>
                    <w:right w:val="none" w:sz="0" w:space="0" w:color="auto"/>
                  </w:divBdr>
                  <w:divsChild>
                    <w:div w:id="2136898499">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034883483">
                          <w:marLeft w:val="0"/>
                          <w:marRight w:val="0"/>
                          <w:marTop w:val="0"/>
                          <w:marBottom w:val="240"/>
                          <w:divBdr>
                            <w:top w:val="none" w:sz="0" w:space="0" w:color="auto"/>
                            <w:left w:val="none" w:sz="0" w:space="0" w:color="auto"/>
                            <w:bottom w:val="none" w:sz="0" w:space="0" w:color="auto"/>
                            <w:right w:val="none" w:sz="0" w:space="0" w:color="auto"/>
                          </w:divBdr>
                          <w:divsChild>
                            <w:div w:id="248316330">
                              <w:marLeft w:val="0"/>
                              <w:marRight w:val="0"/>
                              <w:marTop w:val="0"/>
                              <w:marBottom w:val="0"/>
                              <w:divBdr>
                                <w:top w:val="none" w:sz="0" w:space="0" w:color="auto"/>
                                <w:left w:val="none" w:sz="0" w:space="0" w:color="auto"/>
                                <w:bottom w:val="none" w:sz="0" w:space="0" w:color="auto"/>
                                <w:right w:val="none" w:sz="0" w:space="0" w:color="auto"/>
                              </w:divBdr>
                            </w:div>
                            <w:div w:id="13555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77410">
              <w:marLeft w:val="0"/>
              <w:marRight w:val="0"/>
              <w:marTop w:val="0"/>
              <w:marBottom w:val="0"/>
              <w:divBdr>
                <w:top w:val="none" w:sz="0" w:space="0" w:color="auto"/>
                <w:left w:val="none" w:sz="0" w:space="0" w:color="auto"/>
                <w:bottom w:val="none" w:sz="0" w:space="0" w:color="auto"/>
                <w:right w:val="none" w:sz="0" w:space="0" w:color="auto"/>
              </w:divBdr>
              <w:divsChild>
                <w:div w:id="1984457535">
                  <w:marLeft w:val="0"/>
                  <w:marRight w:val="0"/>
                  <w:marTop w:val="0"/>
                  <w:marBottom w:val="600"/>
                  <w:divBdr>
                    <w:top w:val="none" w:sz="0" w:space="0" w:color="auto"/>
                    <w:left w:val="none" w:sz="0" w:space="0" w:color="auto"/>
                    <w:bottom w:val="none" w:sz="0" w:space="0" w:color="auto"/>
                    <w:right w:val="none" w:sz="0" w:space="0" w:color="auto"/>
                  </w:divBdr>
                  <w:divsChild>
                    <w:div w:id="1405032310">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036347571">
                          <w:marLeft w:val="0"/>
                          <w:marRight w:val="0"/>
                          <w:marTop w:val="0"/>
                          <w:marBottom w:val="240"/>
                          <w:divBdr>
                            <w:top w:val="none" w:sz="0" w:space="0" w:color="auto"/>
                            <w:left w:val="none" w:sz="0" w:space="0" w:color="auto"/>
                            <w:bottom w:val="none" w:sz="0" w:space="0" w:color="auto"/>
                            <w:right w:val="none" w:sz="0" w:space="0" w:color="auto"/>
                          </w:divBdr>
                          <w:divsChild>
                            <w:div w:id="2023776008">
                              <w:marLeft w:val="0"/>
                              <w:marRight w:val="0"/>
                              <w:marTop w:val="0"/>
                              <w:marBottom w:val="0"/>
                              <w:divBdr>
                                <w:top w:val="none" w:sz="0" w:space="0" w:color="auto"/>
                                <w:left w:val="none" w:sz="0" w:space="0" w:color="auto"/>
                                <w:bottom w:val="none" w:sz="0" w:space="0" w:color="auto"/>
                                <w:right w:val="none" w:sz="0" w:space="0" w:color="auto"/>
                              </w:divBdr>
                            </w:div>
                            <w:div w:id="12212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4336">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543712543">
                          <w:marLeft w:val="0"/>
                          <w:marRight w:val="0"/>
                          <w:marTop w:val="0"/>
                          <w:marBottom w:val="240"/>
                          <w:divBdr>
                            <w:top w:val="none" w:sz="0" w:space="0" w:color="auto"/>
                            <w:left w:val="none" w:sz="0" w:space="0" w:color="auto"/>
                            <w:bottom w:val="none" w:sz="0" w:space="0" w:color="auto"/>
                            <w:right w:val="none" w:sz="0" w:space="0" w:color="auto"/>
                          </w:divBdr>
                          <w:divsChild>
                            <w:div w:id="135345761">
                              <w:marLeft w:val="0"/>
                              <w:marRight w:val="0"/>
                              <w:marTop w:val="0"/>
                              <w:marBottom w:val="0"/>
                              <w:divBdr>
                                <w:top w:val="none" w:sz="0" w:space="0" w:color="auto"/>
                                <w:left w:val="none" w:sz="0" w:space="0" w:color="auto"/>
                                <w:bottom w:val="none" w:sz="0" w:space="0" w:color="auto"/>
                                <w:right w:val="none" w:sz="0" w:space="0" w:color="auto"/>
                              </w:divBdr>
                            </w:div>
                            <w:div w:id="9852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520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229315627">
                          <w:marLeft w:val="0"/>
                          <w:marRight w:val="0"/>
                          <w:marTop w:val="0"/>
                          <w:marBottom w:val="240"/>
                          <w:divBdr>
                            <w:top w:val="none" w:sz="0" w:space="0" w:color="auto"/>
                            <w:left w:val="none" w:sz="0" w:space="0" w:color="auto"/>
                            <w:bottom w:val="none" w:sz="0" w:space="0" w:color="auto"/>
                            <w:right w:val="none" w:sz="0" w:space="0" w:color="auto"/>
                          </w:divBdr>
                          <w:divsChild>
                            <w:div w:id="477966315">
                              <w:marLeft w:val="0"/>
                              <w:marRight w:val="0"/>
                              <w:marTop w:val="0"/>
                              <w:marBottom w:val="0"/>
                              <w:divBdr>
                                <w:top w:val="none" w:sz="0" w:space="0" w:color="auto"/>
                                <w:left w:val="none" w:sz="0" w:space="0" w:color="auto"/>
                                <w:bottom w:val="none" w:sz="0" w:space="0" w:color="auto"/>
                                <w:right w:val="none" w:sz="0" w:space="0" w:color="auto"/>
                              </w:divBdr>
                            </w:div>
                            <w:div w:id="180538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40505">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579486130">
                          <w:marLeft w:val="0"/>
                          <w:marRight w:val="0"/>
                          <w:marTop w:val="0"/>
                          <w:marBottom w:val="240"/>
                          <w:divBdr>
                            <w:top w:val="none" w:sz="0" w:space="0" w:color="auto"/>
                            <w:left w:val="none" w:sz="0" w:space="0" w:color="auto"/>
                            <w:bottom w:val="none" w:sz="0" w:space="0" w:color="auto"/>
                            <w:right w:val="none" w:sz="0" w:space="0" w:color="auto"/>
                          </w:divBdr>
                          <w:divsChild>
                            <w:div w:id="440950603">
                              <w:marLeft w:val="0"/>
                              <w:marRight w:val="0"/>
                              <w:marTop w:val="0"/>
                              <w:marBottom w:val="0"/>
                              <w:divBdr>
                                <w:top w:val="none" w:sz="0" w:space="0" w:color="auto"/>
                                <w:left w:val="none" w:sz="0" w:space="0" w:color="auto"/>
                                <w:bottom w:val="none" w:sz="0" w:space="0" w:color="auto"/>
                                <w:right w:val="none" w:sz="0" w:space="0" w:color="auto"/>
                              </w:divBdr>
                            </w:div>
                            <w:div w:id="19366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057">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407192737">
                          <w:marLeft w:val="0"/>
                          <w:marRight w:val="0"/>
                          <w:marTop w:val="0"/>
                          <w:marBottom w:val="240"/>
                          <w:divBdr>
                            <w:top w:val="none" w:sz="0" w:space="0" w:color="auto"/>
                            <w:left w:val="none" w:sz="0" w:space="0" w:color="auto"/>
                            <w:bottom w:val="none" w:sz="0" w:space="0" w:color="auto"/>
                            <w:right w:val="none" w:sz="0" w:space="0" w:color="auto"/>
                          </w:divBdr>
                          <w:divsChild>
                            <w:div w:id="1339235680">
                              <w:marLeft w:val="0"/>
                              <w:marRight w:val="0"/>
                              <w:marTop w:val="0"/>
                              <w:marBottom w:val="0"/>
                              <w:divBdr>
                                <w:top w:val="none" w:sz="0" w:space="0" w:color="auto"/>
                                <w:left w:val="none" w:sz="0" w:space="0" w:color="auto"/>
                                <w:bottom w:val="none" w:sz="0" w:space="0" w:color="auto"/>
                                <w:right w:val="none" w:sz="0" w:space="0" w:color="auto"/>
                              </w:divBdr>
                            </w:div>
                            <w:div w:id="2090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26064">
              <w:marLeft w:val="0"/>
              <w:marRight w:val="0"/>
              <w:marTop w:val="0"/>
              <w:marBottom w:val="0"/>
              <w:divBdr>
                <w:top w:val="none" w:sz="0" w:space="0" w:color="auto"/>
                <w:left w:val="none" w:sz="0" w:space="0" w:color="auto"/>
                <w:bottom w:val="none" w:sz="0" w:space="0" w:color="auto"/>
                <w:right w:val="none" w:sz="0" w:space="0" w:color="auto"/>
              </w:divBdr>
              <w:divsChild>
                <w:div w:id="1659766743">
                  <w:marLeft w:val="0"/>
                  <w:marRight w:val="0"/>
                  <w:marTop w:val="0"/>
                  <w:marBottom w:val="600"/>
                  <w:divBdr>
                    <w:top w:val="none" w:sz="0" w:space="0" w:color="auto"/>
                    <w:left w:val="none" w:sz="0" w:space="0" w:color="auto"/>
                    <w:bottom w:val="none" w:sz="0" w:space="0" w:color="auto"/>
                    <w:right w:val="none" w:sz="0" w:space="0" w:color="auto"/>
                  </w:divBdr>
                  <w:divsChild>
                    <w:div w:id="66538046">
                      <w:marLeft w:val="0"/>
                      <w:marRight w:val="0"/>
                      <w:marTop w:val="0"/>
                      <w:marBottom w:val="360"/>
                      <w:divBdr>
                        <w:top w:val="none" w:sz="0" w:space="0" w:color="auto"/>
                        <w:left w:val="none" w:sz="0" w:space="0" w:color="auto"/>
                        <w:bottom w:val="none" w:sz="0" w:space="0" w:color="auto"/>
                        <w:right w:val="none" w:sz="0" w:space="0" w:color="auto"/>
                      </w:divBdr>
                      <w:divsChild>
                        <w:div w:id="306252287">
                          <w:marLeft w:val="0"/>
                          <w:marRight w:val="0"/>
                          <w:marTop w:val="180"/>
                          <w:marBottom w:val="240"/>
                          <w:divBdr>
                            <w:top w:val="none" w:sz="0" w:space="0" w:color="auto"/>
                            <w:left w:val="none" w:sz="0" w:space="0" w:color="auto"/>
                            <w:bottom w:val="none" w:sz="0" w:space="0" w:color="auto"/>
                            <w:right w:val="none" w:sz="0" w:space="0" w:color="auto"/>
                          </w:divBdr>
                        </w:div>
                      </w:divsChild>
                    </w:div>
                    <w:div w:id="2012219670">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411467594">
                          <w:marLeft w:val="0"/>
                          <w:marRight w:val="0"/>
                          <w:marTop w:val="0"/>
                          <w:marBottom w:val="240"/>
                          <w:divBdr>
                            <w:top w:val="none" w:sz="0" w:space="0" w:color="auto"/>
                            <w:left w:val="none" w:sz="0" w:space="0" w:color="auto"/>
                            <w:bottom w:val="none" w:sz="0" w:space="0" w:color="auto"/>
                            <w:right w:val="none" w:sz="0" w:space="0" w:color="auto"/>
                          </w:divBdr>
                          <w:divsChild>
                            <w:div w:id="967710471">
                              <w:marLeft w:val="0"/>
                              <w:marRight w:val="0"/>
                              <w:marTop w:val="0"/>
                              <w:marBottom w:val="0"/>
                              <w:divBdr>
                                <w:top w:val="none" w:sz="0" w:space="0" w:color="auto"/>
                                <w:left w:val="none" w:sz="0" w:space="0" w:color="auto"/>
                                <w:bottom w:val="none" w:sz="0" w:space="0" w:color="auto"/>
                                <w:right w:val="none" w:sz="0" w:space="0" w:color="auto"/>
                              </w:divBdr>
                            </w:div>
                            <w:div w:id="1965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1895">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430778738">
                          <w:marLeft w:val="0"/>
                          <w:marRight w:val="0"/>
                          <w:marTop w:val="0"/>
                          <w:marBottom w:val="240"/>
                          <w:divBdr>
                            <w:top w:val="none" w:sz="0" w:space="0" w:color="auto"/>
                            <w:left w:val="none" w:sz="0" w:space="0" w:color="auto"/>
                            <w:bottom w:val="none" w:sz="0" w:space="0" w:color="auto"/>
                            <w:right w:val="none" w:sz="0" w:space="0" w:color="auto"/>
                          </w:divBdr>
                          <w:divsChild>
                            <w:div w:id="675697324">
                              <w:marLeft w:val="0"/>
                              <w:marRight w:val="0"/>
                              <w:marTop w:val="0"/>
                              <w:marBottom w:val="0"/>
                              <w:divBdr>
                                <w:top w:val="none" w:sz="0" w:space="0" w:color="auto"/>
                                <w:left w:val="none" w:sz="0" w:space="0" w:color="auto"/>
                                <w:bottom w:val="none" w:sz="0" w:space="0" w:color="auto"/>
                                <w:right w:val="none" w:sz="0" w:space="0" w:color="auto"/>
                              </w:divBdr>
                            </w:div>
                            <w:div w:id="69188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8660">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681003464">
                          <w:marLeft w:val="0"/>
                          <w:marRight w:val="0"/>
                          <w:marTop w:val="0"/>
                          <w:marBottom w:val="240"/>
                          <w:divBdr>
                            <w:top w:val="none" w:sz="0" w:space="0" w:color="auto"/>
                            <w:left w:val="none" w:sz="0" w:space="0" w:color="auto"/>
                            <w:bottom w:val="none" w:sz="0" w:space="0" w:color="auto"/>
                            <w:right w:val="none" w:sz="0" w:space="0" w:color="auto"/>
                          </w:divBdr>
                          <w:divsChild>
                            <w:div w:id="1362434198">
                              <w:marLeft w:val="0"/>
                              <w:marRight w:val="0"/>
                              <w:marTop w:val="0"/>
                              <w:marBottom w:val="0"/>
                              <w:divBdr>
                                <w:top w:val="none" w:sz="0" w:space="0" w:color="auto"/>
                                <w:left w:val="none" w:sz="0" w:space="0" w:color="auto"/>
                                <w:bottom w:val="none" w:sz="0" w:space="0" w:color="auto"/>
                                <w:right w:val="none" w:sz="0" w:space="0" w:color="auto"/>
                              </w:divBdr>
                            </w:div>
                            <w:div w:id="92984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490470">
              <w:marLeft w:val="0"/>
              <w:marRight w:val="0"/>
              <w:marTop w:val="0"/>
              <w:marBottom w:val="0"/>
              <w:divBdr>
                <w:top w:val="none" w:sz="0" w:space="0" w:color="auto"/>
                <w:left w:val="none" w:sz="0" w:space="0" w:color="auto"/>
                <w:bottom w:val="none" w:sz="0" w:space="0" w:color="auto"/>
                <w:right w:val="none" w:sz="0" w:space="0" w:color="auto"/>
              </w:divBdr>
              <w:divsChild>
                <w:div w:id="37096044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955164814">
          <w:marLeft w:val="0"/>
          <w:marRight w:val="0"/>
          <w:marTop w:val="0"/>
          <w:marBottom w:val="0"/>
          <w:divBdr>
            <w:top w:val="none" w:sz="0" w:space="0" w:color="auto"/>
            <w:left w:val="none" w:sz="0" w:space="0" w:color="auto"/>
            <w:bottom w:val="none" w:sz="0" w:space="0" w:color="auto"/>
            <w:right w:val="none" w:sz="0" w:space="0" w:color="auto"/>
          </w:divBdr>
          <w:divsChild>
            <w:div w:id="396438350">
              <w:marLeft w:val="0"/>
              <w:marRight w:val="0"/>
              <w:marTop w:val="0"/>
              <w:marBottom w:val="600"/>
              <w:divBdr>
                <w:top w:val="none" w:sz="0" w:space="0" w:color="auto"/>
                <w:left w:val="none" w:sz="0" w:space="0" w:color="auto"/>
                <w:bottom w:val="none" w:sz="0" w:space="0" w:color="auto"/>
                <w:right w:val="none" w:sz="0" w:space="0" w:color="auto"/>
              </w:divBdr>
              <w:divsChild>
                <w:div w:id="12086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2032">
          <w:marLeft w:val="0"/>
          <w:marRight w:val="0"/>
          <w:marTop w:val="0"/>
          <w:marBottom w:val="0"/>
          <w:divBdr>
            <w:top w:val="none" w:sz="0" w:space="0" w:color="auto"/>
            <w:left w:val="none" w:sz="0" w:space="0" w:color="auto"/>
            <w:bottom w:val="none" w:sz="0" w:space="0" w:color="auto"/>
            <w:right w:val="none" w:sz="0" w:space="0" w:color="auto"/>
          </w:divBdr>
          <w:divsChild>
            <w:div w:id="1461454715">
              <w:marLeft w:val="0"/>
              <w:marRight w:val="0"/>
              <w:marTop w:val="0"/>
              <w:marBottom w:val="0"/>
              <w:divBdr>
                <w:top w:val="none" w:sz="0" w:space="0" w:color="auto"/>
                <w:left w:val="none" w:sz="0" w:space="0" w:color="auto"/>
                <w:bottom w:val="none" w:sz="0" w:space="0" w:color="auto"/>
                <w:right w:val="none" w:sz="0" w:space="0" w:color="auto"/>
              </w:divBdr>
              <w:divsChild>
                <w:div w:id="1225726026">
                  <w:marLeft w:val="0"/>
                  <w:marRight w:val="0"/>
                  <w:marTop w:val="0"/>
                  <w:marBottom w:val="600"/>
                  <w:divBdr>
                    <w:top w:val="none" w:sz="0" w:space="0" w:color="auto"/>
                    <w:left w:val="none" w:sz="0" w:space="0" w:color="auto"/>
                    <w:bottom w:val="none" w:sz="0" w:space="0" w:color="auto"/>
                    <w:right w:val="none" w:sz="0" w:space="0" w:color="auto"/>
                  </w:divBdr>
                  <w:divsChild>
                    <w:div w:id="16060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688151">
      <w:bodyDiv w:val="1"/>
      <w:marLeft w:val="0"/>
      <w:marRight w:val="0"/>
      <w:marTop w:val="0"/>
      <w:marBottom w:val="0"/>
      <w:divBdr>
        <w:top w:val="none" w:sz="0" w:space="0" w:color="auto"/>
        <w:left w:val="none" w:sz="0" w:space="0" w:color="auto"/>
        <w:bottom w:val="none" w:sz="0" w:space="0" w:color="auto"/>
        <w:right w:val="none" w:sz="0" w:space="0" w:color="auto"/>
      </w:divBdr>
    </w:div>
    <w:div w:id="864561923">
      <w:bodyDiv w:val="1"/>
      <w:marLeft w:val="0"/>
      <w:marRight w:val="0"/>
      <w:marTop w:val="0"/>
      <w:marBottom w:val="0"/>
      <w:divBdr>
        <w:top w:val="none" w:sz="0" w:space="0" w:color="auto"/>
        <w:left w:val="none" w:sz="0" w:space="0" w:color="auto"/>
        <w:bottom w:val="none" w:sz="0" w:space="0" w:color="auto"/>
        <w:right w:val="none" w:sz="0" w:space="0" w:color="auto"/>
      </w:divBdr>
    </w:div>
    <w:div w:id="1474757083">
      <w:bodyDiv w:val="1"/>
      <w:marLeft w:val="0"/>
      <w:marRight w:val="0"/>
      <w:marTop w:val="0"/>
      <w:marBottom w:val="0"/>
      <w:divBdr>
        <w:top w:val="none" w:sz="0" w:space="0" w:color="auto"/>
        <w:left w:val="none" w:sz="0" w:space="0" w:color="auto"/>
        <w:bottom w:val="none" w:sz="0" w:space="0" w:color="auto"/>
        <w:right w:val="none" w:sz="0" w:space="0" w:color="auto"/>
      </w:divBdr>
    </w:div>
    <w:div w:id="1785660355">
      <w:bodyDiv w:val="1"/>
      <w:marLeft w:val="0"/>
      <w:marRight w:val="0"/>
      <w:marTop w:val="0"/>
      <w:marBottom w:val="0"/>
      <w:divBdr>
        <w:top w:val="none" w:sz="0" w:space="0" w:color="auto"/>
        <w:left w:val="none" w:sz="0" w:space="0" w:color="auto"/>
        <w:bottom w:val="none" w:sz="0" w:space="0" w:color="auto"/>
        <w:right w:val="none" w:sz="0" w:space="0" w:color="auto"/>
      </w:divBdr>
    </w:div>
    <w:div w:id="209881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springer.com/chapter/10.1007/978-3-031-04083-2_16" TargetMode="External"/><Relationship Id="rId21" Type="http://schemas.openxmlformats.org/officeDocument/2006/relationships/hyperlink" Target="https://link.springer.com/chapter/10.1007/978-3-031-04083-2_16" TargetMode="External"/><Relationship Id="rId42" Type="http://schemas.openxmlformats.org/officeDocument/2006/relationships/hyperlink" Target="https://link.springer.com/chapter/10.1007/978-3-031-04083-2_16" TargetMode="External"/><Relationship Id="rId63" Type="http://schemas.openxmlformats.org/officeDocument/2006/relationships/hyperlink" Target="https://link.springer.com/chapter/10.1007/978-3-031-04083-2_16" TargetMode="External"/><Relationship Id="rId84" Type="http://schemas.openxmlformats.org/officeDocument/2006/relationships/hyperlink" Target="https://link.springer.com/chapter/10.1007/978-3-031-04083-2_16" TargetMode="External"/><Relationship Id="rId138" Type="http://schemas.openxmlformats.org/officeDocument/2006/relationships/hyperlink" Target="https://link.springer.com/chapter/10.1007/978-3-031-04083-2_16" TargetMode="External"/><Relationship Id="rId159" Type="http://schemas.openxmlformats.org/officeDocument/2006/relationships/hyperlink" Target="https://link.springer.com/chapter/10.1007/978-3-031-04083-2_16" TargetMode="External"/><Relationship Id="rId170" Type="http://schemas.openxmlformats.org/officeDocument/2006/relationships/hyperlink" Target="https://link.springer.com/chapter/10.1007/978-3-031-04083-2_16" TargetMode="External"/><Relationship Id="rId191" Type="http://schemas.openxmlformats.org/officeDocument/2006/relationships/hyperlink" Target="https://link.springer.com/chapter/10.1007/978-3-031-04083-2_16" TargetMode="External"/><Relationship Id="rId205" Type="http://schemas.openxmlformats.org/officeDocument/2006/relationships/hyperlink" Target="https://link.springer.com/chapter/10.1007/978-3-031-04083-2_16" TargetMode="External"/><Relationship Id="rId226" Type="http://schemas.openxmlformats.org/officeDocument/2006/relationships/hyperlink" Target="http://arxiv.org/abs/1711.06104" TargetMode="External"/><Relationship Id="rId107" Type="http://schemas.openxmlformats.org/officeDocument/2006/relationships/hyperlink" Target="https://link.springer.com/chapter/10.1007/978-3-031-04083-2_16" TargetMode="External"/><Relationship Id="rId11" Type="http://schemas.openxmlformats.org/officeDocument/2006/relationships/hyperlink" Target="https://link.springer.com/chapter/10.1007/978-3-031-04083-2_16" TargetMode="External"/><Relationship Id="rId32" Type="http://schemas.openxmlformats.org/officeDocument/2006/relationships/hyperlink" Target="https://link.springer.com/chapter/10.1007/978-3-031-04083-2_16" TargetMode="External"/><Relationship Id="rId53" Type="http://schemas.openxmlformats.org/officeDocument/2006/relationships/hyperlink" Target="https://link.springer.com/chapter/10.1007/978-3-031-04083-2_16" TargetMode="External"/><Relationship Id="rId74" Type="http://schemas.openxmlformats.org/officeDocument/2006/relationships/hyperlink" Target="https://link.springer.com/chapter/10.1007/978-3-031-04083-2_16" TargetMode="External"/><Relationship Id="rId128" Type="http://schemas.openxmlformats.org/officeDocument/2006/relationships/hyperlink" Target="https://link.springer.com/chapter/10.1007/978-3-031-04083-2_16" TargetMode="External"/><Relationship Id="rId149" Type="http://schemas.openxmlformats.org/officeDocument/2006/relationships/hyperlink" Target="https://link.springer.com/chapter/10.1007/978-3-031-04083-2_16" TargetMode="External"/><Relationship Id="rId5" Type="http://schemas.openxmlformats.org/officeDocument/2006/relationships/webSettings" Target="webSettings.xml"/><Relationship Id="rId95" Type="http://schemas.openxmlformats.org/officeDocument/2006/relationships/hyperlink" Target="https://link.springer.com/chapter/10.1007/978-3-031-04083-2_16" TargetMode="External"/><Relationship Id="rId160" Type="http://schemas.openxmlformats.org/officeDocument/2006/relationships/hyperlink" Target="https://link.springer.com/chapter/10.1007/978-3-031-04083-2_16" TargetMode="External"/><Relationship Id="rId181" Type="http://schemas.openxmlformats.org/officeDocument/2006/relationships/hyperlink" Target="https://link.springer.com/chapter/10.1007/978-3-031-04083-2_16" TargetMode="External"/><Relationship Id="rId216" Type="http://schemas.openxmlformats.org/officeDocument/2006/relationships/hyperlink" Target="https://link.springer.com/chapter/10.1007/978-3-031-04083-2_16" TargetMode="External"/><Relationship Id="rId22" Type="http://schemas.openxmlformats.org/officeDocument/2006/relationships/hyperlink" Target="https://link.springer.com/chapter/10.1007/978-3-031-04083-2_16" TargetMode="External"/><Relationship Id="rId43" Type="http://schemas.openxmlformats.org/officeDocument/2006/relationships/hyperlink" Target="https://link.springer.com/chapter/10.1007/978-3-031-04083-2_16" TargetMode="External"/><Relationship Id="rId64" Type="http://schemas.openxmlformats.org/officeDocument/2006/relationships/hyperlink" Target="https://link.springer.com/chapter/10.1007/978-3-031-04083-2_16" TargetMode="External"/><Relationship Id="rId118" Type="http://schemas.openxmlformats.org/officeDocument/2006/relationships/hyperlink" Target="https://link.springer.com/chapter/10.1007/978-3-031-04083-2_16" TargetMode="External"/><Relationship Id="rId139" Type="http://schemas.openxmlformats.org/officeDocument/2006/relationships/hyperlink" Target="https://link.springer.com/chapter/10.1007/978-3-031-04083-2_16/figures/6" TargetMode="External"/><Relationship Id="rId85" Type="http://schemas.openxmlformats.org/officeDocument/2006/relationships/hyperlink" Target="https://link.springer.com/chapter/10.1007/978-3-031-04083-2_16" TargetMode="External"/><Relationship Id="rId150" Type="http://schemas.openxmlformats.org/officeDocument/2006/relationships/hyperlink" Target="https://link.springer.com/chapter/10.1007/978-3-031-04083-2_16" TargetMode="External"/><Relationship Id="rId171" Type="http://schemas.openxmlformats.org/officeDocument/2006/relationships/hyperlink" Target="https://link.springer.com/chapter/10.1007/978-3-031-04083-2_16" TargetMode="External"/><Relationship Id="rId192" Type="http://schemas.openxmlformats.org/officeDocument/2006/relationships/hyperlink" Target="https://link.springer.com/chapter/10.1007/978-3-031-04083-2_16" TargetMode="External"/><Relationship Id="rId206" Type="http://schemas.openxmlformats.org/officeDocument/2006/relationships/hyperlink" Target="https://www.computerweekly.com/feature/How-data-analytics-drives-wind-turbine-power-generation" TargetMode="External"/><Relationship Id="rId227" Type="http://schemas.openxmlformats.org/officeDocument/2006/relationships/fontTable" Target="fontTable.xml"/><Relationship Id="rId12" Type="http://schemas.openxmlformats.org/officeDocument/2006/relationships/hyperlink" Target="https://link.springer.com/chapter/10.1007/978-3-031-04083-2_16" TargetMode="External"/><Relationship Id="rId33" Type="http://schemas.openxmlformats.org/officeDocument/2006/relationships/hyperlink" Target="https://link.springer.com/chapter/10.1007/978-3-031-04083-2_16" TargetMode="External"/><Relationship Id="rId108" Type="http://schemas.openxmlformats.org/officeDocument/2006/relationships/hyperlink" Target="https://link.springer.com/chapter/10.1007/978-3-031-04083-2_16" TargetMode="External"/><Relationship Id="rId129" Type="http://schemas.openxmlformats.org/officeDocument/2006/relationships/hyperlink" Target="https://link.springer.com/chapter/10.1007/978-3-031-04083-2_16" TargetMode="External"/><Relationship Id="rId54" Type="http://schemas.openxmlformats.org/officeDocument/2006/relationships/hyperlink" Target="https://link.springer.com/chapter/10.1007/978-3-031-04083-2_16" TargetMode="External"/><Relationship Id="rId75" Type="http://schemas.openxmlformats.org/officeDocument/2006/relationships/hyperlink" Target="https://link.springer.com/chapter/10.1007/978-3-031-04083-2_16" TargetMode="External"/><Relationship Id="rId96" Type="http://schemas.openxmlformats.org/officeDocument/2006/relationships/hyperlink" Target="https://link.springer.com/chapter/10.1007/978-3-031-04083-2_16/figures/3" TargetMode="External"/><Relationship Id="rId140" Type="http://schemas.openxmlformats.org/officeDocument/2006/relationships/image" Target="media/image7.png"/><Relationship Id="rId161" Type="http://schemas.openxmlformats.org/officeDocument/2006/relationships/hyperlink" Target="https://link.springer.com/chapter/10.1007/978-3-031-04083-2_16" TargetMode="External"/><Relationship Id="rId182" Type="http://schemas.openxmlformats.org/officeDocument/2006/relationships/hyperlink" Target="https://link.springer.com/chapter/10.1007/978-3-031-04083-2_16" TargetMode="External"/><Relationship Id="rId217" Type="http://schemas.openxmlformats.org/officeDocument/2006/relationships/hyperlink" Target="https://link.springer.com/chapter/10.1007/978-3-031-04083-2_16" TargetMode="External"/><Relationship Id="rId6" Type="http://schemas.openxmlformats.org/officeDocument/2006/relationships/image" Target="media/image1.png"/><Relationship Id="rId23" Type="http://schemas.openxmlformats.org/officeDocument/2006/relationships/hyperlink" Target="https://link.springer.com/chapter/10.1007/978-3-031-04083-2_16" TargetMode="External"/><Relationship Id="rId119" Type="http://schemas.openxmlformats.org/officeDocument/2006/relationships/hyperlink" Target="https://link.springer.com/chapter/10.1007/978-3-031-04083-2_16" TargetMode="External"/><Relationship Id="rId44" Type="http://schemas.openxmlformats.org/officeDocument/2006/relationships/hyperlink" Target="https://link.springer.com/chapter/10.1007/978-3-031-04083-2_16" TargetMode="External"/><Relationship Id="rId65" Type="http://schemas.openxmlformats.org/officeDocument/2006/relationships/hyperlink" Target="https://link.springer.com/chapter/10.1007/978-3-031-04083-2_16" TargetMode="External"/><Relationship Id="rId86" Type="http://schemas.openxmlformats.org/officeDocument/2006/relationships/hyperlink" Target="https://link.springer.com/chapter/10.1007/978-3-031-04083-2_16" TargetMode="External"/><Relationship Id="rId130" Type="http://schemas.openxmlformats.org/officeDocument/2006/relationships/hyperlink" Target="https://link.springer.com/chapter/10.1007/978-3-031-04083-2_16/figures/5" TargetMode="External"/><Relationship Id="rId151" Type="http://schemas.openxmlformats.org/officeDocument/2006/relationships/hyperlink" Target="https://link.springer.com/chapter/10.1007/978-3-031-04083-2_16" TargetMode="External"/><Relationship Id="rId172" Type="http://schemas.openxmlformats.org/officeDocument/2006/relationships/hyperlink" Target="https://link.springer.com/chapter/10.1007/978-3-031-04083-2_16" TargetMode="External"/><Relationship Id="rId193" Type="http://schemas.openxmlformats.org/officeDocument/2006/relationships/hyperlink" Target="https://link.springer.com/chapter/10.1007/978-3-031-04083-2_16" TargetMode="External"/><Relationship Id="rId207" Type="http://schemas.openxmlformats.org/officeDocument/2006/relationships/hyperlink" Target="https://www.techtarget.com/searchbusinessanalytics/news/252523998/Geospatial-data-a-key-means-of-combating-climate-change" TargetMode="External"/><Relationship Id="rId228" Type="http://schemas.openxmlformats.org/officeDocument/2006/relationships/theme" Target="theme/theme1.xml"/><Relationship Id="rId13" Type="http://schemas.openxmlformats.org/officeDocument/2006/relationships/hyperlink" Target="https://link.springer.com/chapter/10.1007/978-3-031-04083-2_16" TargetMode="External"/><Relationship Id="rId109" Type="http://schemas.openxmlformats.org/officeDocument/2006/relationships/hyperlink" Target="https://link.springer.com/chapter/10.1007/978-3-031-04083-2_16" TargetMode="External"/><Relationship Id="rId34" Type="http://schemas.openxmlformats.org/officeDocument/2006/relationships/hyperlink" Target="https://link.springer.com/chapter/10.1007/978-3-031-04083-2_16" TargetMode="External"/><Relationship Id="rId55" Type="http://schemas.openxmlformats.org/officeDocument/2006/relationships/hyperlink" Target="https://link.springer.com/chapter/10.1007/978-3-031-04083-2_16" TargetMode="External"/><Relationship Id="rId76" Type="http://schemas.openxmlformats.org/officeDocument/2006/relationships/hyperlink" Target="https://link.springer.com/chapter/10.1007/978-3-031-04083-2_16" TargetMode="External"/><Relationship Id="rId97" Type="http://schemas.openxmlformats.org/officeDocument/2006/relationships/image" Target="media/image4.png"/><Relationship Id="rId120" Type="http://schemas.openxmlformats.org/officeDocument/2006/relationships/hyperlink" Target="https://link.springer.com/chapter/10.1007/978-3-031-04083-2_16" TargetMode="External"/><Relationship Id="rId141" Type="http://schemas.openxmlformats.org/officeDocument/2006/relationships/hyperlink" Target="https://link.springer.com/chapter/10.1007/978-3-031-04083-2_16" TargetMode="External"/><Relationship Id="rId7" Type="http://schemas.openxmlformats.org/officeDocument/2006/relationships/hyperlink" Target="https://link.springer.com/chapter/10.1007/978-3-031-04083-2_16" TargetMode="External"/><Relationship Id="rId162" Type="http://schemas.openxmlformats.org/officeDocument/2006/relationships/hyperlink" Target="https://link.springer.com/chapter/10.1007/978-3-031-04083-2_16" TargetMode="External"/><Relationship Id="rId183" Type="http://schemas.openxmlformats.org/officeDocument/2006/relationships/hyperlink" Target="https://link.springer.com/chapter/10.1007/978-3-031-04083-2_16" TargetMode="External"/><Relationship Id="rId218" Type="http://schemas.openxmlformats.org/officeDocument/2006/relationships/hyperlink" Target="https://link.springer.com/chapter/10.1007/978-3-031-04083-2_16" TargetMode="External"/><Relationship Id="rId24" Type="http://schemas.openxmlformats.org/officeDocument/2006/relationships/hyperlink" Target="https://link.springer.com/chapter/10.1007/978-3-031-04083-2_16" TargetMode="External"/><Relationship Id="rId45" Type="http://schemas.openxmlformats.org/officeDocument/2006/relationships/hyperlink" Target="https://link.springer.com/chapter/10.1007/978-3-031-04083-2_16" TargetMode="External"/><Relationship Id="rId66" Type="http://schemas.openxmlformats.org/officeDocument/2006/relationships/hyperlink" Target="https://link.springer.com/chapter/10.1007/978-3-031-04083-2_16" TargetMode="External"/><Relationship Id="rId87" Type="http://schemas.openxmlformats.org/officeDocument/2006/relationships/hyperlink" Target="https://link.springer.com/chapter/10.1007/978-3-031-04083-2_16" TargetMode="External"/><Relationship Id="rId110" Type="http://schemas.openxmlformats.org/officeDocument/2006/relationships/hyperlink" Target="https://link.springer.com/chapter/10.1007/978-3-031-04083-2_16" TargetMode="External"/><Relationship Id="rId131" Type="http://schemas.openxmlformats.org/officeDocument/2006/relationships/image" Target="media/image6.png"/><Relationship Id="rId152" Type="http://schemas.openxmlformats.org/officeDocument/2006/relationships/hyperlink" Target="https://link.springer.com/chapter/10.1007/978-3-031-04083-2_16" TargetMode="External"/><Relationship Id="rId173" Type="http://schemas.openxmlformats.org/officeDocument/2006/relationships/hyperlink" Target="https://link.springer.com/chapter/10.1007/978-3-031-04083-2_16" TargetMode="External"/><Relationship Id="rId194" Type="http://schemas.openxmlformats.org/officeDocument/2006/relationships/hyperlink" Target="https://link.springer.com/chapter/10.1007/978-3-031-04083-2_16" TargetMode="External"/><Relationship Id="rId208" Type="http://schemas.openxmlformats.org/officeDocument/2006/relationships/hyperlink" Target="https://www.thoughtco.com/what-is-a-hurricane-1433504" TargetMode="External"/><Relationship Id="rId14" Type="http://schemas.openxmlformats.org/officeDocument/2006/relationships/hyperlink" Target="https://link.springer.com/chapter/10.1007/978-3-031-04083-2_16" TargetMode="External"/><Relationship Id="rId35" Type="http://schemas.openxmlformats.org/officeDocument/2006/relationships/hyperlink" Target="https://link.springer.com/chapter/10.1007/978-3-031-04083-2_16" TargetMode="External"/><Relationship Id="rId56" Type="http://schemas.openxmlformats.org/officeDocument/2006/relationships/hyperlink" Target="https://link.springer.com/chapter/10.1007/978-3-031-04083-2_16" TargetMode="External"/><Relationship Id="rId77" Type="http://schemas.openxmlformats.org/officeDocument/2006/relationships/hyperlink" Target="https://link.springer.com/chapter/10.1007/978-3-031-04083-2_16" TargetMode="External"/><Relationship Id="rId100" Type="http://schemas.openxmlformats.org/officeDocument/2006/relationships/hyperlink" Target="https://link.springer.com/chapter/10.1007/978-3-031-04083-2_16" TargetMode="External"/><Relationship Id="rId8" Type="http://schemas.openxmlformats.org/officeDocument/2006/relationships/hyperlink" Target="https://link.springer.com/chapter/10.1007/978-3-031-04083-2_16" TargetMode="External"/><Relationship Id="rId98" Type="http://schemas.openxmlformats.org/officeDocument/2006/relationships/hyperlink" Target="https://link.springer.com/chapter/10.1007/978-3-031-04083-2_16" TargetMode="External"/><Relationship Id="rId121" Type="http://schemas.openxmlformats.org/officeDocument/2006/relationships/hyperlink" Target="https://link.springer.com/chapter/10.1007/978-3-031-04083-2_16" TargetMode="External"/><Relationship Id="rId142" Type="http://schemas.openxmlformats.org/officeDocument/2006/relationships/hyperlink" Target="https://link.springer.com/chapter/10.1007/978-3-031-04083-2_16" TargetMode="External"/><Relationship Id="rId163" Type="http://schemas.openxmlformats.org/officeDocument/2006/relationships/hyperlink" Target="https://link.springer.com/chapter/10.1007/978-3-031-04083-2_16" TargetMode="External"/><Relationship Id="rId184" Type="http://schemas.openxmlformats.org/officeDocument/2006/relationships/hyperlink" Target="https://link.springer.com/chapter/10.1007/978-3-031-04083-2_16" TargetMode="External"/><Relationship Id="rId219" Type="http://schemas.openxmlformats.org/officeDocument/2006/relationships/hyperlink" Target="https://link.springer.com/chapter/10.1007/978-3-031-04083-2_16" TargetMode="External"/><Relationship Id="rId3" Type="http://schemas.openxmlformats.org/officeDocument/2006/relationships/styles" Target="styles.xml"/><Relationship Id="rId214" Type="http://schemas.openxmlformats.org/officeDocument/2006/relationships/hyperlink" Target="https://link.springer.com/chapter/10.1007/978-3-031-04083-2_16" TargetMode="External"/><Relationship Id="rId25" Type="http://schemas.openxmlformats.org/officeDocument/2006/relationships/hyperlink" Target="https://link.springer.com/chapter/10.1007/978-3-031-04083-2_16" TargetMode="External"/><Relationship Id="rId46" Type="http://schemas.openxmlformats.org/officeDocument/2006/relationships/hyperlink" Target="https://link.springer.com/chapter/10.1007/978-3-031-04083-2_16" TargetMode="External"/><Relationship Id="rId67" Type="http://schemas.openxmlformats.org/officeDocument/2006/relationships/hyperlink" Target="https://link.springer.com/chapter/10.1007/978-3-031-04083-2_16" TargetMode="External"/><Relationship Id="rId116" Type="http://schemas.openxmlformats.org/officeDocument/2006/relationships/hyperlink" Target="https://link.springer.com/chapter/10.1007/978-3-031-04083-2_16" TargetMode="External"/><Relationship Id="rId137" Type="http://schemas.openxmlformats.org/officeDocument/2006/relationships/hyperlink" Target="https://link.springer.com/chapter/10.1007/978-3-031-04083-2_16" TargetMode="External"/><Relationship Id="rId158" Type="http://schemas.openxmlformats.org/officeDocument/2006/relationships/hyperlink" Target="https://link.springer.com/chapter/10.1007/978-3-031-04083-2_16" TargetMode="External"/><Relationship Id="rId20" Type="http://schemas.openxmlformats.org/officeDocument/2006/relationships/hyperlink" Target="https://link.springer.com/chapter/10.1007/978-3-031-04083-2_16" TargetMode="External"/><Relationship Id="rId41" Type="http://schemas.openxmlformats.org/officeDocument/2006/relationships/hyperlink" Target="https://link.springer.com/chapter/10.1007/978-3-031-04083-2_16" TargetMode="External"/><Relationship Id="rId62" Type="http://schemas.openxmlformats.org/officeDocument/2006/relationships/hyperlink" Target="https://link.springer.com/chapter/10.1007/978-3-031-04083-2_16" TargetMode="External"/><Relationship Id="rId83" Type="http://schemas.openxmlformats.org/officeDocument/2006/relationships/hyperlink" Target="https://link.springer.com/chapter/10.1007/978-3-031-04083-2_16" TargetMode="External"/><Relationship Id="rId88" Type="http://schemas.openxmlformats.org/officeDocument/2006/relationships/hyperlink" Target="https://link.springer.com/chapter/10.1007/978-3-031-04083-2_16" TargetMode="External"/><Relationship Id="rId111" Type="http://schemas.openxmlformats.org/officeDocument/2006/relationships/hyperlink" Target="https://link.springer.com/chapter/10.1007/978-3-031-04083-2_16" TargetMode="External"/><Relationship Id="rId132" Type="http://schemas.openxmlformats.org/officeDocument/2006/relationships/hyperlink" Target="https://link.springer.com/chapter/10.1007/978-3-031-04083-2_16" TargetMode="External"/><Relationship Id="rId153" Type="http://schemas.openxmlformats.org/officeDocument/2006/relationships/hyperlink" Target="https://link.springer.com/chapter/10.1007/978-3-031-04083-2_16" TargetMode="External"/><Relationship Id="rId174" Type="http://schemas.openxmlformats.org/officeDocument/2006/relationships/hyperlink" Target="https://link.springer.com/chapter/10.1007/978-3-031-04083-2_16" TargetMode="External"/><Relationship Id="rId179" Type="http://schemas.openxmlformats.org/officeDocument/2006/relationships/hyperlink" Target="https://link.springer.com/chapter/10.1007/978-3-031-04083-2_16" TargetMode="External"/><Relationship Id="rId195" Type="http://schemas.openxmlformats.org/officeDocument/2006/relationships/hyperlink" Target="https://link.springer.com/chapter/10.1007/978-3-031-04083-2_16" TargetMode="External"/><Relationship Id="rId209" Type="http://schemas.openxmlformats.org/officeDocument/2006/relationships/hyperlink" Target="https://www.thoughtco.com/all-about-deserts-1435317" TargetMode="External"/><Relationship Id="rId190" Type="http://schemas.openxmlformats.org/officeDocument/2006/relationships/hyperlink" Target="https://link.springer.com/chapter/10.1007/978-3-031-04083-2_16" TargetMode="External"/><Relationship Id="rId204" Type="http://schemas.openxmlformats.org/officeDocument/2006/relationships/hyperlink" Target="https://link.springer.com/chapter/10.1007/978-3-031-04083-2_16" TargetMode="External"/><Relationship Id="rId220" Type="http://schemas.openxmlformats.org/officeDocument/2006/relationships/hyperlink" Target="https://link.springer.com/chapter/10.1007/978-3-031-04083-2_16" TargetMode="External"/><Relationship Id="rId225" Type="http://schemas.openxmlformats.org/officeDocument/2006/relationships/hyperlink" Target="https://scholar.google.com/scholar_lookup?&amp;title=Remote%20sensing%20heritage%20in%20a%20petabyte-scale%3A%20satellite%20data%20and%20heritage%20earth%20engine%20applications&amp;journal=Int.%20J.%20Digit.%20Earth&amp;volume=10&amp;issue=1&amp;pages=85-102&amp;publication_year=2017&amp;author=Agapiou%2CA" TargetMode="External"/><Relationship Id="rId15" Type="http://schemas.openxmlformats.org/officeDocument/2006/relationships/hyperlink" Target="https://link.springer.com/chapter/10.1007/978-3-031-04083-2_16" TargetMode="External"/><Relationship Id="rId36" Type="http://schemas.openxmlformats.org/officeDocument/2006/relationships/hyperlink" Target="https://link.springer.com/chapter/10.1007/978-3-031-04083-2_16" TargetMode="External"/><Relationship Id="rId57" Type="http://schemas.openxmlformats.org/officeDocument/2006/relationships/hyperlink" Target="https://link.springer.com/chapter/10.1007/978-3-031-04083-2_16" TargetMode="External"/><Relationship Id="rId106" Type="http://schemas.openxmlformats.org/officeDocument/2006/relationships/image" Target="media/image5.png"/><Relationship Id="rId127" Type="http://schemas.openxmlformats.org/officeDocument/2006/relationships/hyperlink" Target="https://link.springer.com/chapter/10.1007/978-3-031-04083-2_16" TargetMode="External"/><Relationship Id="rId10" Type="http://schemas.openxmlformats.org/officeDocument/2006/relationships/hyperlink" Target="https://link.springer.com/chapter/10.1007/978-3-031-04083-2_16" TargetMode="External"/><Relationship Id="rId31" Type="http://schemas.openxmlformats.org/officeDocument/2006/relationships/hyperlink" Target="https://link.springer.com/chapter/10.1007/978-3-031-04083-2_16" TargetMode="External"/><Relationship Id="rId52" Type="http://schemas.openxmlformats.org/officeDocument/2006/relationships/hyperlink" Target="https://link.springer.com/chapter/10.1007/978-3-031-04083-2_16" TargetMode="External"/><Relationship Id="rId73" Type="http://schemas.openxmlformats.org/officeDocument/2006/relationships/hyperlink" Target="https://link.springer.com/chapter/10.1007/978-3-031-04083-2_16" TargetMode="External"/><Relationship Id="rId78" Type="http://schemas.openxmlformats.org/officeDocument/2006/relationships/hyperlink" Target="https://link.springer.com/chapter/10.1007/978-3-031-04083-2_16" TargetMode="External"/><Relationship Id="rId94" Type="http://schemas.openxmlformats.org/officeDocument/2006/relationships/hyperlink" Target="https://link.springer.com/chapter/10.1007/978-3-031-04083-2_16" TargetMode="External"/><Relationship Id="rId99" Type="http://schemas.openxmlformats.org/officeDocument/2006/relationships/hyperlink" Target="https://link.springer.com/chapter/10.1007/978-3-031-04083-2_16" TargetMode="External"/><Relationship Id="rId101" Type="http://schemas.openxmlformats.org/officeDocument/2006/relationships/hyperlink" Target="https://link.springer.com/chapter/10.1007/978-3-031-04083-2_16" TargetMode="External"/><Relationship Id="rId122" Type="http://schemas.openxmlformats.org/officeDocument/2006/relationships/hyperlink" Target="https://link.springer.com/chapter/10.1007/978-3-031-04083-2_16" TargetMode="External"/><Relationship Id="rId143" Type="http://schemas.openxmlformats.org/officeDocument/2006/relationships/hyperlink" Target="https://link.springer.com/chapter/10.1007/978-3-031-04083-2_16" TargetMode="External"/><Relationship Id="rId148" Type="http://schemas.openxmlformats.org/officeDocument/2006/relationships/hyperlink" Target="https://link.springer.com/chapter/10.1007/978-3-031-04083-2_16" TargetMode="External"/><Relationship Id="rId164" Type="http://schemas.openxmlformats.org/officeDocument/2006/relationships/hyperlink" Target="https://link.springer.com/chapter/10.1007/978-3-031-04083-2_16" TargetMode="External"/><Relationship Id="rId169" Type="http://schemas.openxmlformats.org/officeDocument/2006/relationships/hyperlink" Target="https://link.springer.com/chapter/10.1007/978-3-031-04083-2_16" TargetMode="External"/><Relationship Id="rId185" Type="http://schemas.openxmlformats.org/officeDocument/2006/relationships/hyperlink" Target="https://link.springer.com/chapter/10.1007/978-3-031-04083-2_16" TargetMode="External"/><Relationship Id="rId4" Type="http://schemas.openxmlformats.org/officeDocument/2006/relationships/settings" Target="settings.xml"/><Relationship Id="rId9" Type="http://schemas.openxmlformats.org/officeDocument/2006/relationships/hyperlink" Target="https://link.springer.com/chapter/10.1007/978-3-031-04083-2_16" TargetMode="External"/><Relationship Id="rId180" Type="http://schemas.openxmlformats.org/officeDocument/2006/relationships/hyperlink" Target="https://link.springer.com/chapter/10.1007/978-3-031-04083-2_16" TargetMode="External"/><Relationship Id="rId210" Type="http://schemas.openxmlformats.org/officeDocument/2006/relationships/hyperlink" Target="https://link.springer.com/chapter/10.1007/978-3-031-04083-2_16" TargetMode="External"/><Relationship Id="rId215" Type="http://schemas.openxmlformats.org/officeDocument/2006/relationships/hyperlink" Target="https://link.springer.com/chapter/10.1007/978-3-031-04083-2_16" TargetMode="External"/><Relationship Id="rId26" Type="http://schemas.openxmlformats.org/officeDocument/2006/relationships/hyperlink" Target="https://link.springer.com/chapter/10.1007/978-3-031-04083-2_16" TargetMode="External"/><Relationship Id="rId47" Type="http://schemas.openxmlformats.org/officeDocument/2006/relationships/hyperlink" Target="https://link.springer.com/chapter/10.1007/978-3-031-04083-2_16" TargetMode="External"/><Relationship Id="rId68" Type="http://schemas.openxmlformats.org/officeDocument/2006/relationships/hyperlink" Target="https://link.springer.com/chapter/10.1007/978-3-031-04083-2_16/figures/2" TargetMode="External"/><Relationship Id="rId89" Type="http://schemas.openxmlformats.org/officeDocument/2006/relationships/hyperlink" Target="https://link.springer.com/chapter/10.1007/978-3-031-04083-2_16" TargetMode="External"/><Relationship Id="rId112" Type="http://schemas.openxmlformats.org/officeDocument/2006/relationships/hyperlink" Target="https://link.springer.com/chapter/10.1007/978-3-031-04083-2_16" TargetMode="External"/><Relationship Id="rId133" Type="http://schemas.openxmlformats.org/officeDocument/2006/relationships/hyperlink" Target="https://link.springer.com/chapter/10.1007/978-3-031-04083-2_16" TargetMode="External"/><Relationship Id="rId154" Type="http://schemas.openxmlformats.org/officeDocument/2006/relationships/hyperlink" Target="https://link.springer.com/chapter/10.1007/978-3-031-04083-2_16" TargetMode="External"/><Relationship Id="rId175" Type="http://schemas.openxmlformats.org/officeDocument/2006/relationships/hyperlink" Target="https://link.springer.com/chapter/10.1007/978-3-031-04083-2_16/figures/7" TargetMode="External"/><Relationship Id="rId196" Type="http://schemas.openxmlformats.org/officeDocument/2006/relationships/hyperlink" Target="https://link.springer.com/chapter/10.1007/978-3-031-04083-2_16" TargetMode="External"/><Relationship Id="rId200" Type="http://schemas.openxmlformats.org/officeDocument/2006/relationships/hyperlink" Target="https://link.springer.com/chapter/10.1007/978-3-031-04083-2_16" TargetMode="External"/><Relationship Id="rId16" Type="http://schemas.openxmlformats.org/officeDocument/2006/relationships/hyperlink" Target="https://link.springer.com/chapter/10.1007/978-3-031-04083-2_16" TargetMode="External"/><Relationship Id="rId221" Type="http://schemas.openxmlformats.org/officeDocument/2006/relationships/hyperlink" Target="https://link.springer.com/chapter/10.1007/978-3-031-04083-2_16" TargetMode="External"/><Relationship Id="rId37" Type="http://schemas.openxmlformats.org/officeDocument/2006/relationships/hyperlink" Target="https://link.springer.com/chapter/10.1007/978-3-031-04083-2_16" TargetMode="External"/><Relationship Id="rId58" Type="http://schemas.openxmlformats.org/officeDocument/2006/relationships/hyperlink" Target="https://link.springer.com/chapter/10.1007/978-3-031-04083-2_16" TargetMode="External"/><Relationship Id="rId79" Type="http://schemas.openxmlformats.org/officeDocument/2006/relationships/hyperlink" Target="https://link.springer.com/chapter/10.1007/978-3-031-04083-2_16" TargetMode="External"/><Relationship Id="rId102" Type="http://schemas.openxmlformats.org/officeDocument/2006/relationships/hyperlink" Target="https://link.springer.com/chapter/10.1007/978-3-031-04083-2_16" TargetMode="External"/><Relationship Id="rId123" Type="http://schemas.openxmlformats.org/officeDocument/2006/relationships/hyperlink" Target="https://link.springer.com/chapter/10.1007/978-3-031-04083-2_16" TargetMode="External"/><Relationship Id="rId144" Type="http://schemas.openxmlformats.org/officeDocument/2006/relationships/hyperlink" Target="https://link.springer.com/chapter/10.1007/978-3-031-04083-2_16" TargetMode="External"/><Relationship Id="rId90" Type="http://schemas.openxmlformats.org/officeDocument/2006/relationships/hyperlink" Target="https://link.springer.com/chapter/10.1007/978-3-031-04083-2_16" TargetMode="External"/><Relationship Id="rId165" Type="http://schemas.openxmlformats.org/officeDocument/2006/relationships/hyperlink" Target="https://link.springer.com/chapter/10.1007/978-3-031-04083-2_16" TargetMode="External"/><Relationship Id="rId186" Type="http://schemas.openxmlformats.org/officeDocument/2006/relationships/hyperlink" Target="https://link.springer.com/chapter/10.1007/978-3-031-04083-2_16" TargetMode="External"/><Relationship Id="rId211" Type="http://schemas.openxmlformats.org/officeDocument/2006/relationships/hyperlink" Target="https://link.springer.com/chapter/10.1007/978-3-031-04083-2_16" TargetMode="External"/><Relationship Id="rId27" Type="http://schemas.openxmlformats.org/officeDocument/2006/relationships/hyperlink" Target="https://link.springer.com/chapter/10.1007/978-3-031-04083-2_16" TargetMode="External"/><Relationship Id="rId48" Type="http://schemas.openxmlformats.org/officeDocument/2006/relationships/hyperlink" Target="https://link.springer.com/chapter/10.1007/978-3-031-04083-2_16" TargetMode="External"/><Relationship Id="rId69" Type="http://schemas.openxmlformats.org/officeDocument/2006/relationships/image" Target="media/image3.png"/><Relationship Id="rId113" Type="http://schemas.openxmlformats.org/officeDocument/2006/relationships/hyperlink" Target="https://link.springer.com/chapter/10.1007/978-3-031-04083-2_16" TargetMode="External"/><Relationship Id="rId134" Type="http://schemas.openxmlformats.org/officeDocument/2006/relationships/hyperlink" Target="https://link.springer.com/chapter/10.1007/978-3-031-04083-2_16" TargetMode="External"/><Relationship Id="rId80" Type="http://schemas.openxmlformats.org/officeDocument/2006/relationships/hyperlink" Target="https://link.springer.com/chapter/10.1007/978-3-031-04083-2_16" TargetMode="External"/><Relationship Id="rId155" Type="http://schemas.openxmlformats.org/officeDocument/2006/relationships/hyperlink" Target="https://link.springer.com/chapter/10.1007/978-3-031-04083-2_16" TargetMode="External"/><Relationship Id="rId176" Type="http://schemas.openxmlformats.org/officeDocument/2006/relationships/image" Target="media/image8.png"/><Relationship Id="rId197" Type="http://schemas.openxmlformats.org/officeDocument/2006/relationships/hyperlink" Target="https://link.springer.com/chapter/10.1007/978-3-031-04083-2_16" TargetMode="External"/><Relationship Id="rId201" Type="http://schemas.openxmlformats.org/officeDocument/2006/relationships/hyperlink" Target="https://link.springer.com/chapter/10.1007/978-3-031-04083-2_16" TargetMode="External"/><Relationship Id="rId222" Type="http://schemas.openxmlformats.org/officeDocument/2006/relationships/hyperlink" Target="https://link.springer.com/chapter/10.1007/978-3-031-04083-2_16" TargetMode="External"/><Relationship Id="rId17" Type="http://schemas.openxmlformats.org/officeDocument/2006/relationships/hyperlink" Target="https://link.springer.com/chapter/10.1007/978-3-031-04083-2_16" TargetMode="External"/><Relationship Id="rId38" Type="http://schemas.openxmlformats.org/officeDocument/2006/relationships/hyperlink" Target="https://link.springer.com/chapter/10.1007/978-3-031-04083-2_16" TargetMode="External"/><Relationship Id="rId59" Type="http://schemas.openxmlformats.org/officeDocument/2006/relationships/hyperlink" Target="https://link.springer.com/chapter/10.1007/978-3-031-04083-2_16" TargetMode="External"/><Relationship Id="rId103" Type="http://schemas.openxmlformats.org/officeDocument/2006/relationships/hyperlink" Target="https://link.springer.com/chapter/10.1007/978-3-031-04083-2_16" TargetMode="External"/><Relationship Id="rId124" Type="http://schemas.openxmlformats.org/officeDocument/2006/relationships/hyperlink" Target="https://link.springer.com/chapter/10.1007/978-3-031-04083-2_16" TargetMode="External"/><Relationship Id="rId70" Type="http://schemas.openxmlformats.org/officeDocument/2006/relationships/hyperlink" Target="https://link.springer.com/chapter/10.1007/978-3-031-04083-2_16" TargetMode="External"/><Relationship Id="rId91" Type="http://schemas.openxmlformats.org/officeDocument/2006/relationships/hyperlink" Target="https://link.springer.com/chapter/10.1007/978-3-031-04083-2_16" TargetMode="External"/><Relationship Id="rId145" Type="http://schemas.openxmlformats.org/officeDocument/2006/relationships/hyperlink" Target="https://link.springer.com/chapter/10.1007/978-3-031-04083-2_16" TargetMode="External"/><Relationship Id="rId166" Type="http://schemas.openxmlformats.org/officeDocument/2006/relationships/hyperlink" Target="https://link.springer.com/chapter/10.1007/978-3-031-04083-2_16" TargetMode="External"/><Relationship Id="rId187" Type="http://schemas.openxmlformats.org/officeDocument/2006/relationships/hyperlink" Target="https://link.springer.com/chapter/10.1007/978-3-031-04083-2_16/figures/8" TargetMode="External"/><Relationship Id="rId1" Type="http://schemas.openxmlformats.org/officeDocument/2006/relationships/customXml" Target="../customXml/item1.xml"/><Relationship Id="rId212" Type="http://schemas.openxmlformats.org/officeDocument/2006/relationships/hyperlink" Target="https://link.springer.com/chapter/10.1007/978-3-031-04083-2_16" TargetMode="External"/><Relationship Id="rId28" Type="http://schemas.openxmlformats.org/officeDocument/2006/relationships/hyperlink" Target="https://link.springer.com/chapter/10.1007/978-3-031-04083-2_16" TargetMode="External"/><Relationship Id="rId49" Type="http://schemas.openxmlformats.org/officeDocument/2006/relationships/hyperlink" Target="https://link.springer.com/chapter/10.1007/978-3-031-04083-2_16" TargetMode="External"/><Relationship Id="rId114" Type="http://schemas.openxmlformats.org/officeDocument/2006/relationships/hyperlink" Target="https://link.springer.com/chapter/10.1007/978-3-031-04083-2_16" TargetMode="External"/><Relationship Id="rId60" Type="http://schemas.openxmlformats.org/officeDocument/2006/relationships/hyperlink" Target="https://link.springer.com/chapter/10.1007/978-3-031-04083-2_16/figures/1" TargetMode="External"/><Relationship Id="rId81" Type="http://schemas.openxmlformats.org/officeDocument/2006/relationships/hyperlink" Target="https://link.springer.com/chapter/10.1007/978-3-031-04083-2_16" TargetMode="External"/><Relationship Id="rId135" Type="http://schemas.openxmlformats.org/officeDocument/2006/relationships/hyperlink" Target="https://link.springer.com/chapter/10.1007/978-3-031-04083-2_16" TargetMode="External"/><Relationship Id="rId156" Type="http://schemas.openxmlformats.org/officeDocument/2006/relationships/hyperlink" Target="https://link.springer.com/chapter/10.1007/978-3-031-04083-2_16" TargetMode="External"/><Relationship Id="rId177" Type="http://schemas.openxmlformats.org/officeDocument/2006/relationships/hyperlink" Target="https://link.springer.com/chapter/10.1007/978-3-031-04083-2_16" TargetMode="External"/><Relationship Id="rId198" Type="http://schemas.openxmlformats.org/officeDocument/2006/relationships/hyperlink" Target="https://link.springer.com/chapter/10.1007/978-3-031-04083-2_16/figures/9" TargetMode="External"/><Relationship Id="rId202" Type="http://schemas.openxmlformats.org/officeDocument/2006/relationships/hyperlink" Target="https://link.springer.com/chapter/10.1007/978-3-031-04083-2_16" TargetMode="External"/><Relationship Id="rId223" Type="http://schemas.openxmlformats.org/officeDocument/2006/relationships/hyperlink" Target="https://link.springer.com/chapter/10.1007/978-3-031-04083-2_16" TargetMode="External"/><Relationship Id="rId18" Type="http://schemas.openxmlformats.org/officeDocument/2006/relationships/hyperlink" Target="https://link.springer.com/chapter/10.1007/978-3-031-04083-2_16" TargetMode="External"/><Relationship Id="rId39" Type="http://schemas.openxmlformats.org/officeDocument/2006/relationships/hyperlink" Target="https://link.springer.com/chapter/10.1007/978-3-031-04083-2_16" TargetMode="External"/><Relationship Id="rId50" Type="http://schemas.openxmlformats.org/officeDocument/2006/relationships/hyperlink" Target="https://link.springer.com/chapter/10.1007/978-3-031-04083-2_16" TargetMode="External"/><Relationship Id="rId104" Type="http://schemas.openxmlformats.org/officeDocument/2006/relationships/hyperlink" Target="https://link.springer.com/chapter/10.1007/978-3-031-04083-2_16" TargetMode="External"/><Relationship Id="rId125" Type="http://schemas.openxmlformats.org/officeDocument/2006/relationships/hyperlink" Target="https://link.springer.com/chapter/10.1007/978-3-031-04083-2_16" TargetMode="External"/><Relationship Id="rId146" Type="http://schemas.openxmlformats.org/officeDocument/2006/relationships/hyperlink" Target="https://link.springer.com/chapter/10.1007/978-3-031-04083-2_16" TargetMode="External"/><Relationship Id="rId167" Type="http://schemas.openxmlformats.org/officeDocument/2006/relationships/hyperlink" Target="https://link.springer.com/chapter/10.1007/978-3-031-04083-2_16" TargetMode="External"/><Relationship Id="rId188" Type="http://schemas.openxmlformats.org/officeDocument/2006/relationships/image" Target="media/image9.png"/><Relationship Id="rId71" Type="http://schemas.openxmlformats.org/officeDocument/2006/relationships/hyperlink" Target="https://link.springer.com/chapter/10.1007/978-3-031-04083-2_16" TargetMode="External"/><Relationship Id="rId92" Type="http://schemas.openxmlformats.org/officeDocument/2006/relationships/hyperlink" Target="https://link.springer.com/chapter/10.1007/978-3-031-04083-2_16" TargetMode="External"/><Relationship Id="rId213" Type="http://schemas.openxmlformats.org/officeDocument/2006/relationships/hyperlink" Target="https://link.springer.com/chapter/10.1007/978-3-031-04083-2_16" TargetMode="External"/><Relationship Id="rId2" Type="http://schemas.openxmlformats.org/officeDocument/2006/relationships/numbering" Target="numbering.xml"/><Relationship Id="rId29" Type="http://schemas.openxmlformats.org/officeDocument/2006/relationships/hyperlink" Target="https://link.springer.com/chapter/10.1007/978-3-031-04083-2_16" TargetMode="External"/><Relationship Id="rId40" Type="http://schemas.openxmlformats.org/officeDocument/2006/relationships/hyperlink" Target="https://link.springer.com/chapter/10.1007/978-3-031-04083-2_16" TargetMode="External"/><Relationship Id="rId115" Type="http://schemas.openxmlformats.org/officeDocument/2006/relationships/hyperlink" Target="https://link.springer.com/chapter/10.1007/978-3-031-04083-2_16" TargetMode="External"/><Relationship Id="rId136" Type="http://schemas.openxmlformats.org/officeDocument/2006/relationships/hyperlink" Target="https://link.springer.com/chapter/10.1007/978-3-031-04083-2_16" TargetMode="External"/><Relationship Id="rId157" Type="http://schemas.openxmlformats.org/officeDocument/2006/relationships/hyperlink" Target="https://link.springer.com/chapter/10.1007/978-3-031-04083-2_16" TargetMode="External"/><Relationship Id="rId178" Type="http://schemas.openxmlformats.org/officeDocument/2006/relationships/hyperlink" Target="https://link.springer.com/chapter/10.1007/978-3-031-04083-2_16" TargetMode="External"/><Relationship Id="rId61" Type="http://schemas.openxmlformats.org/officeDocument/2006/relationships/image" Target="media/image2.png"/><Relationship Id="rId82" Type="http://schemas.openxmlformats.org/officeDocument/2006/relationships/hyperlink" Target="https://link.springer.com/chapter/10.1007/978-3-031-04083-2_16" TargetMode="External"/><Relationship Id="rId199" Type="http://schemas.openxmlformats.org/officeDocument/2006/relationships/image" Target="media/image10.png"/><Relationship Id="rId203" Type="http://schemas.openxmlformats.org/officeDocument/2006/relationships/hyperlink" Target="https://link.springer.com/chapter/10.1007/978-3-031-04083-2_16" TargetMode="External"/><Relationship Id="rId19" Type="http://schemas.openxmlformats.org/officeDocument/2006/relationships/hyperlink" Target="https://link.springer.com/chapter/10.1007/978-3-031-04083-2_16" TargetMode="External"/><Relationship Id="rId224" Type="http://schemas.openxmlformats.org/officeDocument/2006/relationships/hyperlink" Target="https://doi.org/10.1080%2F17538947.2016.1250829" TargetMode="External"/><Relationship Id="rId30" Type="http://schemas.openxmlformats.org/officeDocument/2006/relationships/hyperlink" Target="https://link.springer.com/chapter/10.1007/978-3-031-04083-2_16" TargetMode="External"/><Relationship Id="rId105" Type="http://schemas.openxmlformats.org/officeDocument/2006/relationships/hyperlink" Target="https://link.springer.com/chapter/10.1007/978-3-031-04083-2_16/figures/4" TargetMode="External"/><Relationship Id="rId126" Type="http://schemas.openxmlformats.org/officeDocument/2006/relationships/hyperlink" Target="https://link.springer.com/chapter/10.1007/978-3-031-04083-2_16" TargetMode="External"/><Relationship Id="rId147" Type="http://schemas.openxmlformats.org/officeDocument/2006/relationships/hyperlink" Target="https://link.springer.com/chapter/10.1007/978-3-031-04083-2_16" TargetMode="External"/><Relationship Id="rId168" Type="http://schemas.openxmlformats.org/officeDocument/2006/relationships/hyperlink" Target="https://link.springer.com/chapter/10.1007/978-3-031-04083-2_16" TargetMode="External"/><Relationship Id="rId51" Type="http://schemas.openxmlformats.org/officeDocument/2006/relationships/hyperlink" Target="https://link.springer.com/chapter/10.1007/978-3-031-04083-2_16" TargetMode="External"/><Relationship Id="rId72" Type="http://schemas.openxmlformats.org/officeDocument/2006/relationships/hyperlink" Target="https://link.springer.com/chapter/10.1007/978-3-031-04083-2_16" TargetMode="External"/><Relationship Id="rId93" Type="http://schemas.openxmlformats.org/officeDocument/2006/relationships/hyperlink" Target="https://link.springer.com/chapter/10.1007/978-3-031-04083-2_16" TargetMode="External"/><Relationship Id="rId189" Type="http://schemas.openxmlformats.org/officeDocument/2006/relationships/hyperlink" Target="https://link.springer.com/chapter/10.1007/978-3-031-04083-2_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14D25-DA9E-471B-B98A-27D6ECA81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25</Pages>
  <Words>16105</Words>
  <Characters>91799</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GURPREET SINGH</dc:creator>
  <cp:keywords/>
  <dc:description/>
  <cp:lastModifiedBy>GURPREET SINGH</cp:lastModifiedBy>
  <cp:revision>3</cp:revision>
  <dcterms:created xsi:type="dcterms:W3CDTF">2023-04-08T14:25:00Z</dcterms:created>
  <dcterms:modified xsi:type="dcterms:W3CDTF">2023-04-09T13:50:00Z</dcterms:modified>
</cp:coreProperties>
</file>