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13481">
      <w:pPr>
        <w:pStyle w:val="4"/>
        <w:keepNext w:val="0"/>
        <w:keepLines w:val="0"/>
        <w:widowControl/>
        <w:suppressLineNumbers w:val="0"/>
        <w:rPr>
          <w:rStyle w:val="11"/>
          <w:b/>
          <w:bCs/>
          <w:sz w:val="28"/>
          <w:szCs w:val="28"/>
        </w:rPr>
      </w:pPr>
      <w:r>
        <w:rPr>
          <w:rFonts w:ascii="SimSun" w:hAnsi="SimSun" w:eastAsia="SimSun" w:cs="SimSun"/>
          <w:color w:val="0F4761"/>
          <w:sz w:val="28"/>
          <w:szCs w:val="28"/>
        </w:rPr>
        <w:t>Crude Oil Trading Performance &amp; Supply Chain Analysis</w:t>
      </w:r>
    </w:p>
    <w:p w14:paraId="233469FB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1. Business Scenario / Background</w:t>
      </w:r>
    </w:p>
    <w:p w14:paraId="2779031F">
      <w:pPr>
        <w:pStyle w:val="10"/>
        <w:keepNext w:val="0"/>
        <w:keepLines w:val="0"/>
        <w:widowControl/>
        <w:suppressLineNumbers w:val="0"/>
      </w:pPr>
      <w:r>
        <w:t xml:space="preserve">You are a data analyst at a </w:t>
      </w:r>
      <w:r>
        <w:rPr>
          <w:rStyle w:val="11"/>
          <w:rFonts w:ascii="Times New Roman" w:hAnsi="Times New Roman" w:eastAsia="Times New Roman" w:cs="Times New Roman"/>
        </w:rPr>
        <w:t>crude oil trading company</w:t>
      </w:r>
      <w:r>
        <w:t xml:space="preserve"> that manages transactions between multiple buyers and suppliers across different regions. The company trades different types of crude oil at varying quantities and prices.</w:t>
      </w:r>
    </w:p>
    <w:p w14:paraId="37385914">
      <w:pPr>
        <w:pStyle w:val="10"/>
        <w:keepNext w:val="0"/>
        <w:keepLines w:val="0"/>
        <w:widowControl/>
        <w:suppressLineNumbers w:val="0"/>
      </w:pPr>
      <w:r>
        <w:t xml:space="preserve">Management wants to better understand its </w:t>
      </w:r>
      <w:r>
        <w:rPr>
          <w:rStyle w:val="11"/>
          <w:rFonts w:ascii="Times New Roman" w:hAnsi="Times New Roman" w:eastAsia="Times New Roman" w:cs="Times New Roman"/>
        </w:rPr>
        <w:t>trading performance and supply-chain activity</w:t>
      </w:r>
      <w:r>
        <w:t xml:space="preserve"> because transaction data is spread across different buyers, suppliers, crude types, regions, and time periods. They want to identify the major contributors to trading activity, understand crude-type and pricing patterns, and monitor changes in trading activity over time.</w:t>
      </w:r>
    </w:p>
    <w:p w14:paraId="144EA1D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A05E1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2. Business Objective</w:t>
      </w:r>
    </w:p>
    <w:p w14:paraId="41AD0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/>
      </w:pPr>
      <w:r>
        <w:t>Analyze overall</w:t>
      </w:r>
      <w:r>
        <w:rPr>
          <w:b/>
          <w:bCs/>
        </w:rPr>
        <w:t xml:space="preserve"> trading performance</w:t>
      </w:r>
      <w:r>
        <w:t xml:space="preserve"> using transaction count, traded quantity, average price and calculated revenue.</w:t>
      </w:r>
    </w:p>
    <w:p w14:paraId="04BDE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t xml:space="preserve">Identify </w:t>
      </w:r>
      <w:r>
        <w:rPr>
          <w:rStyle w:val="11"/>
          <w:rFonts w:ascii="Times New Roman" w:hAnsi="Times New Roman" w:eastAsia="Times New Roman" w:cs="Times New Roman"/>
        </w:rPr>
        <w:t>major buyers and suppliers</w:t>
      </w:r>
      <w:r>
        <w:t xml:space="preserve"> contributing to trading activity. </w:t>
      </w:r>
    </w:p>
    <w:p w14:paraId="156FD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Evaluate </w:t>
      </w:r>
      <w:r>
        <w:rPr>
          <w:rStyle w:val="11"/>
          <w:rFonts w:ascii="Times New Roman" w:hAnsi="Times New Roman" w:eastAsia="Times New Roman" w:cs="Times New Roman"/>
        </w:rPr>
        <w:t>crude-type performance and pricing patterns</w:t>
      </w:r>
      <w:r>
        <w:t xml:space="preserve">. </w:t>
      </w:r>
    </w:p>
    <w:p w14:paraId="3A155C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Understand </w:t>
      </w:r>
      <w:r>
        <w:rPr>
          <w:rStyle w:val="11"/>
          <w:rFonts w:ascii="Times New Roman" w:hAnsi="Times New Roman" w:eastAsia="Times New Roman" w:cs="Times New Roman"/>
        </w:rPr>
        <w:t>regional concentration</w:t>
      </w:r>
      <w:r>
        <w:t xml:space="preserve"> across buyer and supplier locations. </w:t>
      </w:r>
    </w:p>
    <w:p w14:paraId="1EEC97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Identify </w:t>
      </w:r>
      <w:r>
        <w:rPr>
          <w:rStyle w:val="11"/>
          <w:rFonts w:ascii="Times New Roman" w:hAnsi="Times New Roman" w:eastAsia="Times New Roman" w:cs="Times New Roman"/>
        </w:rPr>
        <w:t>trends and changes in trading activity over time</w:t>
      </w:r>
      <w:r>
        <w:t xml:space="preserve"> to support better commercial and supply-chain decisions. </w:t>
      </w:r>
    </w:p>
    <w:p w14:paraId="5478305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62BBB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3. Key KPIs</w:t>
      </w:r>
    </w:p>
    <w:p w14:paraId="4618F2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Total Transactions</w:t>
      </w:r>
      <w:r>
        <w:t xml:space="preserve">: Total number of crude oil transactions during the analysis period. </w:t>
      </w:r>
    </w:p>
    <w:p w14:paraId="455E53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Total Quantity Traded (MT)</w:t>
      </w:r>
      <w:r>
        <w:t xml:space="preserve">: Total quantity of crude oil traded. </w:t>
      </w:r>
    </w:p>
    <w:p w14:paraId="2578E8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Total Revenue</w:t>
      </w:r>
      <w:r>
        <w:t xml:space="preserve">: Calculated commercial value of crude oil transactions. </w:t>
      </w:r>
    </w:p>
    <w:p w14:paraId="6CF119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Average Price per Barrel</w:t>
      </w:r>
      <w:r>
        <w:t xml:space="preserve">: Average crude oil price across transactions. </w:t>
      </w:r>
    </w:p>
    <w:p w14:paraId="493C1F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Buyer Contribution</w:t>
      </w:r>
      <w:r>
        <w:t xml:space="preserve">: Quantity and revenue contributed by individual buyers. </w:t>
      </w:r>
    </w:p>
    <w:p w14:paraId="6293DA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Supplier Contribution</w:t>
      </w:r>
      <w:r>
        <w:t xml:space="preserve">: Quantity and revenue contributed by individual suppliers. </w:t>
      </w:r>
    </w:p>
    <w:p w14:paraId="4F3415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Crude Type Contribution</w:t>
      </w:r>
      <w:r>
        <w:t xml:space="preserve">: Trading volume and revenue generated by each crude type. </w:t>
      </w:r>
    </w:p>
    <w:p w14:paraId="55EA54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Regional Contribution</w:t>
      </w:r>
      <w:r>
        <w:t xml:space="preserve">: Trading activity across buyer and supplier regions. </w:t>
      </w:r>
    </w:p>
    <w:p w14:paraId="402914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89F32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4. Dataset Overview</w:t>
      </w:r>
    </w:p>
    <w:p w14:paraId="0FBC1C41">
      <w:pPr>
        <w:pStyle w:val="10"/>
        <w:keepNext w:val="0"/>
        <w:keepLines w:val="0"/>
        <w:widowControl/>
        <w:suppressLineNumbers w:val="0"/>
      </w:pPr>
      <w:r>
        <w:t>The dataset contains crude oil transaction information along with buyer and supplier details.</w:t>
      </w:r>
    </w:p>
    <w:p w14:paraId="1FEFA08A">
      <w:pPr>
        <w:pStyle w:val="10"/>
        <w:keepNext w:val="0"/>
        <w:keepLines w:val="0"/>
        <w:widowControl/>
        <w:suppressLineNumbers w:val="0"/>
      </w:pPr>
      <w:r>
        <w:t>The analysis uses three datasets:</w:t>
      </w:r>
    </w:p>
    <w:p w14:paraId="7C7777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Buyers Dataset</w:t>
      </w:r>
      <w:r>
        <w:t xml:space="preserve">: Buyer/company information and buyer regions. </w:t>
      </w:r>
    </w:p>
    <w:p w14:paraId="0E0C4F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Suppliers Dataset</w:t>
      </w:r>
      <w:r>
        <w:t xml:space="preserve">: Supplier/company information and supplier regions. </w:t>
      </w:r>
    </w:p>
    <w:p w14:paraId="4CBD4A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Transactions Dataset</w:t>
      </w:r>
      <w:r>
        <w:t xml:space="preserve">: Transaction ID, buyer, supplier, crude type, quantity traded, price per barrel, and transaction date. </w:t>
      </w:r>
    </w:p>
    <w:p w14:paraId="128A6BCD">
      <w:pPr>
        <w:pStyle w:val="10"/>
        <w:keepNext w:val="0"/>
        <w:keepLines w:val="0"/>
        <w:widowControl/>
        <w:suppressLineNumbers w:val="0"/>
      </w:pPr>
      <w:r>
        <w:t xml:space="preserve">The consolidated analytical dataset contains </w:t>
      </w:r>
      <w:r>
        <w:rPr>
          <w:rStyle w:val="11"/>
          <w:rFonts w:ascii="Times New Roman" w:hAnsi="Times New Roman" w:eastAsia="Times New Roman" w:cs="Times New Roman"/>
        </w:rPr>
        <w:t>200 crude oil transactions</w:t>
      </w:r>
      <w:r>
        <w:t xml:space="preserve"> covering the period from </w:t>
      </w:r>
      <w:r>
        <w:rPr>
          <w:rStyle w:val="11"/>
          <w:rFonts w:ascii="Times New Roman" w:hAnsi="Times New Roman" w:eastAsia="Times New Roman" w:cs="Times New Roman"/>
        </w:rPr>
        <w:t>January 2023 to August 2024</w:t>
      </w:r>
      <w:r>
        <w:t>.</w:t>
      </w:r>
    </w:p>
    <w:p w14:paraId="4C8117A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B6E56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5. Business Questions / Challenges</w:t>
      </w:r>
    </w:p>
    <w:p w14:paraId="210A20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Which </w:t>
      </w:r>
      <w:r>
        <w:rPr>
          <w:b/>
          <w:bCs/>
        </w:rPr>
        <w:t>buyers and suppliers contribute the most to crude oil trading activity</w:t>
      </w:r>
      <w:r>
        <w:t xml:space="preserve"> in terms of </w:t>
      </w:r>
      <w:r>
        <w:rPr>
          <w:b/>
          <w:bCs/>
        </w:rPr>
        <w:t>traded quantity and calculated revenue</w:t>
      </w:r>
      <w:r>
        <w:t>?</w:t>
      </w:r>
    </w:p>
    <w:p w14:paraId="77C41B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Which </w:t>
      </w:r>
      <w:r>
        <w:rPr>
          <w:rStyle w:val="11"/>
          <w:rFonts w:ascii="Times New Roman" w:hAnsi="Times New Roman" w:eastAsia="Times New Roman" w:cs="Times New Roman"/>
        </w:rPr>
        <w:t>crude oil types have the greatest commercial contribution</w:t>
      </w:r>
      <w:r>
        <w:t xml:space="preserve">, and how do their pricing levels differ? </w:t>
      </w:r>
    </w:p>
    <w:p w14:paraId="778AEB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Which </w:t>
      </w:r>
      <w:r>
        <w:rPr>
          <w:rStyle w:val="11"/>
          <w:rFonts w:ascii="Times New Roman" w:hAnsi="Times New Roman" w:eastAsia="Times New Roman" w:cs="Times New Roman"/>
        </w:rPr>
        <w:t>buyer and supplier regions account for the largest share of trading activity</w:t>
      </w:r>
      <w:r>
        <w:t xml:space="preserve">? </w:t>
      </w:r>
    </w:p>
    <w:p w14:paraId="4669CB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How does </w:t>
      </w:r>
      <w:r>
        <w:rPr>
          <w:rStyle w:val="11"/>
          <w:rFonts w:ascii="Times New Roman" w:hAnsi="Times New Roman" w:eastAsia="Times New Roman" w:cs="Times New Roman"/>
        </w:rPr>
        <w:t>crude oil trading activity change over time</w:t>
      </w:r>
      <w:r>
        <w:t xml:space="preserve">, and which periods show notable changes? </w:t>
      </w:r>
    </w:p>
    <w:p w14:paraId="4F2E62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is the </w:t>
      </w:r>
      <w:r>
        <w:rPr>
          <w:rStyle w:val="11"/>
          <w:rFonts w:ascii="Times New Roman" w:hAnsi="Times New Roman" w:eastAsia="Times New Roman" w:cs="Times New Roman"/>
        </w:rPr>
        <w:t>overall trading performance</w:t>
      </w:r>
      <w:r>
        <w:t xml:space="preserve"> of the business in terms of transactions, quantity traded, average price, and calculated revenue? </w:t>
      </w:r>
    </w:p>
    <w:p w14:paraId="0BD5F83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B2E48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6. Constraints / Assumptions</w:t>
      </w:r>
    </w:p>
    <w:p w14:paraId="62F70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Data covers the period from </w:t>
      </w:r>
      <w:r>
        <w:rPr>
          <w:rStyle w:val="11"/>
          <w:rFonts w:ascii="Times New Roman" w:hAnsi="Times New Roman" w:eastAsia="Times New Roman" w:cs="Times New Roman"/>
        </w:rPr>
        <w:t>January 2023 to August 2024</w:t>
      </w:r>
      <w:r>
        <w:t xml:space="preserve">. </w:t>
      </w:r>
    </w:p>
    <w:p w14:paraId="7256F3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Analysis is based on the </w:t>
      </w:r>
      <w:r>
        <w:rPr>
          <w:rStyle w:val="11"/>
          <w:rFonts w:ascii="Times New Roman" w:hAnsi="Times New Roman" w:eastAsia="Times New Roman" w:cs="Times New Roman"/>
        </w:rPr>
        <w:t>200 transactions</w:t>
      </w:r>
      <w:r>
        <w:t xml:space="preserve"> available in the consolidated analytical dataset. </w:t>
      </w:r>
    </w:p>
    <w:p w14:paraId="726157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Revenue is calculated using the project-defined formula based on </w:t>
      </w:r>
      <w:r>
        <w:rPr>
          <w:rStyle w:val="11"/>
          <w:rFonts w:ascii="Times New Roman" w:hAnsi="Times New Roman" w:eastAsia="Times New Roman" w:cs="Times New Roman"/>
        </w:rPr>
        <w:t>quantity traded and price per barrel</w:t>
      </w:r>
      <w:r>
        <w:t xml:space="preserve">. </w:t>
      </w:r>
    </w:p>
    <w:p w14:paraId="3FAF9A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The dataset does not contain operating costs, transportation costs, profit margins, contract terms, delivery lead times, or supplier-quality information. </w:t>
      </w:r>
    </w:p>
    <w:p w14:paraId="1087E6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Therefore, the analysis focuses on </w:t>
      </w:r>
      <w:r>
        <w:rPr>
          <w:rStyle w:val="11"/>
          <w:rFonts w:ascii="Times New Roman" w:hAnsi="Times New Roman" w:eastAsia="Times New Roman" w:cs="Times New Roman"/>
        </w:rPr>
        <w:t>trading activity, calculated revenue, quantity, pricing, participant contribution, regional distribution, and trends</w:t>
      </w:r>
      <w:r>
        <w:t xml:space="preserve">, rather than profitability or operational efficiency. </w:t>
      </w:r>
    </w:p>
    <w:p w14:paraId="5CC995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Findings and recommendations should be based only on patterns supported by the available transaction data. </w:t>
      </w:r>
    </w:p>
    <w:p w14:paraId="0209CE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661A6">
      <w:pPr>
        <w:pStyle w:val="4"/>
        <w:keepNext w:val="0"/>
        <w:keepLines w:val="0"/>
        <w:widowControl/>
        <w:suppressLineNumbers w:val="0"/>
      </w:pPr>
      <w:r>
        <w:rPr>
          <w:rStyle w:val="11"/>
          <w:color w:val="0F4761"/>
        </w:rPr>
        <w:t>7. Deliverables / Expected Output</w:t>
      </w:r>
    </w:p>
    <w:p w14:paraId="02DAED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SQL analysis</w:t>
      </w:r>
      <w:r>
        <w:t xml:space="preserve"> answering the defined business questions. </w:t>
      </w:r>
    </w:p>
    <w:p w14:paraId="70AF0F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Power BI dashboard</w:t>
      </w:r>
      <w:r>
        <w:t xml:space="preserve"> showing overall trading performance, buyer/supplier contribution, crude-type performance, regional distribution, and trading trends. </w:t>
      </w:r>
    </w:p>
    <w:p w14:paraId="459882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Key business insights and recommendations</w:t>
      </w:r>
      <w:r>
        <w:t xml:space="preserve"> based on the analysis. </w:t>
      </w:r>
    </w:p>
    <w:p w14:paraId="126575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ascii="Times New Roman" w:hAnsi="Times New Roman" w:eastAsia="Times New Roman" w:cs="Times New Roman"/>
        </w:rPr>
        <w:t>Case study report</w:t>
      </w:r>
      <w:r>
        <w:t xml:space="preserve"> documenting the business scenario, objectives, analytical approach, findings, recommendations, and assumptions. </w:t>
      </w:r>
    </w:p>
    <w:p w14:paraId="7A81BD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20799"/>
    <w:multiLevelType w:val="multilevel"/>
    <w:tmpl w:val="B9520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06F0DD"/>
    <w:multiLevelType w:val="multilevel"/>
    <w:tmpl w:val="BC06F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1C9E9A"/>
    <w:multiLevelType w:val="multilevel"/>
    <w:tmpl w:val="EA1C9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9A4E83"/>
    <w:multiLevelType w:val="multilevel"/>
    <w:tmpl w:val="329A4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7A705AF"/>
    <w:multiLevelType w:val="multilevel"/>
    <w:tmpl w:val="47A70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35A6E02"/>
    <w:multiLevelType w:val="multilevel"/>
    <w:tmpl w:val="535A6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C4BBB"/>
    <w:rsid w:val="39A47721"/>
    <w:rsid w:val="5BEE302F"/>
    <w:rsid w:val="7081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2E75B6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545</Words>
  <Characters>3494</Characters>
  <Lines>0</Lines>
  <Paragraphs>0</Paragraphs>
  <TotalTime>3</TotalTime>
  <ScaleCrop>false</ScaleCrop>
  <LinksUpToDate>false</LinksUpToDate>
  <CharactersWithSpaces>4025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2026-09-14T08:29:00Z</dcterms:created>
  <dc:creator>hp</dc:creator>
  <cp:lastModifiedBy>hp</cp:lastModifiedBy>
  <dcterms:modified xsi:type="dcterms:W3CDTF">2026-10-09T10:45:22Z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69762E22E83646F38883E008DD920361_12</vt:lpwstr>
  </property>
  <property fmtid="{D5CDD505-2E9C-101B-9397-08002B2CF9AE}" pid="4" name="SuperdocVersion">
    <vt:lpwstr>1.46.1</vt:lpwstr>
  </property>
  <property fmtid="{D5CDD505-2E9C-101B-9397-08002B2CF9AE}" pid="5" name="SuperdocDocumentOrigin">
    <vt:lpwstr>unknown</vt:lpwstr>
  </property>
  <property fmtid="{D5CDD505-2E9C-101B-9397-08002B2CF9AE}" pid="6" name="DocumentGuid">
    <vt:lpwstr>8b9e9834-5cec-4797-a619-539055205453</vt:lpwstr>
  </property>
</Properties>
</file>