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xmlns:wp14="http://schemas.microsoft.com/office/word/2010/wordml" w14:paraId="5138E1DE" wp14:textId="77777777">
      <w:pPr>
        <w:spacing w:after="200" w:line="276" w:lineRule="auto"/>
      </w:pPr>
      <w:r>
        <w:rPr>
          <w:rFonts w:ascii="Aptos Display" w:hAnsi="Aptos Display" w:eastAsia="ＭＳ 明朝" w:cs="Aptos Display" w:eastAsiaTheme="minorEastAsia" w:csTheme="minorBidi"/>
          <w:b/>
          <w:bCs/>
          <w:color w:val="18253A"/>
          <w:sz w:val="40"/>
          <w:szCs w:val="22"/>
        </w:rPr>
        <w:t>Crude Oil Trading Performance &amp; Supply Chain Analysis</w:t>
      </w:r>
    </w:p>
    <w:p xmlns:wp14="http://schemas.microsoft.com/office/word/2010/wordml" w14:paraId="3A5C847C" wp14:textId="77777777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color w:val="2F6FED"/>
          <w:sz w:val="22"/>
          <w:szCs w:val="22"/>
        </w:rPr>
        <w:t>SQL and Power BI Analysis of Trading Activity</w:t>
      </w:r>
    </w:p>
    <w:tbl>
      <w:tblPr>
        <w:tblStyle w:val="TableGrid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592"/>
        <w:gridCol w:w="2592"/>
        <w:gridCol w:w="2592"/>
        <w:gridCol w:w="2592"/>
      </w:tblGrid>
      <w:tr xmlns:wp14="http://schemas.microsoft.com/office/word/2010/wordml" w14:paraId="392E02A8" wp14:textId="77777777">
        <w:trPr>
          <w:trHeight w:val="420" w:hRule="atLeast"/>
        </w:trPr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EDF74B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26364D"/>
                <w:sz w:val="16"/>
                <w:szCs w:val="22"/>
              </w:rPr>
              <w:t>Domain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229A3B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Oil &amp; Gas — Crude Oil Trading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938379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26364D"/>
                <w:sz w:val="16"/>
                <w:szCs w:val="22"/>
              </w:rPr>
              <w:t>Focus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6198BE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Trading Performance, Supply Contribution &amp; Regional Analysis</w:t>
            </w:r>
          </w:p>
        </w:tc>
      </w:tr>
      <w:tr xmlns:wp14="http://schemas.microsoft.com/office/word/2010/wordml" w14:paraId="34A279CE" wp14:textId="77777777"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3D3B47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26364D"/>
                <w:sz w:val="16"/>
                <w:szCs w:val="22"/>
              </w:rPr>
              <w:t>Tools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BF721A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MySQL, Power BI, DAX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C82145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26364D"/>
                <w:sz w:val="16"/>
                <w:szCs w:val="22"/>
              </w:rPr>
              <w:t>Project Type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7D33B6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Data Analyst Portfolio Project</w:t>
            </w:r>
          </w:p>
        </w:tc>
      </w:tr>
      <w:tr xmlns:wp14="http://schemas.microsoft.com/office/word/2010/wordml" w14:paraId="5802DF2A" wp14:textId="77777777"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C7139C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26364D"/>
                <w:sz w:val="16"/>
                <w:szCs w:val="22"/>
              </w:rPr>
              <w:t>Author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FC9CFC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Agamya Jain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DCFEC8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26364D"/>
                <w:sz w:val="16"/>
                <w:szCs w:val="22"/>
              </w:rPr>
              <w:t>Analysis Period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4BCB90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January 2023 – August 2024</w:t>
            </w:r>
          </w:p>
        </w:tc>
      </w:tr>
    </w:tbl>
    <w:p xmlns:wp14="http://schemas.microsoft.com/office/word/2010/wordml" w:rsidP="3C64A93E" w14:paraId="619F98AC" wp14:textId="30FB32F1">
      <w:pPr>
        <w:shd w:val="clear" w:color="auto" w:fill="EEF5FF"/>
      </w:pPr>
      <w:r w:rsidRPr="3C64A93E" w:rsidR="3C64A93E">
        <w:rPr>
          <w:rFonts w:ascii="Aptos" w:hAnsi="Aptos" w:eastAsia="ＭＳ 明朝" w:cs="Aptos" w:eastAsiaTheme="minorEastAsia"/>
          <w:b w:val="1"/>
          <w:bCs w:val="1"/>
          <w:color w:val="184382"/>
          <w:sz w:val="18"/>
          <w:szCs w:val="18"/>
        </w:rPr>
        <w:t xml:space="preserve">Project Background: 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This portfolio project analyzes a transaction-level crude oil trading dataset covering January 2023 to August 2024. The analysis combines buyer, </w:t>
      </w:r>
      <w:r w:rsidRPr="3C64A93E" w:rsidR="282D68D9">
        <w:rPr>
          <w:rFonts w:ascii="Aptos" w:hAnsi="Aptos" w:eastAsia="ＭＳ 明朝" w:cs="Aptos" w:eastAsiaTheme="minorEastAsia"/>
          <w:color w:val="26364D"/>
          <w:sz w:val="18"/>
          <w:szCs w:val="18"/>
        </w:rPr>
        <w:t>supplier,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and transaction data to understand trading contribution across participants, crude types, </w:t>
      </w:r>
      <w:r w:rsidRPr="3C64A93E" w:rsidR="33BAB4C1">
        <w:rPr>
          <w:rFonts w:ascii="Aptos" w:hAnsi="Aptos" w:eastAsia="ＭＳ 明朝" w:cs="Aptos" w:eastAsiaTheme="minorEastAsia"/>
          <w:color w:val="26364D"/>
          <w:sz w:val="18"/>
          <w:szCs w:val="18"/>
        </w:rPr>
        <w:t>regions,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and time. SQL was used for data preparation and analytical queries, while Power BI was used to build an interactive dashboard for business-focused analysis.</w:t>
      </w:r>
    </w:p>
    <w:p xmlns:wp14="http://schemas.microsoft.com/office/word/2010/wordml" w14:paraId="07DB3D74" wp14:textId="77777777">
      <w:pPr>
        <w:spacing w:before="140"/>
      </w:pPr>
      <w:r>
        <w:rPr>
          <w:rFonts w:ascii="Aptos Display" w:hAnsi="Aptos Display" w:eastAsia="ＭＳ 明朝" w:cs="Aptos Display" w:eastAsiaTheme="minorEastAsia" w:csTheme="minorBidi"/>
          <w:b/>
          <w:bCs/>
          <w:color w:val="18253A"/>
          <w:sz w:val="26"/>
          <w:szCs w:val="22"/>
        </w:rPr>
        <w:t>1. Project Overview</w:t>
      </w:r>
    </w:p>
    <w:p xmlns:wp14="http://schemas.microsoft.com/office/word/2010/wordml" w14:paraId="3D155843" wp14:textId="744F3B1F">
      <w:pPr>
        <w:spacing w:after="60"/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The project evaluates crude oil trading performance across buyers, suppliers, crude types, buyer regions, supplier </w:t>
      </w:r>
      <w:r w:rsidRPr="3C64A93E" w:rsidR="1973BB99">
        <w:rPr>
          <w:rFonts w:ascii="Aptos" w:hAnsi="Aptos" w:eastAsia="ＭＳ 明朝" w:cs="Aptos" w:eastAsiaTheme="minorEastAsia"/>
          <w:color w:val="26364D"/>
          <w:sz w:val="18"/>
          <w:szCs w:val="18"/>
        </w:rPr>
        <w:t>regions,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and time. A 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consolidated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transaction-level dataset was prepared using SQL joins between transaction, 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buyer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and supplier tables. The resulting dataset was used as the Power BI source, while separate SQL queries were used to answer the defined business questions.</w:t>
      </w:r>
    </w:p>
    <w:p xmlns:wp14="http://schemas.microsoft.com/office/word/2010/wordml" w14:paraId="78C6BD4A" wp14:textId="77777777">
      <w:pPr>
        <w:spacing w:before="80"/>
      </w:pPr>
      <w:r>
        <w:rPr>
          <w:rFonts w:ascii="Aptos" w:hAnsi="Aptos" w:eastAsia="ＭＳ 明朝" w:cs="Aptos" w:eastAsiaTheme="minorEastAsia" w:csTheme="minorBidi"/>
          <w:b/>
          <w:bCs/>
          <w:color w:val="18253A"/>
          <w:sz w:val="20"/>
          <w:szCs w:val="22"/>
        </w:rPr>
        <w:t>Objectives</w:t>
      </w:r>
    </w:p>
    <w:p xmlns:wp14="http://schemas.microsoft.com/office/word/2010/wordml" w:rsidP="3C64A93E" w14:paraId="1DAF90F9" wp14:textId="77777777">
      <w:pPr>
        <w:pStyle w:val="ListBullet"/>
        <w:spacing w:after="20"/>
        <w:ind/>
        <w:rPr>
          <w:rFonts w:ascii="Aptos" w:hAnsi="Aptos" w:eastAsia="ＭＳ 明朝" w:cs="Aptos" w:eastAsiaTheme="minorEastAsia"/>
          <w:color w:val="26364D"/>
          <w:sz w:val="18"/>
          <w:szCs w:val="18"/>
        </w:rPr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Analyze overall trading performance using transaction count, traded quantity, calculated revenue and average price.</w:t>
      </w:r>
    </w:p>
    <w:p xmlns:wp14="http://schemas.microsoft.com/office/word/2010/wordml" w:rsidP="3C64A93E" w14:paraId="3F6512C8" wp14:textId="77777777">
      <w:pPr>
        <w:pStyle w:val="ListBullet"/>
        <w:spacing w:after="20"/>
        <w:ind/>
        <w:rPr>
          <w:rFonts w:ascii="Aptos" w:hAnsi="Aptos" w:eastAsia="ＭＳ 明朝" w:cs="Aptos" w:eastAsiaTheme="minorEastAsia"/>
          <w:color w:val="26364D"/>
          <w:sz w:val="18"/>
          <w:szCs w:val="18"/>
        </w:rPr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Identify the buyers and suppliers contributing the most in terms of traded quantity and calculated revenue.</w:t>
      </w:r>
    </w:p>
    <w:p xmlns:wp14="http://schemas.microsoft.com/office/word/2010/wordml" w:rsidP="3C64A93E" w14:paraId="25E1B34B" wp14:textId="5D9B4AE3">
      <w:pPr>
        <w:pStyle w:val="ListBullet"/>
        <w:spacing w:after="20"/>
        <w:ind/>
        <w:rPr>
          <w:rFonts w:ascii="Aptos" w:hAnsi="Aptos" w:eastAsia="ＭＳ 明朝" w:cs="Aptos" w:eastAsiaTheme="minorEastAsia"/>
          <w:color w:val="26364D"/>
          <w:sz w:val="18"/>
          <w:szCs w:val="18"/>
        </w:rPr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Compare crude types using traded quantity, calculated </w:t>
      </w:r>
      <w:r w:rsidRPr="3C64A93E" w:rsidR="72E45EBA">
        <w:rPr>
          <w:rFonts w:ascii="Aptos" w:hAnsi="Aptos" w:eastAsia="ＭＳ 明朝" w:cs="Aptos" w:eastAsiaTheme="minorEastAsia"/>
          <w:color w:val="26364D"/>
          <w:sz w:val="18"/>
          <w:szCs w:val="18"/>
        </w:rPr>
        <w:t>revenue,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and average price.</w:t>
      </w:r>
    </w:p>
    <w:p xmlns:wp14="http://schemas.microsoft.com/office/word/2010/wordml" w:rsidP="3C64A93E" w14:paraId="39A20792" wp14:textId="77777777">
      <w:pPr>
        <w:pStyle w:val="ListBullet"/>
        <w:spacing w:after="20"/>
        <w:ind/>
        <w:rPr>
          <w:rFonts w:ascii="Aptos" w:hAnsi="Aptos" w:eastAsia="ＭＳ 明朝" w:cs="Aptos" w:eastAsiaTheme="minorEastAsia"/>
          <w:color w:val="26364D"/>
          <w:sz w:val="18"/>
          <w:szCs w:val="18"/>
        </w:rPr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Evaluate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buyer- and supplier-region concentration and distribution.</w:t>
      </w:r>
    </w:p>
    <w:p xmlns:wp14="http://schemas.microsoft.com/office/word/2010/wordml" w:rsidP="3C64A93E" w14:paraId="01C2EC6D" wp14:textId="072DDFF2">
      <w:pPr>
        <w:pStyle w:val="ListBullet"/>
        <w:spacing w:after="20"/>
        <w:ind/>
        <w:rPr>
          <w:rFonts w:ascii="Aptos" w:hAnsi="Aptos" w:eastAsia="ＭＳ 明朝" w:cs="Aptos" w:eastAsiaTheme="minorEastAsia"/>
          <w:color w:val="26364D"/>
          <w:sz w:val="18"/>
          <w:szCs w:val="18"/>
        </w:rPr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Identify notable changes in trading activity, traded </w:t>
      </w:r>
      <w:r w:rsidRPr="3C64A93E" w:rsidR="21C32DF3">
        <w:rPr>
          <w:rFonts w:ascii="Aptos" w:hAnsi="Aptos" w:eastAsia="ＭＳ 明朝" w:cs="Aptos" w:eastAsiaTheme="minorEastAsia"/>
          <w:color w:val="26364D"/>
          <w:sz w:val="18"/>
          <w:szCs w:val="18"/>
        </w:rPr>
        <w:t>quantity,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and average price over time.</w:t>
      </w:r>
    </w:p>
    <w:p xmlns:wp14="http://schemas.microsoft.com/office/word/2010/wordml" w14:paraId="027F8CBD" wp14:textId="77777777">
      <w:pPr>
        <w:spacing w:before="140"/>
      </w:pPr>
      <w:r>
        <w:rPr>
          <w:rFonts w:ascii="Aptos Display" w:hAnsi="Aptos Display" w:eastAsia="ＭＳ 明朝" w:cs="Aptos Display" w:eastAsiaTheme="minorEastAsia" w:csTheme="minorBidi"/>
          <w:b/>
          <w:bCs/>
          <w:color w:val="18253A"/>
          <w:sz w:val="26"/>
          <w:szCs w:val="22"/>
        </w:rPr>
        <w:t>2. Data &amp; Analytical Approach</w:t>
      </w:r>
    </w:p>
    <w:p xmlns:wp14="http://schemas.microsoft.com/office/word/2010/wordml" w14:paraId="4DCB5C75" wp14:textId="77777777">
      <w:pPr>
        <w:spacing w:before="80"/>
      </w:pPr>
      <w:r>
        <w:rPr>
          <w:rFonts w:ascii="Aptos" w:hAnsi="Aptos" w:eastAsia="ＭＳ 明朝" w:cs="Aptos" w:eastAsiaTheme="minorEastAsia" w:csTheme="minorBidi"/>
          <w:b/>
          <w:bCs/>
          <w:color w:val="18253A"/>
          <w:sz w:val="20"/>
          <w:szCs w:val="22"/>
        </w:rPr>
        <w:t>Dataset Overview</w:t>
      </w:r>
    </w:p>
    <w:tbl>
      <w:tblPr>
        <w:tblStyle w:val="TableGrid"/>
        <w:tblW w:w="0" w:type="auto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84"/>
        <w:gridCol w:w="5184"/>
      </w:tblGrid>
      <w:tr xmlns:wp14="http://schemas.microsoft.com/office/word/2010/wordml" w:rsidTr="3C64A93E" w14:paraId="4935D953" wp14:textId="77777777"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E5E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689287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26364D"/>
                <w:sz w:val="16"/>
                <w:szCs w:val="22"/>
              </w:rPr>
              <w:t>Item</w:t>
            </w:r>
          </w:p>
        </w:tc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E5E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D41C02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26364D"/>
                <w:sz w:val="16"/>
                <w:szCs w:val="22"/>
              </w:rPr>
              <w:t>Description</w:t>
            </w:r>
          </w:p>
        </w:tc>
      </w:tr>
      <w:tr xmlns:wp14="http://schemas.microsoft.com/office/word/2010/wordml" w:rsidTr="3C64A93E" w14:paraId="3876C4AC" wp14:textId="77777777"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:rsidP="3C64A93E" w14:paraId="1FCAD56D" wp14:textId="77777777">
            <w:pPr>
              <w:spacing w:after="200" w:line="276" w:lineRule="auto"/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</w:pPr>
            <w:r w:rsidRPr="3C64A93E" w:rsidR="3C64A93E"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  <w:t>Source dataset</w:t>
            </w:r>
          </w:p>
        </w:tc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:rsidP="3C64A93E" w14:paraId="77D3B637" wp14:textId="77777777">
            <w:pPr>
              <w:spacing w:after="200" w:line="276" w:lineRule="auto"/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</w:pPr>
            <w:r w:rsidRPr="3C64A93E" w:rsidR="3C64A93E"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  <w:t>Consolidated SQL output used as the Power BI source</w:t>
            </w:r>
          </w:p>
        </w:tc>
      </w:tr>
      <w:tr xmlns:wp14="http://schemas.microsoft.com/office/word/2010/wordml" w:rsidTr="3C64A93E" w14:paraId="18D7F3D7" wp14:textId="77777777"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:rsidP="3C64A93E" w14:paraId="10E7A746" wp14:textId="77777777">
            <w:pPr>
              <w:spacing w:after="200" w:line="276" w:lineRule="auto"/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</w:pPr>
            <w:r w:rsidRPr="3C64A93E" w:rsidR="3C64A93E"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  <w:t>Transactions</w:t>
            </w:r>
          </w:p>
        </w:tc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:rsidP="3C64A93E" w14:paraId="3CD2F660" wp14:textId="77777777">
            <w:pPr>
              <w:spacing w:after="200" w:line="276" w:lineRule="auto"/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</w:pPr>
            <w:r w:rsidRPr="3C64A93E" w:rsidR="3C64A93E"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  <w:t>200 transaction records</w:t>
            </w:r>
          </w:p>
        </w:tc>
      </w:tr>
      <w:tr xmlns:wp14="http://schemas.microsoft.com/office/word/2010/wordml" w:rsidTr="3C64A93E" w14:paraId="0F64422F" wp14:textId="77777777"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:rsidP="3C64A93E" w14:paraId="0EB2DD8C" wp14:textId="77777777">
            <w:pPr>
              <w:spacing w:after="200" w:line="276" w:lineRule="auto"/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</w:pPr>
            <w:r w:rsidRPr="3C64A93E" w:rsidR="3C64A93E"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  <w:t>Time period</w:t>
            </w:r>
          </w:p>
        </w:tc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:rsidP="3C64A93E" w14:paraId="7E93C913" wp14:textId="77777777">
            <w:pPr>
              <w:spacing w:after="200" w:line="276" w:lineRule="auto"/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</w:pPr>
            <w:r w:rsidRPr="3C64A93E" w:rsidR="3C64A93E"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  <w:t>January 2023 – August 2024</w:t>
            </w:r>
          </w:p>
        </w:tc>
      </w:tr>
      <w:tr xmlns:wp14="http://schemas.microsoft.com/office/word/2010/wordml" w:rsidTr="3C64A93E" w14:paraId="7C07332C" wp14:textId="77777777"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:rsidP="3C64A93E" w14:paraId="2697C56C" wp14:textId="77777777">
            <w:pPr>
              <w:spacing w:after="200" w:line="276" w:lineRule="auto"/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</w:pPr>
            <w:r w:rsidRPr="3C64A93E" w:rsidR="3C64A93E"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  <w:t>Buyer data</w:t>
            </w:r>
          </w:p>
        </w:tc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:rsidP="3C64A93E" w14:paraId="5ACF729B" wp14:textId="77777777">
            <w:pPr>
              <w:spacing w:after="200" w:line="276" w:lineRule="auto"/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</w:pPr>
            <w:r w:rsidRPr="3C64A93E" w:rsidR="3C64A93E"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  <w:t>Buyer/company and buyer region</w:t>
            </w:r>
          </w:p>
        </w:tc>
      </w:tr>
      <w:tr xmlns:wp14="http://schemas.microsoft.com/office/word/2010/wordml" w:rsidTr="3C64A93E" w14:paraId="09C66376" wp14:textId="77777777"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:rsidP="3C64A93E" w14:paraId="6AB17896" wp14:textId="77777777">
            <w:pPr>
              <w:spacing w:after="200" w:line="276" w:lineRule="auto"/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</w:pPr>
            <w:r w:rsidRPr="3C64A93E" w:rsidR="3C64A93E"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  <w:t>Supplier data</w:t>
            </w:r>
          </w:p>
        </w:tc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:rsidP="3C64A93E" w14:paraId="59FB4B72" wp14:textId="77777777">
            <w:pPr>
              <w:spacing w:after="200" w:line="276" w:lineRule="auto"/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</w:pPr>
            <w:r w:rsidRPr="3C64A93E" w:rsidR="3C64A93E"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  <w:t>Supplier/company and supplier region</w:t>
            </w:r>
          </w:p>
        </w:tc>
      </w:tr>
      <w:tr xmlns:wp14="http://schemas.microsoft.com/office/word/2010/wordml" w:rsidTr="3C64A93E" w14:paraId="29F1B78B" wp14:textId="77777777"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:rsidP="3C64A93E" w14:paraId="3BA83591" wp14:textId="77777777">
            <w:pPr>
              <w:spacing w:after="200" w:line="276" w:lineRule="auto"/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</w:pPr>
            <w:r w:rsidRPr="3C64A93E" w:rsidR="3C64A93E"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  <w:t>Transaction fields</w:t>
            </w:r>
          </w:p>
        </w:tc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:rsidP="3C64A93E" w14:paraId="1B365DCA" wp14:textId="77777777">
            <w:pPr>
              <w:spacing w:after="200" w:line="276" w:lineRule="auto"/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</w:pPr>
            <w:r w:rsidRPr="3C64A93E" w:rsidR="3C64A93E"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  <w:t>Buyer, supplier, crude type, quantity, price and date</w:t>
            </w:r>
          </w:p>
        </w:tc>
      </w:tr>
      <w:tr xmlns:wp14="http://schemas.microsoft.com/office/word/2010/wordml" w:rsidTr="3C64A93E" w14:paraId="170947DD" wp14:textId="77777777"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:rsidP="3C64A93E" w14:paraId="289CF7B6" wp14:textId="77777777">
            <w:pPr>
              <w:spacing w:after="200" w:line="276" w:lineRule="auto"/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</w:pPr>
            <w:r w:rsidRPr="3C64A93E" w:rsidR="3C64A93E"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  <w:t>Analytical revenue</w:t>
            </w:r>
          </w:p>
        </w:tc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:rsidP="3C64A93E" w14:paraId="7AEEBEE2" wp14:textId="77777777">
            <w:pPr>
              <w:spacing w:after="200" w:line="276" w:lineRule="auto"/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</w:pPr>
            <w:r w:rsidRPr="3C64A93E" w:rsidR="3C64A93E">
              <w:rPr>
                <w:rFonts w:ascii="Aptos" w:hAnsi="Aptos" w:eastAsia="ＭＳ 明朝" w:cs="Aptos" w:eastAsiaTheme="minorEastAsia"/>
                <w:color w:val="26364D"/>
                <w:sz w:val="18"/>
                <w:szCs w:val="18"/>
              </w:rPr>
              <w:t>Project-defined revenue = (quantity × price per barrel) / 7.33</w:t>
            </w:r>
          </w:p>
        </w:tc>
      </w:tr>
    </w:tbl>
    <w:p xmlns:wp14="http://schemas.microsoft.com/office/word/2010/wordml" w14:paraId="35069D23" wp14:textId="77777777">
      <w:pPr>
        <w:spacing w:before="80"/>
      </w:pPr>
      <w:r>
        <w:rPr>
          <w:rFonts w:ascii="Aptos" w:hAnsi="Aptos" w:eastAsia="ＭＳ 明朝" w:cs="Aptos" w:eastAsiaTheme="minorEastAsia" w:csTheme="minorBidi"/>
          <w:b/>
          <w:bCs/>
          <w:color w:val="18253A"/>
          <w:sz w:val="20"/>
          <w:szCs w:val="22"/>
        </w:rPr>
        <w:t>SQL Preparation</w:t>
      </w:r>
    </w:p>
    <w:p xmlns:wp14="http://schemas.microsoft.com/office/word/2010/wordml" w14:paraId="40729B71" wp14:textId="39711EF4">
      <w:pPr>
        <w:spacing w:after="60"/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A dedicated SQL preparation query joins the transaction table with buyer and supplier master data to create one 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consolidated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analytical dataset. The join preserves transaction-level detail while bringing in buyer names, supplier </w:t>
      </w:r>
      <w:r w:rsidRPr="3C64A93E" w:rsidR="3D068035">
        <w:rPr>
          <w:rFonts w:ascii="Aptos" w:hAnsi="Aptos" w:eastAsia="ＭＳ 明朝" w:cs="Aptos" w:eastAsiaTheme="minorEastAsia"/>
          <w:color w:val="26364D"/>
          <w:sz w:val="18"/>
          <w:szCs w:val="18"/>
        </w:rPr>
        <w:t>names,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and their respective regions.</w:t>
      </w:r>
    </w:p>
    <w:p xmlns:wp14="http://schemas.microsoft.com/office/word/2010/wordml" w14:paraId="7969B65E" wp14:textId="77777777">
      <w:pPr>
        <w:spacing w:before="80"/>
      </w:pPr>
      <w:r>
        <w:rPr>
          <w:rFonts w:ascii="Aptos" w:hAnsi="Aptos" w:eastAsia="ＭＳ 明朝" w:cs="Aptos" w:eastAsiaTheme="minorEastAsia" w:csTheme="minorBidi"/>
          <w:b/>
          <w:bCs/>
          <w:color w:val="18253A"/>
          <w:sz w:val="20"/>
          <w:szCs w:val="22"/>
        </w:rPr>
        <w:t>Revenue Calculation</w:t>
      </w:r>
    </w:p>
    <w:p xmlns:wp14="http://schemas.microsoft.com/office/word/2010/wordml" w14:paraId="720E58A6" wp14:textId="39F3C0EC">
      <w:pPr>
        <w:spacing w:after="60"/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The project defines calculated revenue as: Revenue = (</w:t>
      </w:r>
      <w:r w:rsidRPr="3C64A93E" w:rsidR="0E68289E">
        <w:rPr>
          <w:rFonts w:ascii="Aptos" w:hAnsi="Aptos" w:eastAsia="ＭＳ 明朝" w:cs="Aptos" w:eastAsiaTheme="minorEastAsia"/>
          <w:color w:val="26364D"/>
          <w:sz w:val="18"/>
          <w:szCs w:val="18"/>
        </w:rPr>
        <w:t>quantity MT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× 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price_per_barrel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) / 7.33. This metric is used consistently in SQL analysis and Power BI.</w:t>
      </w:r>
    </w:p>
    <w:p xmlns:wp14="http://schemas.microsoft.com/office/word/2010/wordml" w14:paraId="2900D5AA" wp14:textId="77777777">
      <w:pPr>
        <w:spacing w:before="80"/>
      </w:pPr>
      <w:r>
        <w:rPr>
          <w:rFonts w:ascii="Aptos" w:hAnsi="Aptos" w:eastAsia="ＭＳ 明朝" w:cs="Aptos" w:eastAsiaTheme="minorEastAsia" w:csTheme="minorBidi"/>
          <w:b/>
          <w:bCs/>
          <w:color w:val="18253A"/>
          <w:sz w:val="20"/>
          <w:szCs w:val="22"/>
        </w:rPr>
        <w:t>Power BI Measures</w:t>
      </w:r>
    </w:p>
    <w:p xmlns:wp14="http://schemas.microsoft.com/office/word/2010/wordml" w14:paraId="530A8CBF" wp14:textId="77777777">
      <w:pPr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22"/>
        </w:rPr>
        <w:t>Core measures include Total Transactions, Total Quantity, Average Price and Calculated Revenue. The dashboard presents these KPIs together with buyer, supplier, crude-type, regional and monthly views.</w:t>
      </w:r>
    </w:p>
    <w:p xmlns:wp14="http://schemas.microsoft.com/office/word/2010/wordml" w14:paraId="6EB7A5EA" wp14:textId="77777777">
      <w:pPr>
        <w:spacing w:before="140"/>
      </w:pPr>
      <w:r>
        <w:rPr>
          <w:rFonts w:ascii="Aptos Display" w:hAnsi="Aptos Display" w:eastAsia="ＭＳ 明朝" w:cs="Aptos Display" w:eastAsiaTheme="minorEastAsia" w:csTheme="minorBidi"/>
          <w:b/>
          <w:bCs/>
          <w:color w:val="18253A"/>
          <w:sz w:val="26"/>
          <w:szCs w:val="22"/>
        </w:rPr>
        <w:t>3. Business Questions</w:t>
      </w:r>
    </w:p>
    <w:p xmlns:wp14="http://schemas.microsoft.com/office/word/2010/wordml" w:rsidP="3C64A93E" w14:paraId="3BB05E42" wp14:textId="77777777">
      <w:pPr>
        <w:pStyle w:val="ListBullet"/>
        <w:spacing w:after="20"/>
        <w:ind/>
        <w:rPr>
          <w:rFonts w:ascii="Aptos" w:hAnsi="Aptos" w:eastAsia="ＭＳ 明朝" w:cs="Aptos" w:eastAsiaTheme="minorEastAsia"/>
          <w:color w:val="26364D"/>
          <w:sz w:val="18"/>
          <w:szCs w:val="18"/>
        </w:rPr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Q1. Which buyers and suppliers contribute the most to crude oil trading activity in terms of traded quantity and calculated revenue?</w:t>
      </w:r>
    </w:p>
    <w:p xmlns:wp14="http://schemas.microsoft.com/office/word/2010/wordml" w:rsidP="3C64A93E" w14:paraId="5F0C28C6" wp14:textId="77777777">
      <w:pPr>
        <w:pStyle w:val="ListBullet"/>
        <w:spacing w:after="20"/>
        <w:ind/>
        <w:rPr/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Q2. Which crude oil types have the greatest commercial contribution, and how do pricing levels differ?</w:t>
      </w:r>
    </w:p>
    <w:p xmlns:wp14="http://schemas.microsoft.com/office/word/2010/wordml" w:rsidP="3C64A93E" w14:paraId="43926757" wp14:textId="77777777">
      <w:pPr>
        <w:pStyle w:val="ListBullet"/>
        <w:spacing w:after="20"/>
        <w:ind/>
        <w:rPr/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Q3. Which buyer and supplier regions account for the largest share of trading activity?</w:t>
      </w:r>
    </w:p>
    <w:p xmlns:wp14="http://schemas.microsoft.com/office/word/2010/wordml" w:rsidP="3C64A93E" w14:paraId="7A04B359" wp14:textId="77777777">
      <w:pPr>
        <w:pStyle w:val="ListBullet"/>
        <w:spacing w:after="20"/>
        <w:ind/>
        <w:rPr>
          <w:rFonts w:ascii="Aptos" w:hAnsi="Aptos" w:eastAsia="ＭＳ 明朝" w:cs="Aptos" w:eastAsiaTheme="minorEastAsia"/>
          <w:color w:val="26364D"/>
          <w:sz w:val="18"/>
          <w:szCs w:val="18"/>
        </w:rPr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Q4. How does crude oil trading activity change over time, and which periods show notable changes?</w:t>
      </w:r>
    </w:p>
    <w:p xmlns:wp14="http://schemas.microsoft.com/office/word/2010/wordml" w:rsidP="3C64A93E" w14:paraId="6A81199D" wp14:textId="492840B8">
      <w:pPr>
        <w:pStyle w:val="ListBullet"/>
        <w:spacing w:after="20"/>
        <w:ind/>
        <w:rPr>
          <w:rFonts w:ascii="Aptos" w:hAnsi="Aptos" w:eastAsia="ＭＳ 明朝" w:cs="Aptos" w:eastAsiaTheme="minorEastAsia"/>
          <w:color w:val="26364D"/>
          <w:sz w:val="18"/>
          <w:szCs w:val="18"/>
        </w:rPr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Q5. What is the overall trading performance in terms of transactions, quantity, average </w:t>
      </w:r>
      <w:r w:rsidRPr="3C64A93E" w:rsidR="48609E02">
        <w:rPr>
          <w:rFonts w:ascii="Aptos" w:hAnsi="Aptos" w:eastAsia="ＭＳ 明朝" w:cs="Aptos" w:eastAsiaTheme="minorEastAsia"/>
          <w:color w:val="26364D"/>
          <w:sz w:val="18"/>
          <w:szCs w:val="18"/>
        </w:rPr>
        <w:t>price,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and calculated revenue?</w:t>
      </w:r>
    </w:p>
    <w:p xmlns:wp14="http://schemas.microsoft.com/office/word/2010/wordml" w14:paraId="474705DD" wp14:textId="77777777">
      <w:pPr>
        <w:spacing w:before="140"/>
      </w:pPr>
      <w:r>
        <w:rPr>
          <w:rFonts w:ascii="Aptos Display" w:hAnsi="Aptos Display" w:eastAsia="ＭＳ 明朝" w:cs="Aptos Display" w:eastAsiaTheme="minorEastAsia" w:csTheme="minorBidi"/>
          <w:b/>
          <w:bCs/>
          <w:color w:val="18253A"/>
          <w:sz w:val="26"/>
          <w:szCs w:val="22"/>
        </w:rPr>
        <w:t>4. Key KPIs</w:t>
      </w:r>
    </w:p>
    <w:tbl>
      <w:tblPr>
        <w:tblStyle w:val="TableGrid"/>
        <w:tblW w:w="0" w:type="auto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84"/>
        <w:gridCol w:w="5184"/>
      </w:tblGrid>
      <w:tr xmlns:wp14="http://schemas.microsoft.com/office/word/2010/wordml" w14:paraId="41C06C9A" wp14:textId="77777777"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DDE5E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1102A3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26364D"/>
                <w:sz w:val="16"/>
                <w:szCs w:val="22"/>
              </w:rPr>
              <w:t>KPI</w:t>
            </w:r>
          </w:p>
        </w:tc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DDE5E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D53A62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26364D"/>
                <w:sz w:val="16"/>
                <w:szCs w:val="22"/>
              </w:rPr>
              <w:t>Result</w:t>
            </w:r>
          </w:p>
        </w:tc>
      </w:tr>
      <w:tr xmlns:wp14="http://schemas.microsoft.com/office/word/2010/wordml" w14:paraId="416D30A0" wp14:textId="77777777"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93856B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Total Transactions</w:t>
            </w:r>
          </w:p>
        </w:tc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F87D78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200</w:t>
            </w:r>
          </w:p>
        </w:tc>
      </w:tr>
      <w:tr xmlns:wp14="http://schemas.microsoft.com/office/word/2010/wordml" w14:paraId="7FB21FD7" wp14:textId="77777777"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626F33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Total Quantity Traded</w:t>
            </w:r>
          </w:p>
        </w:tc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D5A1BB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15.19M MT</w:t>
            </w:r>
          </w:p>
        </w:tc>
      </w:tr>
      <w:tr xmlns:wp14="http://schemas.microsoft.com/office/word/2010/wordml" w14:paraId="48E528B0" wp14:textId="77777777"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66E78D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Calculated Revenue</w:t>
            </w:r>
          </w:p>
        </w:tc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5B94BE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$186.44M</w:t>
            </w:r>
          </w:p>
        </w:tc>
      </w:tr>
      <w:tr xmlns:wp14="http://schemas.microsoft.com/office/word/2010/wordml" w14:paraId="3C516C2E" wp14:textId="77777777"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6E97DB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Average Price</w:t>
            </w:r>
          </w:p>
        </w:tc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D0712F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$88.90/bbl</w:t>
            </w:r>
          </w:p>
        </w:tc>
      </w:tr>
    </w:tbl>
    <w:p xmlns:wp14="http://schemas.microsoft.com/office/word/2010/wordml" w14:paraId="20285F3D" wp14:textId="77777777">
      <w:pPr>
        <w:spacing w:before="140"/>
      </w:pPr>
      <w:r>
        <w:rPr>
          <w:rFonts w:ascii="Aptos Display" w:hAnsi="Aptos Display" w:eastAsia="ＭＳ 明朝" w:cs="Aptos Display" w:eastAsiaTheme="minorEastAsia" w:csTheme="minorBidi"/>
          <w:b/>
          <w:bCs/>
          <w:color w:val="18253A"/>
          <w:sz w:val="26"/>
          <w:szCs w:val="22"/>
        </w:rPr>
        <w:t>5. Results &amp; Key Findings</w:t>
      </w:r>
    </w:p>
    <w:p xmlns:wp14="http://schemas.microsoft.com/office/word/2010/wordml" w14:paraId="514E0B74" wp14:textId="77777777">
      <w:pPr>
        <w:spacing w:before="80"/>
      </w:pPr>
      <w:r>
        <w:rPr>
          <w:rFonts w:ascii="Aptos" w:hAnsi="Aptos" w:eastAsia="ＭＳ 明朝" w:cs="Aptos" w:eastAsiaTheme="minorEastAsia" w:csTheme="minorBidi"/>
          <w:b/>
          <w:bCs/>
          <w:color w:val="18253A"/>
          <w:sz w:val="20"/>
          <w:szCs w:val="22"/>
        </w:rPr>
        <w:t>1. Buyer concentration</w:t>
      </w:r>
    </w:p>
    <w:p xmlns:wp14="http://schemas.microsoft.com/office/word/2010/wordml" w14:paraId="6FC53156" wp14:textId="77777777">
      <w:pPr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18"/>
        </w:rPr>
        <w:t>Finding: Bharat Petroleum was the largest buyer with 1.71M MT and $20.86M in calculated revenue. The top five buyers contributed 47.31% of total quantity and 47.14% of calculated revenue.</w:t>
      </w:r>
    </w:p>
    <w:p xmlns:wp14="http://schemas.microsoft.com/office/word/2010/wordml" w14:paraId="440AE13A" wp14:textId="77777777">
      <w:pPr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18"/>
        </w:rPr>
        <w:t>Interpretation: Trading activity is meaningful across multiple buyers, but a relatively small group accounts for nearly half of overall activity.</w:t>
      </w:r>
    </w:p>
    <w:p xmlns:wp14="http://schemas.microsoft.com/office/word/2010/wordml" w14:paraId="206C06AB" wp14:textId="77777777">
      <w:pPr>
        <w:spacing w:before="80"/>
      </w:pPr>
      <w:r>
        <w:rPr>
          <w:rFonts w:ascii="Aptos" w:hAnsi="Aptos" w:eastAsia="ＭＳ 明朝" w:cs="Aptos" w:eastAsiaTheme="minorEastAsia" w:csTheme="minorBidi"/>
          <w:b/>
          <w:bCs/>
          <w:color w:val="18253A"/>
          <w:sz w:val="20"/>
          <w:szCs w:val="22"/>
        </w:rPr>
        <w:t>2. Supplier concentration</w:t>
      </w:r>
    </w:p>
    <w:p xmlns:wp14="http://schemas.microsoft.com/office/word/2010/wordml" w14:paraId="7EE18D78" wp14:textId="77777777">
      <w:pPr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18"/>
        </w:rPr>
        <w:t>Finding: Saudi Aramco was the largest supplier with 1.80M MT and $22.39M in calculated revenue. The top five suppliers contributed 47.88% of total quantity and 46.16% of calculated revenue.</w:t>
      </w:r>
    </w:p>
    <w:p xmlns:wp14="http://schemas.microsoft.com/office/word/2010/wordml" w14:paraId="04377AC9" wp14:textId="77777777">
      <w:pPr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18"/>
        </w:rPr>
        <w:t>Interpretation: The supply side also shows concentration among the largest contributors, although activity remains distributed across several suppliers.</w:t>
      </w:r>
    </w:p>
    <w:p xmlns:wp14="http://schemas.microsoft.com/office/word/2010/wordml" w14:paraId="41167962" wp14:textId="77777777">
      <w:pPr>
        <w:spacing w:before="80"/>
      </w:pPr>
      <w:r>
        <w:rPr>
          <w:rFonts w:ascii="Aptos" w:hAnsi="Aptos" w:eastAsia="ＭＳ 明朝" w:cs="Aptos" w:eastAsiaTheme="minorEastAsia" w:csTheme="minorBidi"/>
          <w:b/>
          <w:bCs/>
          <w:color w:val="26364D"/>
          <w:sz w:val="20"/>
          <w:szCs w:val="20"/>
        </w:rPr>
        <w:t>3. Crude type: traded quantity vs calculated revenue</w:t>
      </w:r>
    </w:p>
    <w:p xmlns:wp14="http://schemas.microsoft.com/office/word/2010/wordml" w14:paraId="2096964C" wp14:textId="77777777">
      <w:pPr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22"/>
        </w:rPr>
        <w:t>Finding: WTI had the highest traded quantity at 3.15M MT, while Dubai Crude generated the highest calculated revenue at $39.68M. Dubai Crude also had a higher average price of $93.92/bbl compared with WTI at $89.65/bbl.</w:t>
      </w:r>
    </w:p>
    <w:p xmlns:wp14="http://schemas.microsoft.com/office/word/2010/wordml" w14:paraId="10E0FC0E" wp14:textId="77777777">
      <w:pPr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22"/>
        </w:rPr>
        <w:t>Interpretation: The highest traded quantity does not automatically produce the highest calculated revenue; price level also influences commercial contribution.</w:t>
      </w:r>
    </w:p>
    <w:p xmlns:wp14="http://schemas.microsoft.com/office/word/2010/wordml" w14:paraId="76098163" wp14:textId="77777777">
      <w:pPr>
        <w:spacing w:before="80"/>
      </w:pPr>
      <w:r>
        <w:rPr>
          <w:rFonts w:ascii="Aptos" w:hAnsi="Aptos" w:eastAsia="ＭＳ 明朝" w:cs="Aptos" w:eastAsiaTheme="minorEastAsia" w:csTheme="minorBidi"/>
          <w:b/>
          <w:bCs/>
          <w:color w:val="18253A"/>
          <w:sz w:val="20"/>
          <w:szCs w:val="22"/>
        </w:rPr>
        <w:t>4. Regional concentration</w:t>
      </w:r>
    </w:p>
    <w:p xmlns:wp14="http://schemas.microsoft.com/office/word/2010/wordml" w14:paraId="4A04723A" wp14:textId="77777777">
      <w:pPr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18"/>
        </w:rPr>
        <w:t>Finding: India was the largest buyer region with 5.12M MT and $61.19M in calculated revenue, representing 33.67% of total quantity and 32.82% of total revenue. The largest supplier region, the USA, represented 12.67% of total quantity and 12.72% of total revenue.</w:t>
      </w:r>
    </w:p>
    <w:p xmlns:wp14="http://schemas.microsoft.com/office/word/2010/wordml" w14:paraId="05EDA444" wp14:textId="77777777">
      <w:pPr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18"/>
        </w:rPr>
        <w:t>Interpretation: Buyer activity is more geographically concentrated than supplier activity in this dataset.</w:t>
      </w:r>
    </w:p>
    <w:p xmlns:wp14="http://schemas.microsoft.com/office/word/2010/wordml" w14:paraId="5A580076" wp14:textId="77777777">
      <w:pPr>
        <w:spacing w:before="80"/>
      </w:pPr>
      <w:r>
        <w:rPr>
          <w:rFonts w:ascii="Aptos" w:hAnsi="Aptos" w:eastAsia="ＭＳ 明朝" w:cs="Aptos" w:eastAsiaTheme="minorEastAsia" w:csTheme="minorBidi"/>
          <w:b/>
          <w:bCs/>
          <w:color w:val="18253A"/>
          <w:sz w:val="20"/>
          <w:szCs w:val="22"/>
        </w:rPr>
        <w:t>5. Peak trading period</w:t>
      </w:r>
    </w:p>
    <w:p xmlns:wp14="http://schemas.microsoft.com/office/word/2010/wordml" w14:paraId="76C6C6DB" wp14:textId="4AF4D157">
      <w:pPr>
        <w:spacing w:after="60"/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Finding: April 2023 recorded the highest monthly trading activity: 19 transactions, 1.33M </w:t>
      </w:r>
      <w:r w:rsidRPr="3C64A93E" w:rsidR="5792659E">
        <w:rPr>
          <w:rFonts w:ascii="Aptos" w:hAnsi="Aptos" w:eastAsia="ＭＳ 明朝" w:cs="Aptos" w:eastAsiaTheme="minorEastAsia"/>
          <w:color w:val="26364D"/>
          <w:sz w:val="18"/>
          <w:szCs w:val="18"/>
        </w:rPr>
        <w:t>MT,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and $17.16M in calculated revenue.</w:t>
      </w:r>
    </w:p>
    <w:p xmlns:wp14="http://schemas.microsoft.com/office/word/2010/wordml" w14:paraId="50B1B2CD" wp14:textId="77777777">
      <w:pPr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18"/>
        </w:rPr>
        <w:t>Interpretation: The peak was supported by both transaction count and traded quantity rather than by price alone.</w:t>
      </w:r>
    </w:p>
    <w:p xmlns:wp14="http://schemas.microsoft.com/office/word/2010/wordml" w14:paraId="0BB887A2" wp14:textId="77777777">
      <w:pPr>
        <w:spacing w:before="80"/>
      </w:pPr>
      <w:r>
        <w:rPr>
          <w:rFonts w:ascii="Aptos" w:hAnsi="Aptos" w:eastAsia="ＭＳ 明朝" w:cs="Aptos" w:eastAsiaTheme="minorEastAsia" w:csTheme="minorBidi"/>
          <w:b/>
          <w:bCs/>
          <w:color w:val="18253A"/>
          <w:sz w:val="20"/>
          <w:szCs w:val="22"/>
        </w:rPr>
        <w:t>6. Price vs volume</w:t>
      </w:r>
    </w:p>
    <w:p xmlns:wp14="http://schemas.microsoft.com/office/word/2010/wordml" w14:paraId="5E0AC128" wp14:textId="77777777">
      <w:pPr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22"/>
        </w:rPr>
        <w:t>Finding: June 2024 recorded the highest monthly average price at $104.03/bbl, but only 0.33M MT of traded quantity and $4.70M in calculated revenue.</w:t>
      </w:r>
    </w:p>
    <w:p xmlns:wp14="http://schemas.microsoft.com/office/word/2010/wordml" w14:paraId="418BE690" wp14:textId="77777777">
      <w:pPr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22"/>
        </w:rPr>
        <w:t>Interpretation: A high average price alone does not guarantee high calculated revenue when traded quantity is low.</w:t>
      </w:r>
    </w:p>
    <w:p xmlns:wp14="http://schemas.microsoft.com/office/word/2010/wordml" w14:paraId="483A8ACB" wp14:textId="77777777">
      <w:pPr>
        <w:spacing w:before="140"/>
      </w:pPr>
      <w:r>
        <w:rPr>
          <w:rFonts w:ascii="Aptos Display" w:hAnsi="Aptos Display" w:eastAsia="ＭＳ 明朝" w:cs="Aptos Display" w:eastAsiaTheme="minorEastAsia" w:csTheme="minorBidi"/>
          <w:b/>
          <w:bCs/>
          <w:color w:val="18253A"/>
          <w:sz w:val="26"/>
          <w:szCs w:val="22"/>
        </w:rPr>
        <w:t>6. Power BI Dashboard</w:t>
      </w:r>
    </w:p>
    <w:p xmlns:wp14="http://schemas.microsoft.com/office/word/2010/wordml" w14:paraId="2EC405AF" wp14:textId="77777777">
      <w:pPr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22"/>
        </w:rPr>
        <w:t>The interactive Power BI dashboard consists of three pages designed to examine crude oil trading performance from executive, participant, regional and time-based perspectives.</w:t>
      </w:r>
    </w:p>
    <w:p xmlns:wp14="http://schemas.microsoft.com/office/word/2010/wordml" w14:paraId="1C5CA7FC" wp14:textId="77777777">
      <w:pPr>
        <w:keepNext/>
        <w:spacing w:before="100"/>
      </w:pPr>
      <w:r>
        <w:rPr>
          <w:rFonts w:ascii="Aptos" w:hAnsi="Aptos" w:eastAsia="ＭＳ 明朝" w:cs="Aptos" w:eastAsiaTheme="minorEastAsia" w:csTheme="minorBidi"/>
          <w:b/>
          <w:bCs/>
          <w:color w:val="26364D"/>
          <w:sz w:val="18"/>
          <w:szCs w:val="22"/>
        </w:rPr>
        <w:t>Page 1 — Executive Overview</w:t>
      </w:r>
    </w:p>
    <w:p xmlns:wp14="http://schemas.microsoft.com/office/word/2010/wordml" w14:paraId="5605B314" wp14:textId="516015DF">
      <w:pPr>
        <w:keepNext w:val="1"/>
        <w:spacing w:after="60"/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Presents total transactions, traded quantity, calculated </w:t>
      </w:r>
      <w:r w:rsidRPr="3C64A93E" w:rsidR="23151898">
        <w:rPr>
          <w:rFonts w:ascii="Aptos" w:hAnsi="Aptos" w:eastAsia="ＭＳ 明朝" w:cs="Aptos" w:eastAsiaTheme="minorEastAsia"/>
          <w:color w:val="26364D"/>
          <w:sz w:val="18"/>
          <w:szCs w:val="18"/>
        </w:rPr>
        <w:t>revenue,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and average price. It also highlights the monthly calculated-revenue trend, the top five buyers by traded quantity, and crude-type share by quantity. This page 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provides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 high-level view of trading performance.</w:t>
      </w:r>
    </w:p>
    <w:p xmlns:wp14="http://schemas.microsoft.com/office/word/2010/wordml" w14:paraId="2F4EEFEF" wp14:textId="77777777">
      <w:pPr>
        <w:keepNext/>
        <w:jc w:val="center"/>
      </w:pPr>
      <w:r>
        <w:rPr>
          <w:rFonts w:ascii="Aptos" w:hAnsi="Aptos" w:eastAsia="ＭＳ 明朝" w:cs="Aptos" w:eastAsiaTheme="minorEastAsia" w:csTheme="minorBidi"/>
          <w:i/>
          <w:iCs/>
          <w:color w:val="26364D"/>
          <w:sz w:val="18"/>
          <w:szCs w:val="22"/>
        </w:rPr>
        <w:t>Figure 1. Power BI Executive Overview.</w:t>
      </w:r>
    </w:p>
    <w:p xmlns:wp14="http://schemas.microsoft.com/office/word/2010/wordml" w14:paraId="705916A4" wp14:textId="77777777">
      <w:pPr>
        <w:keepNext w:val="0"/>
        <w:spacing w:before="40" w:after="100"/>
        <w:jc w:val="center"/>
      </w:pPr>
      <w:r>
        <w:drawing>
          <wp:inline xmlns:wp14="http://schemas.microsoft.com/office/word/2010/wordprocessingDrawing" distT="0" distB="0" distL="0" distR="0" wp14:anchorId="2F2F4C04" wp14:editId="7777777">
            <wp:extent cx="5619750" cy="3248025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94A0630" wp14:textId="77777777">
      <w:pPr>
        <w:keepNext/>
        <w:spacing w:before="100"/>
      </w:pPr>
      <w:r>
        <w:rPr>
          <w:rFonts w:ascii="Aptos" w:hAnsi="Aptos" w:eastAsia="ＭＳ 明朝" w:cs="Aptos" w:eastAsiaTheme="minorEastAsia" w:csTheme="minorBidi"/>
          <w:b/>
          <w:bCs/>
          <w:color w:val="26364D"/>
          <w:sz w:val="18"/>
          <w:szCs w:val="22"/>
        </w:rPr>
        <w:t>Page 2 — Buyer &amp; Supplier Performance</w:t>
      </w:r>
    </w:p>
    <w:p xmlns:wp14="http://schemas.microsoft.com/office/word/2010/wordml" w14:paraId="075B4F22" wp14:textId="4E3E21BC">
      <w:pPr>
        <w:keepNext w:val="1"/>
        <w:spacing w:after="60"/>
      </w:pPr>
      <w:r w:rsidRPr="3C64A93E" w:rsidR="7175A3B9">
        <w:rPr>
          <w:rFonts w:ascii="Aptos" w:hAnsi="Aptos" w:eastAsia="ＭＳ 明朝" w:cs="Aptos" w:eastAsiaTheme="minorEastAsia"/>
          <w:color w:val="26364D"/>
          <w:sz w:val="18"/>
          <w:szCs w:val="18"/>
        </w:rPr>
        <w:t>Compare</w:t>
      </w:r>
      <w:r w:rsidRPr="3C64A93E" w:rsidR="7175A3B9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buyers and suppliers using traded quantity and calculated revenue. Buyer, buyer-region, </w:t>
      </w:r>
      <w:r w:rsidRPr="3C64A93E" w:rsidR="7175A3B9">
        <w:rPr>
          <w:rFonts w:ascii="Aptos" w:hAnsi="Aptos" w:eastAsia="ＭＳ 明朝" w:cs="Aptos" w:eastAsiaTheme="minorEastAsia"/>
          <w:color w:val="26364D"/>
          <w:sz w:val="18"/>
          <w:szCs w:val="18"/>
        </w:rPr>
        <w:t>supplier</w:t>
      </w:r>
      <w:r w:rsidRPr="3C64A93E" w:rsidR="7175A3B9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and supplier-region slicers allow users to explore participant contributions and examine how trading activity is distributed across entities.</w:t>
      </w:r>
    </w:p>
    <w:p xmlns:wp14="http://schemas.microsoft.com/office/word/2010/wordml" w14:paraId="3623D6C5" wp14:textId="77777777">
      <w:pPr>
        <w:keepNext/>
        <w:jc w:val="center"/>
      </w:pPr>
      <w:r>
        <w:rPr>
          <w:rFonts w:ascii="Aptos" w:hAnsi="Aptos" w:eastAsia="ＭＳ 明朝" w:cs="Aptos" w:eastAsiaTheme="minorEastAsia" w:csTheme="minorBidi"/>
          <w:i/>
          <w:iCs/>
          <w:color w:val="26364D"/>
          <w:sz w:val="18"/>
          <w:szCs w:val="22"/>
        </w:rPr>
        <w:t>Figure 2. Buyer &amp; Supplier Performance.</w:t>
      </w:r>
    </w:p>
    <w:p xmlns:wp14="http://schemas.microsoft.com/office/word/2010/wordml" w14:paraId="420A0564" wp14:textId="77777777">
      <w:pPr>
        <w:keepNext w:val="0"/>
        <w:spacing w:before="40" w:after="100"/>
        <w:jc w:val="center"/>
      </w:pPr>
      <w:r>
        <w:drawing>
          <wp:inline xmlns:wp14="http://schemas.microsoft.com/office/word/2010/wordprocessingDrawing" distT="0" distB="0" distL="0" distR="0" wp14:anchorId="68C3E884" wp14:editId="7777777">
            <wp:extent cx="5619750" cy="3248025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929FFAD" wp14:textId="77777777">
      <w:pPr>
        <w:keepNext/>
        <w:spacing w:before="100"/>
      </w:pPr>
      <w:r>
        <w:rPr>
          <w:rFonts w:ascii="Aptos" w:hAnsi="Aptos" w:eastAsia="ＭＳ 明朝" w:cs="Aptos" w:eastAsiaTheme="minorEastAsia" w:csTheme="minorBidi"/>
          <w:b/>
          <w:bCs/>
          <w:color w:val="26364D"/>
          <w:sz w:val="18"/>
          <w:szCs w:val="22"/>
        </w:rPr>
        <w:t>Page 3 — Crude, Regional &amp; Trend Analysis</w:t>
      </w:r>
    </w:p>
    <w:p xmlns:wp14="http://schemas.microsoft.com/office/word/2010/wordml" w14:paraId="52A442D5" wp14:textId="77777777">
      <w:pPr>
        <w:keepNext/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22"/>
        </w:rPr>
        <w:t>Examines buyer- and supplier-region contributions, monthly traded quantity alongside average price, and crude-type performance. This page helps identify differences between quantity and revenue contribution, regional concentration, and changes in trading activity over time.</w:t>
      </w:r>
    </w:p>
    <w:p xmlns:wp14="http://schemas.microsoft.com/office/word/2010/wordml" w14:paraId="02989008" wp14:textId="61BAFC13">
      <w:pPr>
        <w:keepNext w:val="1"/>
        <w:jc w:val="center"/>
      </w:pPr>
      <w:r w:rsidRPr="3C64A93E" w:rsidR="3C64A93E">
        <w:rPr>
          <w:rFonts w:ascii="Aptos" w:hAnsi="Aptos" w:eastAsia="ＭＳ 明朝" w:cs="Aptos" w:eastAsiaTheme="minorEastAsia"/>
          <w:i w:val="1"/>
          <w:iCs w:val="1"/>
          <w:color w:val="26364D"/>
          <w:sz w:val="18"/>
          <w:szCs w:val="18"/>
        </w:rPr>
        <w:t xml:space="preserve">Figure 3. Crude, </w:t>
      </w:r>
      <w:r w:rsidRPr="3C64A93E" w:rsidR="3C64A93E">
        <w:rPr>
          <w:rFonts w:ascii="Aptos" w:hAnsi="Aptos" w:eastAsia="ＭＳ 明朝" w:cs="Aptos" w:eastAsiaTheme="minorEastAsia"/>
          <w:i w:val="1"/>
          <w:iCs w:val="1"/>
          <w:color w:val="26364D"/>
          <w:sz w:val="18"/>
          <w:szCs w:val="18"/>
        </w:rPr>
        <w:t>Regional,</w:t>
      </w:r>
      <w:r w:rsidRPr="3C64A93E" w:rsidR="3C64A93E">
        <w:rPr>
          <w:rFonts w:ascii="Aptos" w:hAnsi="Aptos" w:eastAsia="ＭＳ 明朝" w:cs="Aptos" w:eastAsiaTheme="minorEastAsia"/>
          <w:i w:val="1"/>
          <w:iCs w:val="1"/>
          <w:color w:val="26364D"/>
          <w:sz w:val="18"/>
          <w:szCs w:val="18"/>
        </w:rPr>
        <w:t xml:space="preserve"> </w:t>
      </w:r>
      <w:r w:rsidRPr="3C64A93E" w:rsidR="3C64A93E">
        <w:rPr>
          <w:rFonts w:ascii="Aptos" w:hAnsi="Aptos" w:eastAsia="ＭＳ 明朝" w:cs="Aptos" w:eastAsiaTheme="minorEastAsia"/>
          <w:i w:val="1"/>
          <w:iCs w:val="1"/>
          <w:color w:val="26364D"/>
          <w:sz w:val="18"/>
          <w:szCs w:val="18"/>
        </w:rPr>
        <w:t>&amp; Trend</w:t>
      </w:r>
      <w:r w:rsidRPr="3C64A93E" w:rsidR="3C64A93E">
        <w:rPr>
          <w:rFonts w:ascii="Aptos" w:hAnsi="Aptos" w:eastAsia="ＭＳ 明朝" w:cs="Aptos" w:eastAsiaTheme="minorEastAsia"/>
          <w:i w:val="1"/>
          <w:iCs w:val="1"/>
          <w:color w:val="26364D"/>
          <w:sz w:val="18"/>
          <w:szCs w:val="18"/>
        </w:rPr>
        <w:t xml:space="preserve"> Analysis.</w:t>
      </w:r>
    </w:p>
    <w:p xmlns:wp14="http://schemas.microsoft.com/office/word/2010/wordml" w14:paraId="1CAA08D8" wp14:textId="77777777">
      <w:pPr>
        <w:keepNext w:val="0"/>
        <w:spacing w:before="40" w:after="100"/>
        <w:jc w:val="center"/>
      </w:pPr>
      <w:r>
        <w:drawing>
          <wp:inline xmlns:wp14="http://schemas.microsoft.com/office/word/2010/wordprocessingDrawing" distT="0" distB="0" distL="0" distR="0" wp14:anchorId="4798C10B" wp14:editId="7777777">
            <wp:extent cx="5619750" cy="3248025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E40561B" wp14:textId="77777777">
      <w:pPr>
        <w:keepNext/>
      </w:pPr>
      <w:r>
        <w:rPr>
          <w:rFonts w:ascii="Aptos" w:hAnsi="Aptos" w:eastAsia="ＭＳ 明朝" w:cs="Aptos" w:eastAsiaTheme="minorEastAsia" w:csTheme="minorBidi"/>
          <w:b/>
          <w:bCs/>
          <w:color w:val="26364D"/>
          <w:sz w:val="18"/>
          <w:szCs w:val="22"/>
        </w:rPr>
        <w:t>Dashboard interpretation</w:t>
      </w:r>
    </w:p>
    <w:p xmlns:wp14="http://schemas.microsoft.com/office/word/2010/wordml" w14:paraId="5DE3860B" wp14:textId="77777777">
      <w:pPr>
        <w:spacing w:after="10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22"/>
        </w:rPr>
        <w:t>The dashboard compares traded quantity with calculated revenue and monthly quantity with average price so that performance is not judged using a single metric. Calculated revenue is a project-defined measure and should not be interpreted as profit.</w:t>
      </w:r>
    </w:p>
    <w:p xmlns:wp14="http://schemas.microsoft.com/office/word/2010/wordml" w14:paraId="3D717694" wp14:textId="77777777">
      <w:pPr>
        <w:spacing w:before="140"/>
      </w:pPr>
      <w:r>
        <w:rPr>
          <w:rFonts w:ascii="Aptos Display" w:hAnsi="Aptos Display" w:eastAsia="ＭＳ 明朝" w:cs="Aptos Display" w:eastAsiaTheme="minorEastAsia" w:csTheme="minorBidi"/>
          <w:b/>
          <w:bCs/>
          <w:color w:val="18253A"/>
          <w:sz w:val="26"/>
          <w:szCs w:val="22"/>
        </w:rPr>
        <w:t>7. Business Recommendations</w:t>
      </w:r>
    </w:p>
    <w:p xmlns:wp14="http://schemas.microsoft.com/office/word/2010/wordml" w14:paraId="55BC8386" wp14:textId="77777777">
      <w:pPr>
        <w:spacing w:before="80"/>
      </w:pPr>
      <w:r>
        <w:rPr>
          <w:rFonts w:ascii="Aptos" w:hAnsi="Aptos" w:eastAsia="ＭＳ 明朝" w:cs="Aptos" w:eastAsiaTheme="minorEastAsia" w:csTheme="minorBidi"/>
          <w:b/>
          <w:bCs/>
          <w:color w:val="18253A"/>
          <w:sz w:val="20"/>
          <w:szCs w:val="22"/>
        </w:rPr>
        <w:t>1. Manage participant concentration</w:t>
      </w:r>
    </w:p>
    <w:p xmlns:wp14="http://schemas.microsoft.com/office/word/2010/wordml" w14:paraId="62BFE2D5" wp14:textId="77777777">
      <w:pPr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18"/>
        </w:rPr>
        <w:t>Strengthen relationships with high-contribution buyers and suppliers while maintaining alternatives to avoid excessive dependence on a limited group of participants.</w:t>
      </w:r>
    </w:p>
    <w:p xmlns:wp14="http://schemas.microsoft.com/office/word/2010/wordml" w14:paraId="4E0FA2BF" wp14:textId="77777777">
      <w:pPr>
        <w:spacing w:before="80"/>
      </w:pPr>
      <w:r>
        <w:rPr>
          <w:rFonts w:ascii="Aptos" w:hAnsi="Aptos" w:eastAsia="ＭＳ 明朝" w:cs="Aptos" w:eastAsiaTheme="minorEastAsia" w:csTheme="minorBidi"/>
          <w:b/>
          <w:bCs/>
          <w:color w:val="18253A"/>
          <w:sz w:val="20"/>
          <w:szCs w:val="22"/>
        </w:rPr>
        <w:t>2. Evaluate crude mix using multiple metrics</w:t>
      </w:r>
    </w:p>
    <w:p xmlns:wp14="http://schemas.microsoft.com/office/word/2010/wordml" w14:paraId="7544D975" wp14:textId="77777777">
      <w:pPr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22"/>
        </w:rPr>
        <w:t>Compare crude types using traded quantity, calculated revenue and average price together rather than relying on traded quantity alone.</w:t>
      </w:r>
    </w:p>
    <w:p xmlns:wp14="http://schemas.microsoft.com/office/word/2010/wordml" w14:paraId="07792B20" wp14:textId="77777777">
      <w:pPr>
        <w:spacing w:before="80"/>
      </w:pPr>
      <w:r>
        <w:rPr>
          <w:rFonts w:ascii="Aptos" w:hAnsi="Aptos" w:eastAsia="ＭＳ 明朝" w:cs="Aptos" w:eastAsiaTheme="minorEastAsia" w:csTheme="minorBidi"/>
          <w:b/>
          <w:bCs/>
          <w:color w:val="18253A"/>
          <w:sz w:val="20"/>
          <w:szCs w:val="22"/>
        </w:rPr>
        <w:t>3. Monitor geographic concentration</w:t>
      </w:r>
    </w:p>
    <w:p xmlns:wp14="http://schemas.microsoft.com/office/word/2010/wordml" w14:paraId="555FAFCD" wp14:textId="77777777">
      <w:pPr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18"/>
        </w:rPr>
        <w:t>Maintain supplier-region diversification while evaluating opportunities to broaden the buyer market beyond the highly concentrated Indian market.</w:t>
      </w:r>
    </w:p>
    <w:p xmlns:wp14="http://schemas.microsoft.com/office/word/2010/wordml" w14:paraId="7E2E11C8" wp14:textId="77777777">
      <w:pPr>
        <w:spacing w:before="80"/>
      </w:pPr>
      <w:r>
        <w:rPr>
          <w:rFonts w:ascii="Aptos" w:hAnsi="Aptos" w:eastAsia="ＭＳ 明朝" w:cs="Aptos" w:eastAsiaTheme="minorEastAsia" w:csTheme="minorBidi"/>
          <w:b/>
          <w:bCs/>
          <w:color w:val="26364D"/>
          <w:sz w:val="20"/>
          <w:szCs w:val="20"/>
        </w:rPr>
        <w:t>4. Track price and quantity jointly</w:t>
      </w:r>
    </w:p>
    <w:p xmlns:wp14="http://schemas.microsoft.com/office/word/2010/wordml" w14:paraId="3E469BEB" wp14:textId="77777777">
      <w:pPr>
        <w:spacing w:after="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22"/>
        </w:rPr>
        <w:t>Monitor average price alongside traded quantity because high pricing does not necessarily translate into high calculated revenue when trading activity is low.</w:t>
      </w:r>
    </w:p>
    <w:p xmlns:wp14="http://schemas.microsoft.com/office/word/2010/wordml" w14:paraId="5BE735E9" wp14:textId="77777777">
      <w:pPr>
        <w:spacing w:before="140"/>
      </w:pPr>
      <w:r>
        <w:rPr>
          <w:rFonts w:ascii="Aptos Display" w:hAnsi="Aptos Display" w:eastAsia="ＭＳ 明朝" w:cs="Aptos Display" w:eastAsiaTheme="minorEastAsia" w:csTheme="minorBidi"/>
          <w:b/>
          <w:bCs/>
          <w:color w:val="18253A"/>
          <w:sz w:val="26"/>
          <w:szCs w:val="22"/>
        </w:rPr>
        <w:t>8. Constraints, Assumptions &amp; Limitations</w:t>
      </w:r>
    </w:p>
    <w:p xmlns:wp14="http://schemas.microsoft.com/office/word/2010/wordml" w14:paraId="2F829A28" wp14:textId="77777777">
      <w:pPr>
        <w:pStyle w:val="ListBullet"/>
        <w:spacing w:after="20"/>
        <w:ind w:left="259" w:hanging="3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18"/>
        </w:rPr>
        <w:t>The analysis covers January 2023 to August 2024 and is based on 200 transactions.</w:t>
      </w:r>
    </w:p>
    <w:p xmlns:wp14="http://schemas.microsoft.com/office/word/2010/wordml" w14:paraId="3D6FDF51" wp14:textId="2E805031">
      <w:pPr>
        <w:pStyle w:val="ListBullet"/>
        <w:spacing w:after="20"/>
        <w:ind w:left="259" w:hanging="360"/>
        <w:rPr/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Revenue is a project-defined calculated metric using quantity, price per 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barrel,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and a 7.33 conversion factor.</w:t>
      </w:r>
    </w:p>
    <w:p xmlns:wp14="http://schemas.microsoft.com/office/word/2010/wordml" w14:paraId="7A6EA91D" wp14:textId="77777777">
      <w:pPr>
        <w:pStyle w:val="ListBullet"/>
        <w:spacing w:after="20"/>
        <w:ind w:left="259" w:hanging="3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18"/>
        </w:rPr>
        <w:t>The dataset does not contain operating costs, transportation costs, procurement costs, profit margins, contract terms, lead times or supplier quality measures.</w:t>
      </w:r>
    </w:p>
    <w:p xmlns:wp14="http://schemas.microsoft.com/office/word/2010/wordml" w14:paraId="2540B852" wp14:textId="77777777">
      <w:pPr>
        <w:pStyle w:val="ListBullet"/>
        <w:spacing w:after="20"/>
        <w:ind w:left="259" w:hanging="3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18"/>
        </w:rPr>
        <w:t>The analysis therefore evaluates trading activity, calculated revenue, quantity, pricing, participant contribution, regional distribution and trends—not profitability or operational efficiency.</w:t>
      </w:r>
    </w:p>
    <w:p xmlns:wp14="http://schemas.microsoft.com/office/word/2010/wordml" w14:paraId="1A1997FE" wp14:textId="77777777">
      <w:pPr>
        <w:pStyle w:val="ListBullet"/>
        <w:spacing w:after="20"/>
        <w:ind w:left="259" w:hanging="360"/>
      </w:pPr>
      <w:r>
        <w:rPr>
          <w:rFonts w:ascii="Aptos" w:hAnsi="Aptos" w:eastAsia="ＭＳ 明朝" w:cs="Aptos" w:eastAsiaTheme="minorEastAsia" w:csTheme="minorBidi"/>
          <w:color w:val="26364D"/>
          <w:sz w:val="18"/>
          <w:szCs w:val="18"/>
        </w:rPr>
        <w:t>Recommendations are limited to patterns directly supported by the available data.</w:t>
      </w:r>
    </w:p>
    <w:p xmlns:wp14="http://schemas.microsoft.com/office/word/2010/wordml" w14:paraId="27827833" wp14:textId="77777777">
      <w:pPr>
        <w:spacing w:before="140"/>
      </w:pPr>
      <w:r>
        <w:rPr>
          <w:rFonts w:ascii="Aptos Display" w:hAnsi="Aptos Display" w:eastAsia="ＭＳ 明朝" w:cs="Aptos Display" w:eastAsiaTheme="minorEastAsia" w:csTheme="minorBidi"/>
          <w:b/>
          <w:bCs/>
          <w:color w:val="18253A"/>
          <w:sz w:val="26"/>
          <w:szCs w:val="22"/>
        </w:rPr>
        <w:t>9. Conclusion</w:t>
      </w:r>
    </w:p>
    <w:p xmlns:wp14="http://schemas.microsoft.com/office/word/2010/wordml" w14:paraId="0EE89D80" wp14:textId="4216442C">
      <w:pPr>
        <w:spacing w:after="60"/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The analysis 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provides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 transaction-level view of crude oil trading performance across participants, crude types, 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regions,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and time. The strongest patterns are the concentration of activity among leading buyers and suppliers, the difference between traded-quantity leadership and calculated-revenue leadership across crude types, stronger geographic concentration on the buyer side, and the importance of considering price and quantity together. The dashboard and SQL analysis therefore support business-oriented interpretation of trading activity while 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remaining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appropriately limited to the fields available in the dataset.</w:t>
      </w:r>
    </w:p>
    <w:p xmlns:wp14="http://schemas.microsoft.com/office/word/2010/wordml" w14:paraId="51D32113" wp14:textId="77777777">
      <w:pPr>
        <w:spacing w:before="140"/>
      </w:pPr>
      <w:r>
        <w:rPr>
          <w:rFonts w:ascii="Aptos Display" w:hAnsi="Aptos Display" w:eastAsia="ＭＳ 明朝" w:cs="Aptos Display" w:eastAsiaTheme="minorEastAsia" w:csTheme="minorBidi"/>
          <w:b/>
          <w:bCs/>
          <w:color w:val="18253A"/>
          <w:sz w:val="26"/>
          <w:szCs w:val="22"/>
        </w:rPr>
        <w:t>10. Technology Used &amp; Portfolio Note</w:t>
      </w:r>
    </w:p>
    <w:tbl>
      <w:tblPr>
        <w:tblStyle w:val="TableGrid"/>
        <w:tblW w:w="0" w:type="auto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84"/>
        <w:gridCol w:w="5184"/>
      </w:tblGrid>
      <w:tr xmlns:wp14="http://schemas.microsoft.com/office/word/2010/wordml" w14:paraId="15238444" wp14:textId="77777777"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DDE5E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D0776B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26364D"/>
                <w:sz w:val="16"/>
                <w:szCs w:val="22"/>
              </w:rPr>
              <w:t>Technology</w:t>
            </w:r>
          </w:p>
        </w:tc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DDE5E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4F6710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26364D"/>
                <w:sz w:val="16"/>
                <w:szCs w:val="22"/>
              </w:rPr>
              <w:t>Purpose</w:t>
            </w:r>
          </w:p>
        </w:tc>
      </w:tr>
      <w:tr xmlns:wp14="http://schemas.microsoft.com/office/word/2010/wordml" w14:paraId="1C5875FD" wp14:textId="77777777"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5E52BF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MySQL</w:t>
            </w:r>
          </w:p>
        </w:tc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8A77B7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Data preparation, joins and business-question analysis</w:t>
            </w:r>
          </w:p>
        </w:tc>
      </w:tr>
      <w:tr xmlns:wp14="http://schemas.microsoft.com/office/word/2010/wordml" w14:paraId="038BE20C" wp14:textId="77777777"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2A66FC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Power BI</w:t>
            </w:r>
          </w:p>
        </w:tc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5F7F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3947BE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Interactive dashboard, KPI reporting and visual analysis</w:t>
            </w:r>
          </w:p>
        </w:tc>
      </w:tr>
      <w:tr xmlns:wp14="http://schemas.microsoft.com/office/word/2010/wordml" w14:paraId="211E3F9F" wp14:textId="77777777"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E99F51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DAX</w:t>
            </w:r>
          </w:p>
        </w:tc>
        <w:tc>
          <w:tcPr>
            <w:tcW w:w="5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0DD56F" wp14:textId="77777777">
            <w:pPr>
              <w:spacing w:after="200" w:line="276" w:lineRule="auto"/>
            </w:pPr>
            <w:r/>
            <w:r>
              <w:rPr>
                <w:rFonts w:ascii="Aptos" w:hAnsi="Aptos" w:eastAsia="ＭＳ 明朝" w:cs="Aptos" w:eastAsiaTheme="minorEastAsia" w:csTheme="minorBidi"/>
                <w:color w:val="26364D"/>
                <w:sz w:val="16"/>
                <w:szCs w:val="22"/>
              </w:rPr>
              <w:t>Calculated measures for quantity, revenue, transactions and average price</w:t>
            </w:r>
          </w:p>
        </w:tc>
      </w:tr>
    </w:tbl>
    <w:p xmlns:wp14="http://schemas.microsoft.com/office/word/2010/wordml" w14:paraId="50703FB4" wp14:textId="7CE9B75E">
      <w:pPr>
        <w:spacing w:after="60"/>
      </w:pP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Portfolio Note: This project is a portfolio adaptation focused on 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demonstrating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SQL data preparation and analysis, Power BI dashboard development, DAX-based KPI 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>calculation,</w:t>
      </w:r>
      <w:r w:rsidRPr="3C64A93E" w:rsidR="3C64A93E">
        <w:rPr>
          <w:rFonts w:ascii="Aptos" w:hAnsi="Aptos" w:eastAsia="ＭＳ 明朝" w:cs="Aptos" w:eastAsiaTheme="minorEastAsia"/>
          <w:color w:val="26364D"/>
          <w:sz w:val="18"/>
          <w:szCs w:val="18"/>
        </w:rPr>
        <w:t xml:space="preserve"> and business insight generation. The calculated revenue metric and conclusions are specific to the supplied project dataset.</w:t>
      </w:r>
    </w:p>
    <w:sectPr>
      <w:pgSz w:w="12240" w:h="15840" w:orient="portrait"/>
      <w:pgMar w:top="792" w:right="936" w:bottom="792" w:left="936" w:header="720" w:footer="720" w:gutter="0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a061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3D1C"/>
    <w:rsid w:val="00AA1D8D"/>
    <w:rsid w:val="00B47730"/>
    <w:rsid w:val="00CB0664"/>
    <w:rsid w:val="00FC693F"/>
    <w:rsid w:val="088D34F6"/>
    <w:rsid w:val="0E68289E"/>
    <w:rsid w:val="17EB54ED"/>
    <w:rsid w:val="17EC5878"/>
    <w:rsid w:val="17EC5878"/>
    <w:rsid w:val="1973BB99"/>
    <w:rsid w:val="21C32DF3"/>
    <w:rsid w:val="23151898"/>
    <w:rsid w:val="282D68D9"/>
    <w:rsid w:val="28A8A3FF"/>
    <w:rsid w:val="33BAB4C1"/>
    <w:rsid w:val="3BF45000"/>
    <w:rsid w:val="3C64A93E"/>
    <w:rsid w:val="3D068035"/>
    <w:rsid w:val="48609E02"/>
    <w:rsid w:val="5792659E"/>
    <w:rsid w:val="591CEB7C"/>
    <w:rsid w:val="7175A3B9"/>
    <w:rsid w:val="72E4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7673575-D573-481A-9BD3-3DE13073F0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color w:val="2636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5.png" Id="rId13" /><Relationship Type="http://schemas.openxmlformats.org/officeDocument/2006/relationships/image" Target="media/image6.png" Id="rId14" /><Relationship Type="http://schemas.openxmlformats.org/officeDocument/2006/relationships/image" Target="media/image7.png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Agamya R Jain</lastModifiedBy>
  <revision>2</revision>
  <dcterms:created xsi:type="dcterms:W3CDTF">2013-12-23T23:15:00.0000000Z</dcterms:created>
  <dcterms:modified xsi:type="dcterms:W3CDTF">2026-10-09T11:16:55.8422786Z</dcterms:modified>
  <category/>
</coreProperties>
</file>