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rPr>
          <w:rFonts w:ascii="Arial" w:cs="Arial" w:eastAsia="Arial" w:hAnsi="Arial"/>
          <w:sz w:val="22"/>
          <w:szCs w:val="22"/>
        </w:rPr>
        <w:t xml:space="preserve"/>
      </w:r>
    </w:p>
    <w:p>
      <w:pPr>
        <w:spacing w:after="0" w:before="0"/>
        <w:jc w:val="center"/>
      </w:pPr>
      <w:r>
        <w:rPr>
          <w:rFonts w:ascii="Arial" w:cs="Arial" w:eastAsia="Arial" w:hAnsi="Arial"/>
          <w:b/>
          <w:bCs/>
          <w:color w:val="C0392B"/>
          <w:sz w:val="120"/>
          <w:szCs w:val="120"/>
        </w:rPr>
        <w:t xml:space="preserve">JAPAN</w:t>
      </w:r>
    </w:p>
    <w:p>
      <w:pPr>
        <w:spacing w:after="60" w:before="0"/>
        <w:jc w:val="center"/>
      </w:pPr>
      <w:r>
        <w:rPr>
          <w:rFonts w:ascii="Arial" w:cs="Arial" w:eastAsia="Arial" w:hAnsi="Arial"/>
          <w:b/>
          <w:bCs/>
          <w:color w:val="2C2C2C"/>
          <w:sz w:val="32"/>
          <w:szCs w:val="32"/>
        </w:rPr>
        <w:t xml:space="preserve">THE RISING SUN IN A TURBULENT WORLD</w:t>
      </w:r>
    </w:p>
    <w:p>
      <w:pPr>
        <w:spacing w:after="360" w:before="0"/>
        <w:jc w:val="center"/>
      </w:pPr>
      <w:r>
        <w:rPr>
          <w:rFonts w:ascii="Arial" w:cs="Arial" w:eastAsia="Arial" w:hAnsi="Arial"/>
          <w:color w:val="C0392B"/>
          <w:sz w:val="36"/>
          <w:szCs w:val="36"/>
        </w:rPr>
        <w:t xml:space="preserve">— 日本 —</w:t>
      </w:r>
    </w:p>
    <w:p>
      <w:pPr>
        <w:spacing w:after="600" w:before="0"/>
        <w:jc w:val="center"/>
      </w:pPr>
      <w:r>
        <w:rPr>
          <w:rFonts w:ascii="Arial" w:cs="Arial" w:eastAsia="Arial" w:hAnsi="Arial"/>
          <w:i/>
          <w:iCs/>
          <w:color w:val="555555"/>
          <w:sz w:val="22"/>
          <w:szCs w:val="22"/>
        </w:rPr>
        <w:t xml:space="preserve">A comprehensive intelligence briefing on Japan’s geopolitics, economy, culture, and global standing — May 2026</w:t>
      </w:r>
    </w:p>
    <w:p>
      <w:pPr>
        <w:pBdr>
          <w:bottom w:val="single" w:color="C0392B" w:sz="12" w:space="1"/>
        </w:pBdr>
        <w:spacing w:after="200" w:before="0"/>
      </w:pPr>
    </w:p>
    <w:p>
      <w:pPr>
        <w:spacing w:after="120" w:before="240"/>
        <w:jc w:val="center"/>
      </w:pPr>
      <w:r>
        <w:rPr>
          <w:rFonts w:ascii="Arial" w:cs="Arial" w:eastAsia="Arial" w:hAnsi="Arial"/>
          <w:b/>
          <w:bCs/>
          <w:color w:val="2C2C2C"/>
          <w:sz w:val="24"/>
          <w:szCs w:val="24"/>
        </w:rPr>
        <w:t xml:space="preserve">CONTENTS AT A GLANCE</w:t>
      </w:r>
    </w:p>
    <w:p>
      <w:pPr>
        <w:spacing w:after="30" w:before="60"/>
      </w:pPr>
      <w:r>
        <w:rPr>
          <w:rFonts w:ascii="Arial" w:cs="Arial" w:eastAsia="Arial" w:hAnsi="Arial"/>
          <w:color w:val="555555"/>
          <w:sz w:val="22"/>
          <w:szCs w:val="22"/>
        </w:rPr>
        <w:t xml:space="preserve">I.   THE IRON CHRYSANTHEMUM — A Nation Reinventing Its Defense</w:t>
      </w:r>
    </w:p>
    <w:p>
      <w:pPr>
        <w:spacing w:after="30" w:before="60"/>
      </w:pPr>
      <w:r>
        <w:rPr>
          <w:rFonts w:ascii="Arial" w:cs="Arial" w:eastAsia="Arial" w:hAnsi="Arial"/>
          <w:color w:val="555555"/>
          <w:sz w:val="22"/>
          <w:szCs w:val="22"/>
        </w:rPr>
        <w:t xml:space="preserve">II.  THE COLD FRONT — Japan vs. China’s Deep Freeze</w:t>
      </w:r>
    </w:p>
    <w:p>
      <w:pPr>
        <w:spacing w:after="30" w:before="60"/>
      </w:pPr>
      <w:r>
        <w:rPr>
          <w:rFonts w:ascii="Arial" w:cs="Arial" w:eastAsia="Arial" w:hAnsi="Arial"/>
          <w:color w:val="555555"/>
          <w:sz w:val="22"/>
          <w:szCs w:val="22"/>
        </w:rPr>
        <w:t xml:space="preserve">III. THE GOLDEN ALLIANCE — Japan &amp; the US in 2026</w:t>
      </w:r>
    </w:p>
    <w:p>
      <w:pPr>
        <w:spacing w:after="30" w:before="60"/>
      </w:pPr>
      <w:r>
        <w:rPr>
          <w:rFonts w:ascii="Arial" w:cs="Arial" w:eastAsia="Arial" w:hAnsi="Arial"/>
          <w:color w:val="555555"/>
          <w:sz w:val="22"/>
          <w:szCs w:val="22"/>
        </w:rPr>
        <w:t xml:space="preserve">IV.  THE ECONOMIC TIGHTROPE — Yen, Inflation &amp; Debt</w:t>
      </w:r>
    </w:p>
    <w:p>
      <w:pPr>
        <w:spacing w:after="30" w:before="60"/>
      </w:pPr>
      <w:r>
        <w:rPr>
          <w:rFonts w:ascii="Arial" w:cs="Arial" w:eastAsia="Arial" w:hAnsi="Arial"/>
          <w:color w:val="555555"/>
          <w:sz w:val="22"/>
          <w:szCs w:val="22"/>
        </w:rPr>
        <w:t xml:space="preserve">V.   THE SOUL OF JAPAN — Culture, Trends &amp; Identity</w:t>
      </w:r>
    </w:p>
    <w:p>
      <w:pPr>
        <w:spacing w:after="30" w:before="60"/>
      </w:pPr>
      <w:r>
        <w:rPr>
          <w:rFonts w:ascii="Arial" w:cs="Arial" w:eastAsia="Arial" w:hAnsi="Arial"/>
          <w:color w:val="555555"/>
          <w:sz w:val="22"/>
          <w:szCs w:val="22"/>
        </w:rPr>
        <w:t xml:space="preserve">VI.  JAPAN'S WORLD — Tourism, Tech &amp; Tomorrow</w:t>
      </w:r>
    </w:p>
    <w:p>
      <w:pPr>
        <w:spacing w:after="30" w:before="60"/>
      </w:pPr>
      <w:r>
        <w:rPr>
          <w:rFonts w:ascii="Arial" w:cs="Arial" w:eastAsia="Arial" w:hAnsi="Arial"/>
          <w:color w:val="555555"/>
          <w:sz w:val="22"/>
          <w:szCs w:val="22"/>
        </w:rPr>
        <w:t xml:space="preserve">VII. THE VERDICT — What the World Must Watch</w:t>
      </w:r>
    </w:p>
    <w:p>
      <w:pPr>
        <w:spacing w:after="0" w:before="0"/>
      </w:pPr>
      <w:r>
        <w:br w:type="page"/>
      </w:r>
    </w:p>
    <w:p>
      <w:pPr>
        <w:pStyle w:val="Heading1"/>
        <w:shd w:fill="F2F2F2" w:val="clear"/>
        <w:spacing w:after="120" w:before="480"/>
      </w:pPr>
      <w:r>
        <w:rPr>
          <w:rFonts w:ascii="Arial" w:cs="Arial" w:eastAsia="Arial" w:hAnsi="Arial"/>
          <w:b/>
          <w:bCs/>
          <w:color w:val="C0392B"/>
          <w:sz w:val="40"/>
          <w:szCs w:val="40"/>
        </w:rPr>
        <w:t xml:space="preserve">I. THE IRON CHRYSANTHEMUM</w:t>
      </w:r>
    </w:p>
    <w:p>
      <w:pPr>
        <w:spacing w:after="200" w:before="0"/>
      </w:pPr>
      <w:r>
        <w:rPr>
          <w:rFonts w:ascii="Arial" w:cs="Arial" w:eastAsia="Arial" w:hAnsi="Arial"/>
          <w:b/>
          <w:bCs/>
          <w:i/>
          <w:iCs/>
          <w:color w:val="922B21"/>
          <w:sz w:val="26"/>
          <w:szCs w:val="26"/>
        </w:rPr>
        <w:t xml:space="preserve">A Nation Shedding Its Pacifist Skin</w:t>
      </w:r>
    </w:p>
    <w:p>
      <w:pPr>
        <w:pBdr>
          <w:bottom w:val="single" w:color="C0392B" w:sz="12" w:space="1"/>
        </w:pBdr>
        <w:spacing w:after="200" w:before="0"/>
      </w:pPr>
    </w:p>
    <w:p>
      <w:pPr>
        <w:spacing w:after="80" w:before="80"/>
        <w:jc w:val="both"/>
      </w:pPr>
      <w:r>
        <w:rPr>
          <w:rFonts w:ascii="Arial" w:cs="Arial" w:eastAsia="Arial" w:hAnsi="Arial"/>
          <w:color w:val="555555"/>
          <w:sz w:val="22"/>
          <w:szCs w:val="22"/>
        </w:rPr>
        <w:t xml:space="preserve">For 80 years, Japan wore pacifism like a second skin — written into its constitution, embedded in its identity. Article 9 of the 1947 Constitution renounced war as a tool of statecraft. Japan looked away from conflict, channeling its formidable energies into economic conquest instead. But something has shifted. Dramatically. Irreversibly.</w:t>
      </w:r>
    </w:p>
    <w:p>
      <w:pPr>
        <w:spacing w:after="80" w:before="80"/>
        <w:jc w:val="both"/>
      </w:pPr>
      <w:r>
        <w:rPr>
          <w:rFonts w:ascii="Arial" w:cs="Arial" w:eastAsia="Arial" w:hAnsi="Arial"/>
          <w:color w:val="555555"/>
          <w:sz w:val="22"/>
          <w:szCs w:val="22"/>
        </w:rPr>
        <w:t xml:space="preserve">Enter Prime Minister Sanae Takaichi — the first female Prime Minister of Japan, elected in October 2025. She wasted no time. Within days of her historic election, Takaichi stood before US President Trump and pledged a “new golden age” of the Japan-US alliance. Then she made a declaration that stunned the Asia-Pacific: Japan would hit 2% of GDP in defense spending — two years ahead of schedule.</w:t>
      </w:r>
    </w:p>
    <w:p>
      <w:pPr>
        <w:pBdr>
          <w:left w:val="thick" w:color="C0392B" w:sz="12" w:space="12"/>
          <w:right w:val="thick" w:color="C0392B" w:sz="12" w:space="12"/>
        </w:pBdr>
        <w:spacing w:after="240" w:before="240"/>
        <w:ind w:left="720" w:right="720"/>
        <w:jc w:val="center"/>
      </w:pPr>
      <w:r>
        <w:rPr>
          <w:rFonts w:ascii="Arial" w:cs="Arial" w:eastAsia="Arial" w:hAnsi="Arial"/>
          <w:b/>
          <w:bCs/>
          <w:i/>
          <w:iCs/>
          <w:color w:val="C0392B"/>
          <w:sz w:val="26"/>
          <w:szCs w:val="26"/>
        </w:rPr>
        <w:t xml:space="preserve">“Japan faces the most severe and complex security environment since World War II.”</w:t>
      </w:r>
    </w:p>
    <w:p>
      <w:pPr>
        <w:spacing w:after="80" w:before="80"/>
        <w:jc w:val="both"/>
      </w:pPr>
      <w:r>
        <w:rPr>
          <w:rFonts w:ascii="Arial" w:cs="Arial" w:eastAsia="Arial" w:hAnsi="Arial"/>
          <w:color w:val="555555"/>
          <w:sz w:val="22"/>
          <w:szCs w:val="22"/>
        </w:rPr>
        <w:t xml:space="preserve">That quote, from former METI chief Yasutoshi Nishimura at a Hudson Institute event on May 6, 2026, captures the national mood. The threats are real: a rearmed China eyeing Taiwan, a nuclear North Korea, and a Russia whose war in Ukraine has shattered the myth of a rules-based global order.</w:t>
      </w:r>
    </w:p>
    <w:p>
      <w:pPr>
        <w:pStyle w:val="Heading2"/>
        <w:spacing w:after="100" w:before="300"/>
      </w:pPr>
      <w:r>
        <w:rPr>
          <w:rFonts w:ascii="Arial" w:cs="Arial" w:eastAsia="Arial" w:hAnsi="Arial"/>
          <w:b/>
          <w:bCs/>
          <w:color w:val="2C2C2C"/>
          <w:sz w:val="28"/>
          <w:szCs w:val="28"/>
        </w:rPr>
        <w:t xml:space="preserve">The Great Arms Pivot</w:t>
      </w:r>
    </w:p>
    <w:p>
      <w:pPr>
        <w:spacing w:after="80" w:before="80"/>
        <w:jc w:val="both"/>
      </w:pPr>
      <w:r>
        <w:rPr>
          <w:rFonts w:ascii="Arial" w:cs="Arial" w:eastAsia="Arial" w:hAnsi="Arial"/>
          <w:color w:val="555555"/>
          <w:sz w:val="22"/>
          <w:szCs w:val="22"/>
        </w:rPr>
        <w:t xml:space="preserve">Japan has now done what would have been unthinkable even five years ago: it has begun exporting lethal weapons. The revision of Japan’s Three Principles on Transfer of Defense Equipment — once a near-sacred limitation — has opened the door to destroyers, missiles, and advanced military technology flowing to allied nations.</w:t>
      </w:r>
    </w:p>
    <w:p>
      <w:pPr>
        <w:pStyle w:val="ListParagraph"/>
        <w:numPr>
          <w:ilvl w:val="0"/>
          <w:numId w:val="2"/>
        </w:numPr>
        <w:spacing w:after="60" w:before="60"/>
      </w:pPr>
      <w:r>
        <w:rPr>
          <w:rFonts w:ascii="Arial" w:cs="Arial" w:eastAsia="Arial" w:hAnsi="Arial"/>
          <w:color w:val="555555"/>
          <w:sz w:val="22"/>
          <w:szCs w:val="22"/>
        </w:rPr>
        <w:t xml:space="preserve">Indonesia and Japan signed a landmark military cooperation deal on May 4, 2026, covering joint exercises and future weapons purchases.</w:t>
      </w:r>
    </w:p>
    <w:p>
      <w:pPr>
        <w:pStyle w:val="ListParagraph"/>
        <w:numPr>
          <w:ilvl w:val="0"/>
          <w:numId w:val="2"/>
        </w:numPr>
        <w:spacing w:after="60" w:before="60"/>
      </w:pPr>
      <w:r>
        <w:rPr>
          <w:rFonts w:ascii="Arial" w:cs="Arial" w:eastAsia="Arial" w:hAnsi="Arial"/>
          <w:color w:val="555555"/>
          <w:sz w:val="22"/>
          <w:szCs w:val="22"/>
        </w:rPr>
        <w:t xml:space="preserve">PM Takaichi is actively courting Vietnam and Australia as strategic defense partners.</w:t>
      </w:r>
    </w:p>
    <w:p>
      <w:pPr>
        <w:pStyle w:val="ListParagraph"/>
        <w:numPr>
          <w:ilvl w:val="0"/>
          <w:numId w:val="2"/>
        </w:numPr>
        <w:spacing w:after="60" w:before="60"/>
      </w:pPr>
      <w:r>
        <w:rPr>
          <w:rFonts w:ascii="Arial" w:cs="Arial" w:eastAsia="Arial" w:hAnsi="Arial"/>
          <w:color w:val="555555"/>
          <w:sz w:val="22"/>
          <w:szCs w:val="22"/>
        </w:rPr>
        <w:t xml:space="preserve">Japan’s new Joint Operations Command (JJOC) is being integrated with US Forces Japan in an unprecedented restructuring.</w:t>
      </w:r>
    </w:p>
    <w:p>
      <w:pPr>
        <w:pStyle w:val="ListParagraph"/>
        <w:numPr>
          <w:ilvl w:val="0"/>
          <w:numId w:val="2"/>
        </w:numPr>
        <w:spacing w:after="60" w:before="60"/>
      </w:pPr>
      <w:r>
        <w:rPr>
          <w:rFonts w:ascii="Arial" w:cs="Arial" w:eastAsia="Arial" w:hAnsi="Arial"/>
          <w:color w:val="555555"/>
          <w:sz w:val="22"/>
          <w:szCs w:val="22"/>
        </w:rPr>
        <w:t xml:space="preserve">Long-range missile capabilities are coming online in 2026 — a capability Japan has not possessed in the post-war era.</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none"/>
              <w:left w:val="none"/>
              <w:bottom w:val="none"/>
              <w:right w:val="none"/>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Defense GDP Target</w:t>
            </w:r>
          </w:p>
        </w:tc>
        <w:tc>
          <w:tcPr>
            <w:tcW w:type="dxa" w:w="4680"/>
            <w:tcBorders>
              <w:top w:val="none"/>
              <w:left w:val="none"/>
              <w:bottom w:val="none"/>
              <w:right w:val="none"/>
            </w:tcBorders>
            <w:shd w:fill="C0392B"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2% by 2026</w:t>
            </w:r>
          </w:p>
        </w:tc>
        <w:tc>
          <w:tcPr>
            <w:tcW w:type="dxa" w:w="2340"/>
            <w:tcBorders>
              <w:top w:val="none"/>
              <w:left w:val="none"/>
              <w:bottom w:val="none"/>
              <w:right w:val="none"/>
            </w:tcBorders>
            <w:shd w:fill="F2F2F2" w:val="clear"/>
            <w:tcMar>
              <w:top w:type="dxa" w:w="80"/>
              <w:left w:type="dxa" w:w="120"/>
              <w:bottom w:type="dxa" w:w="80"/>
              <w:right w:type="dxa" w:w="120"/>
            </w:tcMar>
          </w:tcPr>
          <w:p>
            <w:r>
              <w:rPr>
                <w:rFonts w:ascii="Arial" w:cs="Arial" w:eastAsia="Arial" w:hAnsi="Arial"/>
                <w:i/>
                <w:iCs/>
                <w:color w:val="555555"/>
                <w:sz w:val="18"/>
                <w:szCs w:val="18"/>
              </w:rPr>
              <w:t xml:space="preserve">2 years ahead of schedule</w:t>
            </w:r>
          </w:p>
        </w:tc>
      </w:tr>
    </w:tbl>
    <w:p>
      <w:pPr>
        <w:spacing w:after="0" w:before="120"/>
      </w:pPr>
    </w:p>
    <w:p>
      <w:pPr>
        <w:spacing w:after="80" w:before="80"/>
        <w:jc w:val="both"/>
      </w:pPr>
      <w:r>
        <w:rPr>
          <w:rFonts w:ascii="Arial" w:cs="Arial" w:eastAsia="Arial" w:hAnsi="Arial"/>
          <w:color w:val="555555"/>
          <w:sz w:val="22"/>
          <w:szCs w:val="22"/>
        </w:rPr>
        <w:t xml:space="preserve">The dissolution of the LDP’s long-standing coalition with the pacifist Komeito party — replaced by the more hawkish Nippon Ishin no Kai in autumn 2025 — removed the last major political brake on this transformation. Japan is, quietly but unmistakably, becoming a military power again.</w:t>
      </w:r>
    </w:p>
    <w:p>
      <w:pPr>
        <w:spacing w:after="0" w:before="0"/>
      </w:pPr>
      <w:r>
        <w:br w:type="page"/>
      </w:r>
    </w:p>
    <w:p>
      <w:pPr>
        <w:pStyle w:val="Heading1"/>
        <w:shd w:fill="F2F2F2" w:val="clear"/>
        <w:spacing w:after="120" w:before="480"/>
      </w:pPr>
      <w:r>
        <w:rPr>
          <w:rFonts w:ascii="Arial" w:cs="Arial" w:eastAsia="Arial" w:hAnsi="Arial"/>
          <w:b/>
          <w:bCs/>
          <w:color w:val="C0392B"/>
          <w:sz w:val="40"/>
          <w:szCs w:val="40"/>
        </w:rPr>
        <w:t xml:space="preserve">II. THE COLD FRONT</w:t>
      </w:r>
    </w:p>
    <w:p>
      <w:pPr>
        <w:spacing w:after="200" w:before="0"/>
      </w:pPr>
      <w:r>
        <w:rPr>
          <w:rFonts w:ascii="Arial" w:cs="Arial" w:eastAsia="Arial" w:hAnsi="Arial"/>
          <w:b/>
          <w:bCs/>
          <w:i/>
          <w:iCs/>
          <w:color w:val="922B21"/>
          <w:sz w:val="26"/>
          <w:szCs w:val="26"/>
        </w:rPr>
        <w:t xml:space="preserve">Japan vs. China: A Relationship in Deep Freeze</w:t>
      </w:r>
    </w:p>
    <w:p>
      <w:pPr>
        <w:pBdr>
          <w:bottom w:val="single" w:color="C0392B" w:sz="12" w:space="1"/>
        </w:pBdr>
        <w:spacing w:after="200" w:before="0"/>
      </w:pPr>
    </w:p>
    <w:p>
      <w:pPr>
        <w:spacing w:after="80" w:before="80"/>
        <w:jc w:val="both"/>
      </w:pPr>
      <w:r>
        <w:rPr>
          <w:rFonts w:ascii="Arial" w:cs="Arial" w:eastAsia="Arial" w:hAnsi="Arial"/>
          <w:color w:val="555555"/>
          <w:sz w:val="22"/>
          <w:szCs w:val="22"/>
        </w:rPr>
        <w:t xml:space="preserve">On a November day in 2025, Sanae Takaichi stood before Japan’s parliament and said something that Beijing had long feared: that a conflict in the Taiwan Strait could represent a ‘survival-threatening situation’ for Japan — potentially triggering collective self-defense. In plain language: Japan might come to Taiwan’s aid militarily.</w:t>
      </w:r>
    </w:p>
    <w:p>
      <w:pPr>
        <w:spacing w:after="80" w:before="80"/>
        <w:jc w:val="both"/>
      </w:pPr>
      <w:r>
        <w:rPr>
          <w:rFonts w:ascii="Arial" w:cs="Arial" w:eastAsia="Arial" w:hAnsi="Arial"/>
          <w:color w:val="555555"/>
          <w:sz w:val="22"/>
          <w:szCs w:val="22"/>
        </w:rPr>
        <w:t xml:space="preserve">China’s response was swift and sweeping. What followed was not a diplomatic spat. It was a systematic dismantling of one of the world’s most complex bilateral relationships.</w:t>
      </w:r>
    </w:p>
    <w:p>
      <w:pPr>
        <w:pStyle w:val="Heading2"/>
        <w:spacing w:after="100" w:before="300"/>
      </w:pPr>
      <w:r>
        <w:rPr>
          <w:rFonts w:ascii="Arial" w:cs="Arial" w:eastAsia="Arial" w:hAnsi="Arial"/>
          <w:b/>
          <w:bCs/>
          <w:color w:val="2C2C2C"/>
          <w:sz w:val="28"/>
          <w:szCs w:val="28"/>
        </w:rPr>
        <w:t xml:space="preserve">Beijing’s Punishment Playbook</w:t>
      </w:r>
    </w:p>
    <w:p>
      <w:pPr>
        <w:pStyle w:val="ListParagraph"/>
        <w:numPr>
          <w:ilvl w:val="0"/>
          <w:numId w:val="2"/>
        </w:numPr>
        <w:spacing w:after="60" w:before="60"/>
      </w:pPr>
      <w:r>
        <w:rPr>
          <w:rFonts w:ascii="Arial" w:cs="Arial" w:eastAsia="Arial" w:hAnsi="Arial"/>
          <w:color w:val="555555"/>
          <w:sz w:val="22"/>
          <w:szCs w:val="22"/>
        </w:rPr>
        <w:t xml:space="preserve">Travel advisories issued; Chinese citizens warned against visiting Japan.</w:t>
      </w:r>
    </w:p>
    <w:p>
      <w:pPr>
        <w:pStyle w:val="ListParagraph"/>
        <w:numPr>
          <w:ilvl w:val="0"/>
          <w:numId w:val="2"/>
        </w:numPr>
        <w:spacing w:after="60" w:before="60"/>
      </w:pPr>
      <w:r>
        <w:rPr>
          <w:rFonts w:ascii="Arial" w:cs="Arial" w:eastAsia="Arial" w:hAnsi="Arial"/>
          <w:color w:val="555555"/>
          <w:sz w:val="22"/>
          <w:szCs w:val="22"/>
        </w:rPr>
        <w:t xml:space="preserve">Seafood imports from Japan halted entirely.</w:t>
      </w:r>
    </w:p>
    <w:p>
      <w:pPr>
        <w:pStyle w:val="ListParagraph"/>
        <w:numPr>
          <w:ilvl w:val="0"/>
          <w:numId w:val="2"/>
        </w:numPr>
        <w:spacing w:after="60" w:before="60"/>
      </w:pPr>
      <w:r>
        <w:rPr>
          <w:rFonts w:ascii="Arial" w:cs="Arial" w:eastAsia="Arial" w:hAnsi="Arial"/>
          <w:color w:val="555555"/>
          <w:sz w:val="22"/>
          <w:szCs w:val="22"/>
        </w:rPr>
        <w:t xml:space="preserve">Rare earth and dual-use material exports to Japan restricted in 2026 — a chilling echo of the 2010 playbook.</w:t>
      </w:r>
    </w:p>
    <w:p>
      <w:pPr>
        <w:pStyle w:val="ListParagraph"/>
        <w:numPr>
          <w:ilvl w:val="0"/>
          <w:numId w:val="2"/>
        </w:numPr>
        <w:spacing w:after="60" w:before="60"/>
      </w:pPr>
      <w:r>
        <w:rPr>
          <w:rFonts w:ascii="Arial" w:cs="Arial" w:eastAsia="Arial" w:hAnsi="Arial"/>
          <w:color w:val="555555"/>
          <w:sz w:val="22"/>
          <w:szCs w:val="22"/>
        </w:rPr>
        <w:t xml:space="preserve">Chinese airlines cancelled 40% of December 2025 flights to Japan (1,900+ flights).</w:t>
      </w:r>
    </w:p>
    <w:p>
      <w:pPr>
        <w:pStyle w:val="ListParagraph"/>
        <w:numPr>
          <w:ilvl w:val="0"/>
          <w:numId w:val="2"/>
        </w:numPr>
        <w:spacing w:after="60" w:before="60"/>
      </w:pPr>
      <w:r>
        <w:rPr>
          <w:rFonts w:ascii="Arial" w:cs="Arial" w:eastAsia="Arial" w:hAnsi="Arial"/>
          <w:color w:val="555555"/>
          <w:sz w:val="22"/>
          <w:szCs w:val="22"/>
        </w:rPr>
        <w:t xml:space="preserve">Over 904 flights cancelled in December alone, representing some 156,000 seats.</w:t>
      </w:r>
    </w:p>
    <w:p>
      <w:pPr>
        <w:pStyle w:val="ListParagraph"/>
        <w:numPr>
          <w:ilvl w:val="0"/>
          <w:numId w:val="2"/>
        </w:numPr>
        <w:spacing w:after="60" w:before="60"/>
      </w:pPr>
      <w:r>
        <w:rPr>
          <w:rFonts w:ascii="Arial" w:cs="Arial" w:eastAsia="Arial" w:hAnsi="Arial"/>
          <w:color w:val="555555"/>
          <w:sz w:val="22"/>
          <w:szCs w:val="22"/>
        </w:rPr>
        <w:t xml:space="preserve">Chinese students warned away from studying in Japan — China is Japan’s largest source of foreign students.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none"/>
              <w:left w:val="none"/>
              <w:bottom w:val="none"/>
              <w:right w:val="none"/>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Tourism Loss (China)</w:t>
            </w:r>
          </w:p>
        </w:tc>
        <w:tc>
          <w:tcPr>
            <w:tcW w:type="dxa" w:w="4680"/>
            <w:tcBorders>
              <w:top w:val="none"/>
              <w:left w:val="none"/>
              <w:bottom w:val="none"/>
              <w:right w:val="none"/>
            </w:tcBorders>
            <w:shd w:fill="C0392B"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$367M+ (Nov 2025)</w:t>
            </w:r>
          </w:p>
        </w:tc>
        <w:tc>
          <w:tcPr>
            <w:tcW w:type="dxa" w:w="2340"/>
            <w:tcBorders>
              <w:top w:val="none"/>
              <w:left w:val="none"/>
              <w:bottom w:val="none"/>
              <w:right w:val="none"/>
            </w:tcBorders>
            <w:shd w:fill="F2F2F2" w:val="clear"/>
            <w:tcMar>
              <w:top w:type="dxa" w:w="80"/>
              <w:left w:type="dxa" w:w="120"/>
              <w:bottom w:type="dxa" w:w="80"/>
              <w:right w:type="dxa" w:w="120"/>
            </w:tcMar>
          </w:tcPr>
          <w:p>
            <w:r>
              <w:rPr>
                <w:rFonts w:ascii="Arial" w:cs="Arial" w:eastAsia="Arial" w:hAnsi="Arial"/>
                <w:i/>
                <w:iCs/>
                <w:color w:val="555555"/>
                <w:sz w:val="18"/>
                <w:szCs w:val="18"/>
              </w:rPr>
              <w:t xml:space="preserve">Chinese visitors down 60.7% Jan 2026</w:t>
            </w:r>
          </w:p>
        </w:tc>
      </w:tr>
    </w:tbl>
    <w:p>
      <w:pPr>
        <w:spacing w:after="0" w:before="120"/>
      </w:pPr>
    </w:p>
    <w:p>
      <w:pPr>
        <w:pBdr>
          <w:left w:val="thick" w:color="C0392B" w:sz="12" w:space="12"/>
          <w:right w:val="thick" w:color="C0392B" w:sz="12" w:space="12"/>
        </w:pBdr>
        <w:spacing w:after="240" w:before="240"/>
        <w:ind w:left="720" w:right="720"/>
        <w:jc w:val="center"/>
      </w:pPr>
      <w:r>
        <w:rPr>
          <w:rFonts w:ascii="Arial" w:cs="Arial" w:eastAsia="Arial" w:hAnsi="Arial"/>
          <w:b/>
          <w:bCs/>
          <w:i/>
          <w:iCs/>
          <w:color w:val="C0392B"/>
          <w:sz w:val="26"/>
          <w:szCs w:val="26"/>
        </w:rPr>
        <w:t xml:space="preserve">“What began as a diplomatic spat over Taiwan is spiraling into something structural. The two Asian powers are edging toward strategic competition punctuated by periodic crises.”</w:t>
      </w:r>
    </w:p>
    <w:p>
      <w:pPr>
        <w:spacing w:after="80" w:before="80"/>
        <w:jc w:val="both"/>
      </w:pPr>
      <w:r>
        <w:rPr>
          <w:rFonts w:ascii="Arial" w:cs="Arial" w:eastAsia="Arial" w:hAnsi="Arial"/>
          <w:color w:val="555555"/>
          <w:sz w:val="22"/>
          <w:szCs w:val="22"/>
        </w:rPr>
        <w:t xml:space="preserve">The Brookings Institution notes that the watch now is on whether Xi Jinping and Takaichi will meet at the APEC Summit in Shenzhen in November 2026 — that handshake, or its absence, will define the trajectory of Asia’s most consequential bilateral relationship.</w:t>
      </w:r>
    </w:p>
    <w:p>
      <w:pPr>
        <w:spacing w:after="80" w:before="80"/>
        <w:jc w:val="both"/>
      </w:pPr>
      <w:r>
        <w:rPr>
          <w:rFonts w:ascii="Arial" w:cs="Arial" w:eastAsia="Arial" w:hAnsi="Arial"/>
          <w:color w:val="555555"/>
          <w:sz w:val="22"/>
          <w:szCs w:val="22"/>
        </w:rPr>
        <w:t xml:space="preserve">Japan’s position? Unmoved but not closed. As Nishimura stated plainly: “Japan remains open and has not closed any door to dialogue with China.” Calm, strategic, measured. Japan is not seeking confrontation. But it will not be intimidated either.</w:t>
      </w:r>
    </w:p>
    <w:p>
      <w:pPr>
        <w:spacing w:after="0" w:before="0"/>
      </w:pPr>
      <w:r>
        <w:br w:type="page"/>
      </w:r>
    </w:p>
    <w:p>
      <w:pPr>
        <w:pStyle w:val="Heading1"/>
        <w:shd w:fill="F2F2F2" w:val="clear"/>
        <w:spacing w:after="120" w:before="480"/>
      </w:pPr>
      <w:r>
        <w:rPr>
          <w:rFonts w:ascii="Arial" w:cs="Arial" w:eastAsia="Arial" w:hAnsi="Arial"/>
          <w:b/>
          <w:bCs/>
          <w:color w:val="C0392B"/>
          <w:sz w:val="40"/>
          <w:szCs w:val="40"/>
        </w:rPr>
        <w:t xml:space="preserve">III. THE GOLDEN ALLIANCE</w:t>
      </w:r>
    </w:p>
    <w:p>
      <w:pPr>
        <w:spacing w:after="200" w:before="0"/>
      </w:pPr>
      <w:r>
        <w:rPr>
          <w:rFonts w:ascii="Arial" w:cs="Arial" w:eastAsia="Arial" w:hAnsi="Arial"/>
          <w:b/>
          <w:bCs/>
          <w:i/>
          <w:iCs/>
          <w:color w:val="922B21"/>
          <w:sz w:val="26"/>
          <w:szCs w:val="26"/>
        </w:rPr>
        <w:t xml:space="preserve">Japan &amp; the United States: Trust, Tension &amp; a New Vision</w:t>
      </w:r>
    </w:p>
    <w:p>
      <w:pPr>
        <w:pBdr>
          <w:bottom w:val="single" w:color="C0392B" w:sz="12" w:space="1"/>
        </w:pBdr>
        <w:spacing w:after="200" w:before="0"/>
      </w:pPr>
    </w:p>
    <w:p>
      <w:pPr>
        <w:spacing w:after="80" w:before="80"/>
        <w:jc w:val="both"/>
      </w:pPr>
      <w:r>
        <w:rPr>
          <w:rFonts w:ascii="Arial" w:cs="Arial" w:eastAsia="Arial" w:hAnsi="Arial"/>
          <w:color w:val="555555"/>
          <w:sz w:val="22"/>
          <w:szCs w:val="22"/>
        </w:rPr>
        <w:t xml:space="preserve">The Japan-US alliance remains the cornerstone of Tokyo’s security architecture. But in 2026, that cornerstone is being tested by an unpredictable partner. The Trump administration’s erratic trade policy and isolationist instincts have forced Japan to do something it has long avoided: plan for a world where America might not show up.</w:t>
      </w:r>
    </w:p>
    <w:p>
      <w:pPr>
        <w:spacing w:after="80" w:before="80"/>
        <w:jc w:val="both"/>
      </w:pPr>
      <w:r>
        <w:rPr>
          <w:rFonts w:ascii="Arial" w:cs="Arial" w:eastAsia="Arial" w:hAnsi="Arial"/>
          <w:color w:val="555555"/>
          <w:sz w:val="22"/>
          <w:szCs w:val="22"/>
        </w:rPr>
        <w:t xml:space="preserve">They are calling it ‘Plan B’ — not a break from the alliance, but a hedge against its unreliability. Japan is building ‘minilateral’ frameworks with like-minded democracies: tightening ties with South Korea, Australia, the UK, and Southeast Asian partners. The goal is not independence from America but resilience within the alliance.</w:t>
      </w:r>
    </w:p>
    <w:p>
      <w:pPr>
        <w:pStyle w:val="Heading2"/>
        <w:spacing w:after="100" w:before="300"/>
      </w:pPr>
      <w:r>
        <w:rPr>
          <w:rFonts w:ascii="Arial" w:cs="Arial" w:eastAsia="Arial" w:hAnsi="Arial"/>
          <w:b/>
          <w:bCs/>
          <w:color w:val="2C2C2C"/>
          <w:sz w:val="28"/>
          <w:szCs w:val="28"/>
        </w:rPr>
        <w:t xml:space="preserve">Trade: The Tariff Tremor</w:t>
      </w:r>
    </w:p>
    <w:p>
      <w:pPr>
        <w:spacing w:after="80" w:before="80"/>
        <w:jc w:val="both"/>
      </w:pPr>
      <w:r>
        <w:rPr>
          <w:rFonts w:ascii="Arial" w:cs="Arial" w:eastAsia="Arial" w:hAnsi="Arial"/>
          <w:color w:val="555555"/>
          <w:sz w:val="22"/>
          <w:szCs w:val="22"/>
        </w:rPr>
        <w:t xml:space="preserve">Japan is the United States’ top foreign direct investor — Japanese firms are woven deep into the American economic fabric. When Trump’s Liberation Day tariffs shocked the world in April 2025, Japanese boardrooms lit up with panic. By 2026, the shock-and-awe phase has passed, but uncertainty lingers. Japanese firms still fret over Washington’s disregard for institutional process and international norms.</w:t>
      </w:r>
    </w:p>
    <w:p>
      <w:pPr>
        <w:spacing w:after="80" w:before="80"/>
        <w:jc w:val="both"/>
      </w:pPr>
      <w:r>
        <w:rPr>
          <w:rFonts w:ascii="Arial" w:cs="Arial" w:eastAsia="Arial" w:hAnsi="Arial"/>
          <w:color w:val="555555"/>
          <w:sz w:val="22"/>
          <w:szCs w:val="22"/>
        </w:rPr>
        <w:t xml:space="preserve">Takaichi has met Trump twice — in October 2025 and again in March 2026 — to stabilize relations. The messaging is clear: the alliance is too important, too deep, too mutually beneficial to let political volatility undermine it. But the planning for contingencies continues quietly behind closed doors.</w:t>
      </w:r>
    </w:p>
    <w:p>
      <w:pPr>
        <w:pStyle w:val="Heading2"/>
        <w:spacing w:after="100" w:before="300"/>
      </w:pPr>
      <w:r>
        <w:rPr>
          <w:rFonts w:ascii="Arial" w:cs="Arial" w:eastAsia="Arial" w:hAnsi="Arial"/>
          <w:b/>
          <w:bCs/>
          <w:color w:val="2C2C2C"/>
          <w:sz w:val="28"/>
          <w:szCs w:val="28"/>
        </w:rPr>
        <w:t xml:space="preserve">Russia: The Impossible Triangle</w:t>
      </w:r>
    </w:p>
    <w:p>
      <w:pPr>
        <w:spacing w:after="80" w:before="80"/>
        <w:jc w:val="both"/>
      </w:pPr>
      <w:r>
        <w:rPr>
          <w:rFonts w:ascii="Arial" w:cs="Arial" w:eastAsia="Arial" w:hAnsi="Arial"/>
          <w:color w:val="555555"/>
          <w:sz w:val="22"/>
          <w:szCs w:val="22"/>
        </w:rPr>
        <w:t xml:space="preserve">If the China relationship is a cold front, Japan’s Russia policy is a fog. Tokyo continues to sanction Moscow over Ukraine — in lockstep with the G7 — while simultaneously importing Russian energy. The dream of recovering the Northern Territories (Kuril Islands) has dimmed: Tokyo now accepts that Putin has no intention of returning them. Private voices within Japan are calling for restored dialogue with Moscow; the government maintains careful, calibrated ambiguity.</w:t>
      </w:r>
    </w:p>
    <w:p>
      <w:pPr>
        <w:spacing w:after="0" w:before="0"/>
      </w:pPr>
      <w:r>
        <w:br w:type="page"/>
      </w:r>
    </w:p>
    <w:p>
      <w:pPr>
        <w:pStyle w:val="Heading1"/>
        <w:shd w:fill="F2F2F2" w:val="clear"/>
        <w:spacing w:after="120" w:before="480"/>
      </w:pPr>
      <w:r>
        <w:rPr>
          <w:rFonts w:ascii="Arial" w:cs="Arial" w:eastAsia="Arial" w:hAnsi="Arial"/>
          <w:b/>
          <w:bCs/>
          <w:color w:val="C0392B"/>
          <w:sz w:val="40"/>
          <w:szCs w:val="40"/>
        </w:rPr>
        <w:t xml:space="preserve">IV. THE ECONOMIC TIGHTROPE</w:t>
      </w:r>
    </w:p>
    <w:p>
      <w:pPr>
        <w:spacing w:after="200" w:before="0"/>
      </w:pPr>
      <w:r>
        <w:rPr>
          <w:rFonts w:ascii="Arial" w:cs="Arial" w:eastAsia="Arial" w:hAnsi="Arial"/>
          <w:b/>
          <w:bCs/>
          <w:i/>
          <w:iCs/>
          <w:color w:val="922B21"/>
          <w:sz w:val="26"/>
          <w:szCs w:val="26"/>
        </w:rPr>
        <w:t xml:space="preserve">Yen, Inflation, Debt and a Nation Walking a Razor’s Edge</w:t>
      </w:r>
    </w:p>
    <w:p>
      <w:pPr>
        <w:pBdr>
          <w:bottom w:val="single" w:color="C0392B" w:sz="12" w:space="1"/>
        </w:pBdr>
        <w:spacing w:after="200" w:before="0"/>
      </w:pPr>
    </w:p>
    <w:p>
      <w:pPr>
        <w:spacing w:after="80" w:before="80"/>
        <w:jc w:val="both"/>
      </w:pPr>
      <w:r>
        <w:rPr>
          <w:rFonts w:ascii="Arial" w:cs="Arial" w:eastAsia="Arial" w:hAnsi="Arial"/>
          <w:color w:val="555555"/>
          <w:sz w:val="22"/>
          <w:szCs w:val="22"/>
        </w:rPr>
        <w:t xml:space="preserve">Japan’s economy is the story of a nation caught between yesterday’s promises and tomorrow’s realities. After decades of near-zero interest rates and massive debt accumulation, the Bank of Japan has raised rates to a 30-year high. The yen is weak. Inflation, after years of deflation, is now a lived reality. And consumer spending — the engine Japan desperately needs — remains fragile.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none"/>
              <w:left w:val="none"/>
              <w:bottom w:val="none"/>
              <w:right w:val="none"/>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Debt-to-GDP</w:t>
            </w:r>
          </w:p>
        </w:tc>
        <w:tc>
          <w:tcPr>
            <w:tcW w:type="dxa" w:w="4680"/>
            <w:tcBorders>
              <w:top w:val="none"/>
              <w:left w:val="none"/>
              <w:bottom w:val="none"/>
              <w:right w:val="none"/>
            </w:tcBorders>
            <w:shd w:fill="C0392B"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~240%</w:t>
            </w:r>
          </w:p>
        </w:tc>
        <w:tc>
          <w:tcPr>
            <w:tcW w:type="dxa" w:w="2340"/>
            <w:tcBorders>
              <w:top w:val="none"/>
              <w:left w:val="none"/>
              <w:bottom w:val="none"/>
              <w:right w:val="none"/>
            </w:tcBorders>
            <w:shd w:fill="F2F2F2" w:val="clear"/>
            <w:tcMar>
              <w:top w:type="dxa" w:w="80"/>
              <w:left w:type="dxa" w:w="120"/>
              <w:bottom w:type="dxa" w:w="80"/>
              <w:right w:type="dxa" w:w="120"/>
            </w:tcMar>
          </w:tcPr>
          <w:p>
            <w:r>
              <w:rPr>
                <w:rFonts w:ascii="Arial" w:cs="Arial" w:eastAsia="Arial" w:hAnsi="Arial"/>
                <w:i/>
                <w:iCs/>
                <w:color w:val="555555"/>
                <w:sz w:val="18"/>
                <w:szCs w:val="18"/>
              </w:rPr>
              <w:t xml:space="preserve">Highest among advanced economies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none"/>
              <w:left w:val="none"/>
              <w:bottom w:val="none"/>
              <w:right w:val="none"/>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Interest Rates</w:t>
            </w:r>
          </w:p>
        </w:tc>
        <w:tc>
          <w:tcPr>
            <w:tcW w:type="dxa" w:w="4680"/>
            <w:tcBorders>
              <w:top w:val="none"/>
              <w:left w:val="none"/>
              <w:bottom w:val="none"/>
              <w:right w:val="none"/>
            </w:tcBorders>
            <w:shd w:fill="C0392B"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30-Year High</w:t>
            </w:r>
          </w:p>
        </w:tc>
        <w:tc>
          <w:tcPr>
            <w:tcW w:type="dxa" w:w="2340"/>
            <w:tcBorders>
              <w:top w:val="none"/>
              <w:left w:val="none"/>
              <w:bottom w:val="none"/>
              <w:right w:val="none"/>
            </w:tcBorders>
            <w:shd w:fill="F2F2F2" w:val="clear"/>
            <w:tcMar>
              <w:top w:type="dxa" w:w="80"/>
              <w:left w:type="dxa" w:w="120"/>
              <w:bottom w:type="dxa" w:w="80"/>
              <w:right w:type="dxa" w:w="120"/>
            </w:tcMar>
          </w:tcPr>
          <w:p>
            <w:r>
              <w:rPr>
                <w:rFonts w:ascii="Arial" w:cs="Arial" w:eastAsia="Arial" w:hAnsi="Arial"/>
                <w:i/>
                <w:iCs/>
                <w:color w:val="555555"/>
                <w:sz w:val="18"/>
                <w:szCs w:val="18"/>
              </w:rPr>
              <w:t xml:space="preserve">Bank of Japan, 2025-26</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none"/>
              <w:left w:val="none"/>
              <w:bottom w:val="none"/>
              <w:right w:val="none"/>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Stimulus Package</w:t>
            </w:r>
          </w:p>
        </w:tc>
        <w:tc>
          <w:tcPr>
            <w:tcW w:type="dxa" w:w="4680"/>
            <w:tcBorders>
              <w:top w:val="none"/>
              <w:left w:val="none"/>
              <w:bottom w:val="none"/>
              <w:right w:val="none"/>
            </w:tcBorders>
            <w:shd w:fill="C0392B"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¥21.3 Trillion</w:t>
            </w:r>
          </w:p>
        </w:tc>
        <w:tc>
          <w:tcPr>
            <w:tcW w:type="dxa" w:w="2340"/>
            <w:tcBorders>
              <w:top w:val="none"/>
              <w:left w:val="none"/>
              <w:bottom w:val="none"/>
              <w:right w:val="none"/>
            </w:tcBorders>
            <w:shd w:fill="F2F2F2" w:val="clear"/>
            <w:tcMar>
              <w:top w:type="dxa" w:w="80"/>
              <w:left w:type="dxa" w:w="120"/>
              <w:bottom w:type="dxa" w:w="80"/>
              <w:right w:type="dxa" w:w="120"/>
            </w:tcMar>
          </w:tcPr>
          <w:p>
            <w:r>
              <w:rPr>
                <w:rFonts w:ascii="Arial" w:cs="Arial" w:eastAsia="Arial" w:hAnsi="Arial"/>
                <w:i/>
                <w:iCs/>
                <w:color w:val="555555"/>
                <w:sz w:val="18"/>
                <w:szCs w:val="18"/>
              </w:rPr>
              <w:t xml:space="preserve">Announced to support recovery</w:t>
            </w:r>
          </w:p>
        </w:tc>
      </w:tr>
    </w:tbl>
    <w:p>
      <w:pPr>
        <w:spacing w:after="0" w:before="120"/>
      </w:pPr>
    </w:p>
    <w:p>
      <w:pPr>
        <w:pStyle w:val="Heading2"/>
        <w:spacing w:after="100" w:before="300"/>
      </w:pPr>
      <w:r>
        <w:rPr>
          <w:rFonts w:ascii="Arial" w:cs="Arial" w:eastAsia="Arial" w:hAnsi="Arial"/>
          <w:b/>
          <w:bCs/>
          <w:color w:val="2C2C2C"/>
          <w:sz w:val="28"/>
          <w:szCs w:val="28"/>
        </w:rPr>
        <w:t xml:space="preserve">The China Dependency Problem</w:t>
      </w:r>
    </w:p>
    <w:p>
      <w:pPr>
        <w:spacing w:after="80" w:before="80"/>
        <w:jc w:val="both"/>
      </w:pPr>
      <w:r>
        <w:rPr>
          <w:rFonts w:ascii="Arial" w:cs="Arial" w:eastAsia="Arial" w:hAnsi="Arial"/>
          <w:color w:val="555555"/>
          <w:sz w:val="22"/>
          <w:szCs w:val="22"/>
        </w:rPr>
        <w:t xml:space="preserve">China is Japan’s largest trading partner. And China is in trouble. Deflation is stalking the Chinese economy, threatening a ‘lost decade’ of its own — a dark mirror of what Japan endured in the 1990s. For Japan, this means two immediate dangers: first, a brutal competitive environment for Japanese firms operating in China; second, an even greater flood of cheap Chinese goods — especially EVs — into Southeast Asian markets where Japanese products have long dominated.</w:t>
      </w:r>
    </w:p>
    <w:p>
      <w:pPr>
        <w:spacing w:after="80" w:before="80"/>
        <w:jc w:val="both"/>
      </w:pPr>
      <w:r>
        <w:rPr>
          <w:rFonts w:ascii="Arial" w:cs="Arial" w:eastAsia="Arial" w:hAnsi="Arial"/>
          <w:color w:val="555555"/>
          <w:sz w:val="22"/>
          <w:szCs w:val="22"/>
        </w:rPr>
        <w:t xml:space="preserve">The irony is exquisite and painful: the nation that pioneered the concept of the ‘lost decade’ now watches its largest neighbor potentially repeat that same catastrophic economic mistake, and it will absorb the collateral damage.</w:t>
      </w:r>
    </w:p>
    <w:p>
      <w:pPr>
        <w:pStyle w:val="Heading2"/>
        <w:spacing w:after="100" w:before="300"/>
      </w:pPr>
      <w:r>
        <w:rPr>
          <w:rFonts w:ascii="Arial" w:cs="Arial" w:eastAsia="Arial" w:hAnsi="Arial"/>
          <w:b/>
          <w:bCs/>
          <w:color w:val="2C2C2C"/>
          <w:sz w:val="28"/>
          <w:szCs w:val="28"/>
        </w:rPr>
        <w:t xml:space="preserve">The Middle East Energy Shock</w:t>
      </w:r>
    </w:p>
    <w:p>
      <w:pPr>
        <w:spacing w:after="80" w:before="80"/>
        <w:jc w:val="both"/>
      </w:pPr>
      <w:r>
        <w:rPr>
          <w:rFonts w:ascii="Arial" w:cs="Arial" w:eastAsia="Arial" w:hAnsi="Arial"/>
          <w:color w:val="555555"/>
          <w:sz w:val="22"/>
          <w:szCs w:val="22"/>
        </w:rPr>
        <w:t xml:space="preserve">Japan imports nearly all of its energy. When conflict in the Middle East spiked oil prices in 2026, it reignited inflationary pressures that the government had only just begun to tame. Utility-bill subsidies and targeted fiscal interventions have helped contain the damage, but the vulnerability is structural — and unresolved.</w:t>
      </w:r>
    </w:p>
    <w:p>
      <w:pPr>
        <w:pBdr>
          <w:left w:val="thick" w:color="C0392B" w:sz="12" w:space="12"/>
          <w:right w:val="thick" w:color="C0392B" w:sz="12" w:space="12"/>
        </w:pBdr>
        <w:spacing w:after="240" w:before="240"/>
        <w:ind w:left="720" w:right="720"/>
        <w:jc w:val="center"/>
      </w:pPr>
      <w:r>
        <w:rPr>
          <w:rFonts w:ascii="Arial" w:cs="Arial" w:eastAsia="Arial" w:hAnsi="Arial"/>
          <w:b/>
          <w:bCs/>
          <w:i/>
          <w:iCs/>
          <w:color w:val="C0392B"/>
          <w:sz w:val="26"/>
          <w:szCs w:val="26"/>
        </w:rPr>
        <w:t xml:space="preserve">“A weak yen boosts exports but punishes ordinary citizens paying more for food, fuel, and everything in between. Japan’s government walks a razor’s edge.”</w:t>
      </w:r>
    </w:p>
    <w:p>
      <w:pPr>
        <w:spacing w:after="0" w:before="0"/>
      </w:pPr>
      <w:r>
        <w:br w:type="page"/>
      </w:r>
    </w:p>
    <w:p>
      <w:pPr>
        <w:pStyle w:val="Heading1"/>
        <w:shd w:fill="F2F2F2" w:val="clear"/>
        <w:spacing w:after="120" w:before="480"/>
      </w:pPr>
      <w:r>
        <w:rPr>
          <w:rFonts w:ascii="Arial" w:cs="Arial" w:eastAsia="Arial" w:hAnsi="Arial"/>
          <w:b/>
          <w:bCs/>
          <w:color w:val="C0392B"/>
          <w:sz w:val="40"/>
          <w:szCs w:val="40"/>
        </w:rPr>
        <w:t xml:space="preserve">V. THE SOUL OF JAPAN</w:t>
      </w:r>
    </w:p>
    <w:p>
      <w:pPr>
        <w:spacing w:after="200" w:before="0"/>
      </w:pPr>
      <w:r>
        <w:rPr>
          <w:rFonts w:ascii="Arial" w:cs="Arial" w:eastAsia="Arial" w:hAnsi="Arial"/>
          <w:b/>
          <w:bCs/>
          <w:i/>
          <w:iCs/>
          <w:color w:val="922B21"/>
          <w:sz w:val="26"/>
          <w:szCs w:val="26"/>
        </w:rPr>
        <w:t xml:space="preserve">Culture, Identity, and the Spirit of a Nation</w:t>
      </w:r>
    </w:p>
    <w:p>
      <w:pPr>
        <w:pBdr>
          <w:bottom w:val="single" w:color="C0392B" w:sz="12" w:space="1"/>
        </w:pBdr>
        <w:spacing w:after="200" w:before="0"/>
      </w:pPr>
    </w:p>
    <w:p>
      <w:pPr>
        <w:spacing w:after="80" w:before="80"/>
        <w:jc w:val="both"/>
      </w:pPr>
      <w:r>
        <w:rPr>
          <w:rFonts w:ascii="Arial" w:cs="Arial" w:eastAsia="Arial" w:hAnsi="Arial"/>
          <w:color w:val="555555"/>
          <w:sz w:val="22"/>
          <w:szCs w:val="22"/>
        </w:rPr>
        <w:t xml:space="preserve">While diplomats argue and economists calculate, Japan’s soul continues to pulse in its streets, its cafes, its art, and its people. To understand Japan is to understand a nation that holds the ancient and the ultra-modern in perpetual, productive tension.</w:t>
      </w:r>
    </w:p>
    <w:p>
      <w:pPr>
        <w:pStyle w:val="Heading2"/>
        <w:spacing w:after="100" w:before="300"/>
      </w:pPr>
      <w:r>
        <w:rPr>
          <w:rFonts w:ascii="Arial" w:cs="Arial" w:eastAsia="Arial" w:hAnsi="Arial"/>
          <w:b/>
          <w:bCs/>
          <w:color w:val="2C2C2C"/>
          <w:sz w:val="28"/>
          <w:szCs w:val="28"/>
        </w:rPr>
        <w:t xml:space="preserve">The Great Nostalgia Wave</w:t>
      </w:r>
    </w:p>
    <w:p>
      <w:pPr>
        <w:spacing w:after="80" w:before="80"/>
        <w:jc w:val="both"/>
      </w:pPr>
      <w:r>
        <w:rPr>
          <w:rFonts w:ascii="Arial" w:cs="Arial" w:eastAsia="Arial" w:hAnsi="Arial"/>
          <w:color w:val="555555"/>
          <w:sz w:val="22"/>
          <w:szCs w:val="22"/>
        </w:rPr>
        <w:t xml:space="preserve">Japan’s youth are looking backward — and loving every moment of it. Showa-era cafes, Heisei pop aesthetics, chunky typography, disposable cameras: these are not ironic affectations but genuine comfort culture in an age of economic anxiety. Young people who never lived through those decades are consuming them ravenously. Sticker swapping — a Heisei-era craze — has made a massive comeback. The Edo-period ‘ninja run’ (edo hashiri) became a viral sensation, teens recreating samurai sideways sprints for social media glory.</w:t>
      </w:r>
    </w:p>
    <w:p>
      <w:pPr>
        <w:spacing w:after="80" w:before="80"/>
        <w:jc w:val="both"/>
      </w:pPr>
      <w:r>
        <w:rPr>
          <w:rFonts w:ascii="Arial" w:cs="Arial" w:eastAsia="Arial" w:hAnsi="Arial"/>
          <w:color w:val="555555"/>
          <w:sz w:val="22"/>
          <w:szCs w:val="22"/>
        </w:rPr>
        <w:t xml:space="preserve">This nostalgia is commercially savvy. Businesses are monetizing memory with QR codes. The past is being sold as a premium product — and Japan’s youth are buying it enthusiastically.</w:t>
      </w:r>
    </w:p>
    <w:p>
      <w:pPr>
        <w:pStyle w:val="Heading2"/>
        <w:spacing w:after="100" w:before="300"/>
      </w:pPr>
      <w:r>
        <w:rPr>
          <w:rFonts w:ascii="Arial" w:cs="Arial" w:eastAsia="Arial" w:hAnsi="Arial"/>
          <w:b/>
          <w:bCs/>
          <w:color w:val="2C2C2C"/>
          <w:sz w:val="28"/>
          <w:szCs w:val="28"/>
        </w:rPr>
        <w:t xml:space="preserve">Food Culture: Bold, Borderless, and Delicious</w:t>
      </w:r>
    </w:p>
    <w:p>
      <w:pPr>
        <w:spacing w:after="80" w:before="80"/>
        <w:jc w:val="both"/>
      </w:pPr>
      <w:r>
        <w:rPr>
          <w:rFonts w:ascii="Arial" w:cs="Arial" w:eastAsia="Arial" w:hAnsi="Arial"/>
          <w:color w:val="555555"/>
          <w:sz w:val="22"/>
          <w:szCs w:val="22"/>
        </w:rPr>
        <w:t xml:space="preserve">Japanese food culture in 2026 is more adventurous than ever. Malatang — a Chinese spicy broth dish — was identified as the top new food trend sweeping Japan. The country that perfected ramen and sushi is now passionately adopting global flavors, even from a nation it is diplomatically estranged from. Food, as always, transcends politics.</w:t>
      </w:r>
    </w:p>
    <w:p>
      <w:pPr>
        <w:pStyle w:val="Heading2"/>
        <w:spacing w:after="100" w:before="300"/>
      </w:pPr>
      <w:r>
        <w:rPr>
          <w:rFonts w:ascii="Arial" w:cs="Arial" w:eastAsia="Arial" w:hAnsi="Arial"/>
          <w:b/>
          <w:bCs/>
          <w:color w:val="2C2C2C"/>
          <w:sz w:val="28"/>
          <w:szCs w:val="28"/>
        </w:rPr>
        <w:t xml:space="preserve">Digital Culture: AI Meets Ancient Wisdom</w:t>
      </w:r>
    </w:p>
    <w:p>
      <w:pPr>
        <w:spacing w:after="80" w:before="80"/>
        <w:jc w:val="both"/>
      </w:pPr>
      <w:r>
        <w:rPr>
          <w:rFonts w:ascii="Arial" w:cs="Arial" w:eastAsia="Arial" w:hAnsi="Arial"/>
          <w:color w:val="555555"/>
          <w:sz w:val="22"/>
          <w:szCs w:val="22"/>
        </w:rPr>
        <w:t xml:space="preserve">Japan is wrestling — beautifully — with artificial intelligence. Awareness of AI-generated content has reached 77.5% among Japanese consumers in 2026. Micro-influencers and niche content creators are thriving, trusted precisely because they are human in a world going digital. Perhaps most fascinatingly: some of Japan’s oldest temples and Shinto shrines are experimenting with AI to assist priests in rituals and consultations. Can an AI replace a priest? Japan is testing the boundaries of that question with characteristic curiosity and caution.</w:t>
      </w:r>
    </w:p>
    <w:p>
      <w:pPr>
        <w:pStyle w:val="Heading2"/>
        <w:spacing w:after="100" w:before="300"/>
      </w:pPr>
      <w:r>
        <w:rPr>
          <w:rFonts w:ascii="Arial" w:cs="Arial" w:eastAsia="Arial" w:hAnsi="Arial"/>
          <w:b/>
          <w:bCs/>
          <w:color w:val="2C2C2C"/>
          <w:sz w:val="28"/>
          <w:szCs w:val="28"/>
        </w:rPr>
        <w:t xml:space="preserve">The Quiet Transformation of Work</w:t>
      </w:r>
    </w:p>
    <w:p>
      <w:pPr>
        <w:spacing w:after="80" w:before="80"/>
        <w:jc w:val="both"/>
      </w:pPr>
      <w:r>
        <w:rPr>
          <w:rFonts w:ascii="Arial" w:cs="Arial" w:eastAsia="Arial" w:hAnsi="Arial"/>
          <w:color w:val="555555"/>
          <w:sz w:val="22"/>
          <w:szCs w:val="22"/>
        </w:rPr>
        <w:t xml:space="preserve">Japan’s legendary workaholic culture — the culture that gave the world the word ‘karoshi’ (death by overwork) — is slowly, quietly changing. Young workers are pushing back. The rigid seniority systems are fraying. Remote work, once almost taboo, has taken root. Japan’s youth are choosing differently, and the corporate world is, reluctantly, listening.</w:t>
      </w:r>
    </w:p>
    <w:p>
      <w:pPr>
        <w:spacing w:after="0" w:before="0"/>
      </w:pPr>
      <w:r>
        <w:br w:type="page"/>
      </w:r>
    </w:p>
    <w:p>
      <w:pPr>
        <w:pStyle w:val="Heading1"/>
        <w:shd w:fill="F2F2F2" w:val="clear"/>
        <w:spacing w:after="120" w:before="480"/>
      </w:pPr>
      <w:r>
        <w:rPr>
          <w:rFonts w:ascii="Arial" w:cs="Arial" w:eastAsia="Arial" w:hAnsi="Arial"/>
          <w:b/>
          <w:bCs/>
          <w:color w:val="C0392B"/>
          <w:sz w:val="40"/>
          <w:szCs w:val="40"/>
        </w:rPr>
        <w:t xml:space="preserve">VI. JAPAN’S WORLD</w:t>
      </w:r>
    </w:p>
    <w:p>
      <w:pPr>
        <w:spacing w:after="200" w:before="0"/>
      </w:pPr>
      <w:r>
        <w:rPr>
          <w:rFonts w:ascii="Arial" w:cs="Arial" w:eastAsia="Arial" w:hAnsi="Arial"/>
          <w:b/>
          <w:bCs/>
          <w:i/>
          <w:iCs/>
          <w:color w:val="922B21"/>
          <w:sz w:val="26"/>
          <w:szCs w:val="26"/>
        </w:rPr>
        <w:t xml:space="preserve">Tourism, Technology, and the Road to 2030</w:t>
      </w:r>
    </w:p>
    <w:p>
      <w:pPr>
        <w:pBdr>
          <w:bottom w:val="single" w:color="C0392B" w:sz="12" w:space="1"/>
        </w:pBdr>
        <w:spacing w:after="200" w:before="0"/>
      </w:pPr>
    </w:p>
    <w:p>
      <w:pPr>
        <w:pStyle w:val="Heading2"/>
        <w:spacing w:after="100" w:before="300"/>
      </w:pPr>
      <w:r>
        <w:rPr>
          <w:rFonts w:ascii="Arial" w:cs="Arial" w:eastAsia="Arial" w:hAnsi="Arial"/>
          <w:b/>
          <w:bCs/>
          <w:color w:val="2C2C2C"/>
          <w:sz w:val="28"/>
          <w:szCs w:val="28"/>
        </w:rPr>
        <w:t xml:space="preserve">Tourism: A Bittersweet Boom</w:t>
      </w:r>
    </w:p>
    <w:p>
      <w:pPr>
        <w:spacing w:after="80" w:before="80"/>
        <w:jc w:val="both"/>
      </w:pPr>
      <w:r>
        <w:rPr>
          <w:rFonts w:ascii="Arial" w:cs="Arial" w:eastAsia="Arial" w:hAnsi="Arial"/>
          <w:color w:val="555555"/>
          <w:sz w:val="22"/>
          <w:szCs w:val="22"/>
        </w:rPr>
        <w:t xml:space="preserve">In 2025, Japan welcomed over 42 million international visitors — a record. The weak yen made Japan irresistibly affordable for Western tourists. Europeans, Americans, Australians flooded in. But the China diplomatic crisis carved out a massive gap: Chinese visitors collapsed by 60.7% in January 2026 alone, and by 55.9% in March. JTB projects 41.4 million visitors in 2026 — slightly down from 2025, but total spending is still expected to rise as high-spending Western visitors compensate.</w:t>
      </w:r>
    </w:p>
    <w:p>
      <w:pPr>
        <w:spacing w:after="80" w:before="80"/>
        <w:jc w:val="both"/>
      </w:pPr>
      <w:r>
        <w:rPr>
          <w:rFonts w:ascii="Arial" w:cs="Arial" w:eastAsia="Arial" w:hAnsi="Arial"/>
          <w:color w:val="555555"/>
          <w:sz w:val="22"/>
          <w:szCs w:val="22"/>
        </w:rPr>
        <w:t xml:space="preserve">Japan’s government has a bold target: 60 million annual visitors by 2030. The challenge is no longer attracting tourists — it’s managing them. Overtourism is real, visible, and increasingly resentful. Kyoto is frustrated. Fujiyoshida has built walls to block iconic Mt. Fuji photo spots. Japan is now deploying some of the world’s most sophisticated crowd-management technology to solve the problem it created by being too extraordinary.</w:t>
      </w:r>
    </w:p>
    <w:p>
      <w:pPr>
        <w:pStyle w:val="Heading2"/>
        <w:spacing w:after="100" w:before="300"/>
      </w:pPr>
      <w:r>
        <w:rPr>
          <w:rFonts w:ascii="Arial" w:cs="Arial" w:eastAsia="Arial" w:hAnsi="Arial"/>
          <w:b/>
          <w:bCs/>
          <w:color w:val="2C2C2C"/>
          <w:sz w:val="28"/>
          <w:szCs w:val="28"/>
        </w:rPr>
        <w:t xml:space="preserve">The Smart Travel Revolution</w:t>
      </w:r>
    </w:p>
    <w:p>
      <w:pPr>
        <w:pStyle w:val="ListParagraph"/>
        <w:numPr>
          <w:ilvl w:val="0"/>
          <w:numId w:val="2"/>
        </w:numPr>
        <w:spacing w:after="60" w:before="60"/>
      </w:pPr>
      <w:r>
        <w:rPr>
          <w:rFonts w:ascii="Arial" w:cs="Arial" w:eastAsia="Arial" w:hAnsi="Arial"/>
          <w:color w:val="555555"/>
          <w:sz w:val="22"/>
          <w:szCs w:val="22"/>
        </w:rPr>
        <w:t xml:space="preserve">AI-powered real-time crowd alerts now guide visitors to off-peak alternatives at major attractions.</w:t>
      </w:r>
    </w:p>
    <w:p>
      <w:pPr>
        <w:pStyle w:val="ListParagraph"/>
        <w:numPr>
          <w:ilvl w:val="0"/>
          <w:numId w:val="2"/>
        </w:numPr>
        <w:spacing w:after="60" w:before="60"/>
      </w:pPr>
      <w:r>
        <w:rPr>
          <w:rFonts w:ascii="Arial" w:cs="Arial" w:eastAsia="Arial" w:hAnsi="Arial"/>
          <w:color w:val="555555"/>
          <w:sz w:val="22"/>
          <w:szCs w:val="22"/>
        </w:rPr>
        <w:t xml:space="preserve">Automated hotel check-ins, AI concierge services, and custom AI itinerary planners are mainstream.</w:t>
      </w:r>
    </w:p>
    <w:p>
      <w:pPr>
        <w:pStyle w:val="ListParagraph"/>
        <w:numPr>
          <w:ilvl w:val="0"/>
          <w:numId w:val="2"/>
        </w:numPr>
        <w:spacing w:after="60" w:before="60"/>
      </w:pPr>
      <w:r>
        <w:rPr>
          <w:rFonts w:ascii="Arial" w:cs="Arial" w:eastAsia="Arial" w:hAnsi="Arial"/>
          <w:color w:val="555555"/>
          <w:sz w:val="22"/>
          <w:szCs w:val="22"/>
        </w:rPr>
        <w:t xml:space="preserve">Digital art museums are proliferating — TeamLab Planets, immersive digital exhibitions — creating new global pilgrimage destinations.</w:t>
      </w:r>
    </w:p>
    <w:p>
      <w:pPr>
        <w:pStyle w:val="ListParagraph"/>
        <w:numPr>
          <w:ilvl w:val="0"/>
          <w:numId w:val="2"/>
        </w:numPr>
        <w:spacing w:after="60" w:before="60"/>
      </w:pPr>
      <w:r>
        <w:rPr>
          <w:rFonts w:ascii="Arial" w:cs="Arial" w:eastAsia="Arial" w:hAnsi="Arial"/>
          <w:color w:val="555555"/>
          <w:sz w:val="22"/>
          <w:szCs w:val="22"/>
        </w:rPr>
        <w:t xml:space="preserve">Anime tourism — Ikebukuro, Akihabara, Odaiba — continues its extraordinary commercial boom.</w:t>
      </w:r>
    </w:p>
    <w:p>
      <w:pPr>
        <w:pStyle w:val="ListParagraph"/>
        <w:numPr>
          <w:ilvl w:val="0"/>
          <w:numId w:val="2"/>
        </w:numPr>
        <w:spacing w:after="60" w:before="60"/>
      </w:pPr>
      <w:r>
        <w:rPr>
          <w:rFonts w:ascii="Arial" w:cs="Arial" w:eastAsia="Arial" w:hAnsi="Arial"/>
          <w:color w:val="555555"/>
          <w:sz w:val="22"/>
          <w:szCs w:val="22"/>
        </w:rPr>
        <w:t xml:space="preserve">Sports tourism is rising: travelers building trips around sumo, baseball, and regional sporting culture.</w:t>
      </w:r>
    </w:p>
    <w:p>
      <w:pPr>
        <w:pStyle w:val="Heading2"/>
        <w:spacing w:after="100" w:before="300"/>
      </w:pPr>
      <w:r>
        <w:rPr>
          <w:rFonts w:ascii="Arial" w:cs="Arial" w:eastAsia="Arial" w:hAnsi="Arial"/>
          <w:b/>
          <w:bCs/>
          <w:color w:val="2C2C2C"/>
          <w:sz w:val="28"/>
          <w:szCs w:val="28"/>
        </w:rPr>
        <w:t xml:space="preserve">Pop Culture: Japan’s Soft Power Superweapon</w:t>
      </w:r>
    </w:p>
    <w:p>
      <w:pPr>
        <w:spacing w:after="80" w:before="80"/>
        <w:jc w:val="both"/>
      </w:pPr>
      <w:r>
        <w:rPr>
          <w:rFonts w:ascii="Arial" w:cs="Arial" w:eastAsia="Arial" w:hAnsi="Arial"/>
          <w:color w:val="555555"/>
          <w:sz w:val="22"/>
          <w:szCs w:val="22"/>
        </w:rPr>
        <w:t xml:space="preserve">In a world of hard power competition, Japan wields something unique: cultural magnetism. Anime, manga, gaming, architecture, cuisine, fashion — Japan exports desire. Nintendo, Sony, Studio Ghibli, Uniqlo: these are not just brands, they are cultural ambassadors that make the world lean toward Japan. No tariff, no diplomatic protest, and no rare earth restriction can diminish the power of a world that grew up dreaming in Japanese aesthetics.</w:t>
      </w:r>
    </w:p>
    <w:p>
      <w:pPr>
        <w:spacing w:after="0" w:before="0"/>
      </w:pPr>
      <w:r>
        <w:br w:type="page"/>
      </w:r>
    </w:p>
    <w:p>
      <w:pPr>
        <w:pStyle w:val="Heading1"/>
        <w:shd w:fill="F2F2F2" w:val="clear"/>
        <w:spacing w:after="120" w:before="480"/>
      </w:pPr>
      <w:r>
        <w:rPr>
          <w:rFonts w:ascii="Arial" w:cs="Arial" w:eastAsia="Arial" w:hAnsi="Arial"/>
          <w:b/>
          <w:bCs/>
          <w:color w:val="C0392B"/>
          <w:sz w:val="40"/>
          <w:szCs w:val="40"/>
        </w:rPr>
        <w:t xml:space="preserve">VII. THE VERDICT</w:t>
      </w:r>
    </w:p>
    <w:p>
      <w:pPr>
        <w:spacing w:after="200" w:before="0"/>
      </w:pPr>
      <w:r>
        <w:rPr>
          <w:rFonts w:ascii="Arial" w:cs="Arial" w:eastAsia="Arial" w:hAnsi="Arial"/>
          <w:b/>
          <w:bCs/>
          <w:i/>
          <w:iCs/>
          <w:color w:val="922B21"/>
          <w:sz w:val="26"/>
          <w:szCs w:val="26"/>
        </w:rPr>
        <w:t xml:space="preserve">What the World Must Watch</w:t>
      </w:r>
    </w:p>
    <w:p>
      <w:pPr>
        <w:pBdr>
          <w:bottom w:val="single" w:color="C0392B" w:sz="12" w:space="1"/>
        </w:pBdr>
        <w:spacing w:after="200" w:before="0"/>
      </w:pPr>
    </w:p>
    <w:p>
      <w:pPr>
        <w:spacing w:after="80" w:before="80"/>
        <w:jc w:val="both"/>
      </w:pPr>
      <w:r>
        <w:rPr>
          <w:rFonts w:ascii="Arial" w:cs="Arial" w:eastAsia="Arial" w:hAnsi="Arial"/>
          <w:color w:val="555555"/>
          <w:sz w:val="22"/>
          <w:szCs w:val="22"/>
        </w:rPr>
        <w:t xml:space="preserve">Japan in 2026 is a country in profound, dignified transition. It is not panicking. It is not posturing. It is calculating. With the precision that built the Shinkansen and the Sony Walkman, Japan is now engineering its geopolitical future with the same meticulous care.</w:t>
      </w:r>
    </w:p>
    <w:p>
      <w:pPr>
        <w:spacing w:after="80" w:before="80"/>
        <w:jc w:val="both"/>
      </w:pPr>
      <w:r>
        <w:rPr>
          <w:rFonts w:ascii="Arial" w:cs="Arial" w:eastAsia="Arial" w:hAnsi="Arial"/>
          <w:color w:val="555555"/>
          <w:sz w:val="22"/>
          <w:szCs w:val="22"/>
        </w:rPr>
        <w:t xml:space="preserve">This is a nation that has survived atomic bombs, economic collapse, devastating earthquakes, and decades of stagnation. It has done so without losing its sense of beauty, its cultural coherence, or its quiet, extraordinary self-belief.</w:t>
      </w:r>
    </w:p>
    <w:p>
      <w:pPr>
        <w:pStyle w:val="Heading2"/>
        <w:spacing w:after="100" w:before="300"/>
      </w:pPr>
      <w:r>
        <w:rPr>
          <w:rFonts w:ascii="Arial" w:cs="Arial" w:eastAsia="Arial" w:hAnsi="Arial"/>
          <w:b/>
          <w:bCs/>
          <w:color w:val="2C2C2C"/>
          <w:sz w:val="28"/>
          <w:szCs w:val="28"/>
        </w:rPr>
        <w:t xml:space="preserve">Five Things to Watch in the Months Ahead</w:t>
      </w:r>
    </w:p>
    <w:p>
      <w:pPr>
        <w:pStyle w:val="ListParagraph"/>
        <w:numPr>
          <w:ilvl w:val="0"/>
          <w:numId w:val="2"/>
        </w:numPr>
        <w:spacing w:after="60" w:before="60"/>
      </w:pPr>
      <w:r>
        <w:rPr>
          <w:rFonts w:ascii="Arial" w:cs="Arial" w:eastAsia="Arial" w:hAnsi="Arial"/>
          <w:color w:val="555555"/>
          <w:sz w:val="22"/>
          <w:szCs w:val="22"/>
        </w:rPr>
        <w:t xml:space="preserve">Will Xi and Takaichi meet at APEC Shenzhen (November 2026)? This handshake — or its absence — defines the decade.</w:t>
      </w:r>
    </w:p>
    <w:p>
      <w:pPr>
        <w:pStyle w:val="ListParagraph"/>
        <w:numPr>
          <w:ilvl w:val="0"/>
          <w:numId w:val="2"/>
        </w:numPr>
        <w:spacing w:after="60" w:before="60"/>
      </w:pPr>
      <w:r>
        <w:rPr>
          <w:rFonts w:ascii="Arial" w:cs="Arial" w:eastAsia="Arial" w:hAnsi="Arial"/>
          <w:color w:val="555555"/>
          <w:sz w:val="22"/>
          <w:szCs w:val="22"/>
        </w:rPr>
        <w:t xml:space="preserve">Will Japan’s long-range missile capabilities trigger a new arms dynamic in the Taiwan Strait?</w:t>
      </w:r>
    </w:p>
    <w:p>
      <w:pPr>
        <w:pStyle w:val="ListParagraph"/>
        <w:numPr>
          <w:ilvl w:val="0"/>
          <w:numId w:val="2"/>
        </w:numPr>
        <w:spacing w:after="60" w:before="60"/>
      </w:pPr>
      <w:r>
        <w:rPr>
          <w:rFonts w:ascii="Arial" w:cs="Arial" w:eastAsia="Arial" w:hAnsi="Arial"/>
          <w:color w:val="555555"/>
          <w:sz w:val="22"/>
          <w:szCs w:val="22"/>
        </w:rPr>
        <w:t xml:space="preserve">Can Takaichi manage inflation and cost-of-living pressures before voter patience expires?</w:t>
      </w:r>
    </w:p>
    <w:p>
      <w:pPr>
        <w:pStyle w:val="ListParagraph"/>
        <w:numPr>
          <w:ilvl w:val="0"/>
          <w:numId w:val="2"/>
        </w:numPr>
        <w:spacing w:after="60" w:before="60"/>
      </w:pPr>
      <w:r>
        <w:rPr>
          <w:rFonts w:ascii="Arial" w:cs="Arial" w:eastAsia="Arial" w:hAnsi="Arial"/>
          <w:color w:val="555555"/>
          <w:sz w:val="22"/>
          <w:szCs w:val="22"/>
        </w:rPr>
        <w:t xml:space="preserve">How will Japan’s new weapons export relationships reshape the Indo-Pacific security architecture?</w:t>
      </w:r>
    </w:p>
    <w:p>
      <w:pPr>
        <w:pStyle w:val="ListParagraph"/>
        <w:numPr>
          <w:ilvl w:val="0"/>
          <w:numId w:val="2"/>
        </w:numPr>
        <w:spacing w:after="60" w:before="60"/>
      </w:pPr>
      <w:r>
        <w:rPr>
          <w:rFonts w:ascii="Arial" w:cs="Arial" w:eastAsia="Arial" w:hAnsi="Arial"/>
          <w:color w:val="555555"/>
          <w:sz w:val="22"/>
          <w:szCs w:val="22"/>
        </w:rPr>
        <w:t xml:space="preserve">Will the ‘Plan B’ minilateral strategy produce a durable alternative to US alliance dependency?</w:t>
      </w:r>
    </w:p>
    <w:p>
      <w:pPr>
        <w:spacing w:after="0" w:before="240"/>
      </w:pPr>
    </w:p>
    <w:p>
      <w:pPr>
        <w:shd w:fill="C0392B" w:val="clear"/>
        <w:spacing w:after="60" w:before="60"/>
        <w:ind w:left="360" w:right="360"/>
        <w:jc w:val="center"/>
      </w:pPr>
      <w:r>
        <w:rPr>
          <w:rFonts w:ascii="Arial" w:cs="Arial" w:eastAsia="Arial" w:hAnsi="Arial"/>
          <w:b/>
          <w:bCs/>
          <w:color w:val="FFFFFF"/>
          <w:sz w:val="22"/>
          <w:szCs w:val="22"/>
        </w:rPr>
        <w:t xml:space="preserve">THE RISING SUN IS RISING AGAIN — DIFFERENTLY, DELIBERATELY, AND WITH GREAT INTENTION.</w:t>
      </w:r>
    </w:p>
    <w:p>
      <w:pPr>
        <w:spacing w:after="0" w:before="240"/>
      </w:pPr>
    </w:p>
    <w:p>
      <w:pPr>
        <w:pBdr>
          <w:left w:val="thick" w:color="C0392B" w:sz="12" w:space="12"/>
          <w:right w:val="thick" w:color="C0392B" w:sz="12" w:space="12"/>
        </w:pBdr>
        <w:spacing w:after="240" w:before="240"/>
        <w:ind w:left="720" w:right="720"/>
        <w:jc w:val="center"/>
      </w:pPr>
      <w:r>
        <w:rPr>
          <w:rFonts w:ascii="Arial" w:cs="Arial" w:eastAsia="Arial" w:hAnsi="Arial"/>
          <w:b/>
          <w:bCs/>
          <w:i/>
          <w:iCs/>
          <w:color w:val="C0392B"/>
          <w:sz w:val="26"/>
          <w:szCs w:val="26"/>
        </w:rPr>
        <w:t xml:space="preserve">“Japan does not shout. It builds. It endures. And then — quietly, completely — it transforms.”</w:t>
      </w:r>
    </w:p>
    <w:p>
      <w:pPr>
        <w:pBdr>
          <w:bottom w:val="single" w:color="C0392B" w:sz="12" w:space="1"/>
        </w:pBdr>
        <w:spacing w:after="200" w:before="0"/>
      </w:pPr>
    </w:p>
    <w:p>
      <w:pPr>
        <w:spacing w:after="120" w:before="360"/>
      </w:pPr>
      <w:r>
        <w:rPr>
          <w:rFonts w:ascii="Arial" w:cs="Arial" w:eastAsia="Arial" w:hAnsi="Arial"/>
          <w:b/>
          <w:bCs/>
          <w:color w:val="2C2C2C"/>
          <w:sz w:val="20"/>
          <w:szCs w:val="20"/>
        </w:rPr>
        <w:t xml:space="preserve">Sources &amp; Intelligence Basis</w:t>
      </w:r>
    </w:p>
    <w:p>
      <w:pPr>
        <w:spacing w:after="60" w:before="0"/>
      </w:pPr>
      <w:r>
        <w:rPr>
          <w:rFonts w:ascii="Arial" w:cs="Arial" w:eastAsia="Arial" w:hAnsi="Arial"/>
          <w:i/>
          <w:iCs/>
          <w:color w:val="555555"/>
          <w:sz w:val="16"/>
          <w:szCs w:val="16"/>
        </w:rPr>
        <w:t xml:space="preserve">Eurasia Group Top Risks 2026 | CSIS Analysis Feb 2026 | Brookings Institution May 2026 | The Diplomat May 2026 | Japan Times | Nippon.com | National Defense Magazine May 2026 | Deloitte Economic Outlook Apr 2026 | Wikipedia: 2025-2026 China-Japan Diplomatic Crisis | GaijinPot Japan Trends | Tourist Japan Statistics 2025-2026 | Elite Asia Digital Trends 2026 | Arigato Travel 2026 Guide</w:t>
      </w:r>
    </w:p>
    <w:p>
      <w:pPr>
        <w:spacing w:after="0" w:before="240"/>
        <w:jc w:val="center"/>
      </w:pPr>
      <w:r>
        <w:rPr>
          <w:rFonts w:ascii="Arial" w:cs="Arial" w:eastAsia="Arial" w:hAnsi="Arial"/>
          <w:b/>
          <w:bCs/>
          <w:color w:val="C0392B"/>
          <w:sz w:val="18"/>
          <w:szCs w:val="18"/>
        </w:rPr>
        <w:t xml:space="preserve">Compiled by Intelligence Desk | May 9,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space="1"/>
      </w:pBdr>
    </w:pPr>
    <w:r>
      <w:rPr>
        <w:rFonts w:ascii="Arial" w:cs="Arial" w:eastAsia="Arial" w:hAnsi="Arial"/>
        <w:color w:val="555555"/>
        <w:sz w:val="18"/>
        <w:szCs w:val="18"/>
      </w:rPr>
      <w:t xml:space="preserve">Compiled May 2026  |  </w:t>
    </w: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space="1"/>
      </w:pBdr>
    </w:pPr>
    <w:r>
      <w:rPr>
        <w:rFonts w:ascii="Arial" w:cs="Arial" w:eastAsia="Arial" w:hAnsi="Arial"/>
        <w:b/>
        <w:bCs/>
        <w:color w:val="C0392B"/>
        <w:sz w:val="18"/>
        <w:szCs w:val="18"/>
      </w:rPr>
      <w:t xml:space="preserve">JAPAN: THE RISING SUN IN A TURBULENT WORLD </w:t>
    </w:r>
    <w:r>
      <w:rPr>
        <w:rFonts w:ascii="Arial" w:cs="Arial" w:eastAsia="Arial" w:hAnsi="Arial"/>
        <w:color w:val="555555"/>
        <w:sz w:val="18"/>
        <w:szCs w:val="18"/>
      </w:rPr>
      <w:t xml:space="preserve"> | May 2026 Intelligence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C0392B"/>
      <w:sz w:val="40"/>
      <w:szCs w:val="40"/>
    </w:rPr>
  </w:style>
  <w:style w:type="paragraph" w:styleId="Heading2">
    <w:name w:val="Heading 2"/>
    <w:basedOn w:val="Normal"/>
    <w:next w:val="Normal"/>
    <w:qFormat/>
    <w:pPr>
      <w:spacing w:after="100" w:before="300"/>
      <w:outlineLvl w:val="1"/>
    </w:pPr>
    <w:rPr>
      <w:rFonts w:ascii="Arial" w:cs="Arial" w:eastAsia="Arial" w:hAnsi="Arial"/>
      <w:b/>
      <w:bCs/>
      <w:color w:val="2C2C2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2026-05-09T07:10:08.235Z</dcterms:created>
  <dcterms:modified xsi:type="dcterms:W3CDTF">2026-05-09T07:10:08.236Z</dcterms:modified>
</cp:coreProperties>
</file>

<file path=docProps/custom.xml><?xml version="1.0" encoding="utf-8"?>
<Properties xmlns="http://schemas.openxmlformats.org/officeDocument/2006/custom-properties" xmlns:vt="http://schemas.openxmlformats.org/officeDocument/2006/docPropsVTypes"/>
</file>