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Fonts w:ascii="Aptos" w:cs="Aptos" w:eastAsia="Aptos" w:hAnsi="Aptos"/>
          <w:b w:val="0"/>
          <w:bCs w:val="0"/>
          <w:i w:val="0"/>
          <w:iCs w:val="0"/>
          <w:smallCaps w:val="0"/>
          <w:strike w:val="0"/>
          <w:color w:val="000000"/>
          <w:sz w:val="24"/>
          <w:szCs w:val="24"/>
          <w:u w:val="none"/>
          <w:shd w:fill="auto" w:val="clear"/>
          <w:vertAlign w:val="baseline"/>
        </w:rPr>
        <w:drawing>
          <wp:inline distB="0" distT="0" distL="0" distR="0">
            <wp:extent cx="6038850" cy="5824008"/>
            <wp:effectExtent b="0" l="0" r="0" t="0"/>
            <wp:docPr descr="OpenAI_Photography_2026_04" id="1" name="image1.png"/>
            <a:graphic>
              <a:graphicData uri="http://schemas.openxmlformats.org/drawingml/2006/picture">
                <pic:pic>
                  <pic:nvPicPr>
                    <pic:cNvPr descr="OpenAI_Photography_2026_04" id="0" name="image1.png"/>
                    <pic:cNvPicPr preferRelativeResize="0"/>
                  </pic:nvPicPr>
                  <pic:blipFill>
                    <a:blip r:embed="rId7"/>
                    <a:srcRect b="1779" l="0" r="0" t="1779"/>
                    <a:stretch>
                      <a:fillRect/>
                    </a:stretch>
                  </pic:blipFill>
                  <pic:spPr>
                    <a:xfrm>
                      <a:off x="0" y="0"/>
                      <a:ext cx="6038850" cy="5824008"/>
                    </a:xfrm>
                    <a:prstGeom prst="rect"/>
                    <a:ln/>
                  </pic:spPr>
                </pic:pic>
              </a:graphicData>
            </a:graphic>
          </wp:inline>
        </w:drawing>
      </w:r>
      <w:r>
        <w:rPr>
          <w:rtl w:val="0"/>
        </w:rPr>
      </w:r>
    </w:p>
    <w:p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Pr>
          <w:rtl w:val="0"/>
        </w:rPr>
      </w:r>
    </w:p>
    <w:p w14:paraId="00000003">
      <w:pPr>
        <w:pStyle w:val="Title"/>
        <w:keepNext w:val="1"/>
        <w:spacing w:after="100" w:line="278.00000000000006" w:lineRule="auto"/>
        <w:rPr/>
      </w:pPr>
      <w:r>
        <w:t>SWE Resume Research</w:t>
      </w:r>
    </w:p>
    <w:tbl>
      <w:tblPr>
        <w:tblStyle w:val="Table1"/>
        <w:tblW w:w="9360.0" w:type="dxa"/>
        <w:jc w:val="left"/>
        <w:tblLayout w:type="fixed"/>
        <w:tblLook w:val="0600"/>
      </w:tblPr>
      <w:tblGrid>
        <w:gridCol w:w="4305"/>
        <w:gridCol w:w="901.6666666666654"/>
        <w:gridCol w:w="4153.333333333335"/>
        <w:tblGridChange w:id="0">
          <w:tblGrid>
            <w:gridCol w:w="4305"/>
            <w:gridCol w:w="901.6666666666654"/>
            <w:gridCol w:w="4153.333333333335"/>
          </w:tblGrid>
        </w:tblGridChange>
      </w:tblGrid>
      <w:tr>
        <w:trPr>
          <w:cantSplit w:val="1"/>
          <w:tblHeader w:val="0"/>
        </w:trPr>
        <w:tc>
          <w:tcPr>
            <w:tcMar>
              <w:top w:w="0.0" w:type="dxa"/>
              <w:left w:w="0.0" w:type="dxa"/>
              <w:bottom w:w="0.0" w:type="dxa"/>
              <w:right w:w="0.0" w:type="dxa"/>
            </w:tcMar>
          </w:tcPr>
          <w:p>
            <w:r>
              <w:t>Current internship-resume research, hiring signals, and a source-verified public-screener audit.</w:t>
            </w:r>
          </w:p>
        </w:tc>
        <w:tc>
          <w:tcPr>
            <w:tcMar>
              <w:top w:w="0.0" w:type="dxa"/>
              <w:left w:w="0.0" w:type="dxa"/>
              <w:bottom w:w="0.0" w:type="dxa"/>
              <w:right w:w="0.0" w:type="dxa"/>
            </w:tcMar>
          </w:tcPr>
          <w:p w14:paraId="00000005">
            <w:pPr>
              <w:spacing w:after="0" w:line="240" w:lineRule="auto"/>
              <w:rPr>
                <w:color w:val="666666"/>
              </w:rPr>
            </w:pPr>
            <w:r>
              <w:rPr>
                <w:rtl w:val="0"/>
              </w:rPr>
            </w:r>
          </w:p>
        </w:tc>
        <w:tc>
          <w:tcPr>
            <w:tcMar>
              <w:top w:w="0.0" w:type="dxa"/>
              <w:left w:w="0.0" w:type="dxa"/>
              <w:bottom w:w="0.0" w:type="dxa"/>
              <w:right w:w="0.0" w:type="dxa"/>
            </w:tcMar>
          </w:tcPr>
          <w:p>
            <w:r>
              <w:t>Prepared for Aarush Agarwal</w:t>
              <w:br/>
              <w:t>13 August 2026</w:t>
            </w:r>
          </w:p>
        </w:tc>
      </w:tr>
    </w:tbl>
    <w:p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78.00000000000006" w:lineRule="auto"/>
        <w:ind w:left="0" w:right="0" w:firstLine="0"/>
        <w:jc w:val="left"/>
        <w:rPr>
          <w:rFonts w:ascii="Helvetica Neue" w:cs="Helvetica Neue" w:eastAsia="Helvetica Neue" w:hAnsi="Helvetica Neue"/>
          <w:b w:val="0"/>
          <w:bCs w:val="0"/>
          <w:i w:val="0"/>
          <w:iCs w:val="0"/>
          <w:smallCaps w:val="0"/>
          <w:strike w:val="0"/>
          <w:color w:val="7a7a7a"/>
          <w:sz w:val="18"/>
          <w:szCs w:val="18"/>
          <w:u w:val="none"/>
          <w:shd w:fill="auto" w:val="clear"/>
          <w:vertAlign w:val="baseline"/>
        </w:rPr>
        <w:sectPr>
          <w:footerReference r:id="rId8" w:type="default"/>
          <w:pgSz w:h="15840" w:w="12240" w:orient="portrait"/>
          <w:pgMar w:bottom="1440" w:top="1440" w:left="1440" w:right="1440" w:header="720" w:footer="720"/>
          <w:pgNumType w:start="1"/>
        </w:sectPr>
      </w:pPr>
      <w:r>
        <w:rPr>
          <w:rtl w:val="0"/>
        </w:rPr>
      </w:r>
    </w:p>
    <w:p w14:paraId="00000009">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rFonts w:ascii="Helvetica Neue" w:cs="Helvetica Neue" w:eastAsia="Helvetica Neue" w:hAnsi="Helvetica Neue"/>
          <w:b w:val="0"/>
          <w:bCs w:val="0"/>
          <w:i w:val="0"/>
          <w:iCs w:val="0"/>
          <w:smallCaps w:val="0"/>
          <w:strike w:val="0"/>
          <w:color w:val="000000"/>
          <w:sz w:val="48"/>
          <w:szCs w:val="48"/>
          <w:u w:val="none"/>
          <w:shd w:fill="auto" w:val="clear"/>
          <w:vertAlign w:val="baseline"/>
        </w:rPr>
      </w:pPr>
      <w:r>
        <w:rPr>
          <w:rFonts w:ascii="Helvetica Neue" w:cs="Helvetica Neue" w:eastAsia="Helvetica Neue" w:hAnsi="Helvetica Neue"/>
          <w:b w:val="0"/>
          <w:bCs w:val="0"/>
          <w:i w:val="0"/>
          <w:iCs w:val="0"/>
          <w:smallCaps w:val="0"/>
          <w:strike w:val="0"/>
          <w:color w:val="000000"/>
          <w:sz w:val="48"/>
          <w:szCs w:val="48"/>
          <w:u w:val="none"/>
          <w:shd w:fill="auto" w:val="clear"/>
          <w:vertAlign w:val="baseline"/>
          <w:rtl w:val="0"/>
        </w:rPr>
        <w:t xml:space="preserve">Contents</w:t>
      </w:r>
    </w:p>
    <w:p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360" w:before="360" w:line="278.00000000000006" w:lineRule="auto"/>
        <w:ind w:left="0" w:right="0" w:firstLine="0"/>
        <w:jc w:val="left"/>
        <w:rPr>
          <w:sz w:val="48"/>
          <w:szCs w:val="48"/>
        </w:rPr>
      </w:pPr>
      <w:r>
        <w:rPr>
          <w:rtl w:val="0"/>
        </w:rPr>
      </w:r>
    </w:p>
    <w:sdt>
      <w:sdtPr>
        <w:id w:val="-2107746825"/>
        <w:docPartObj>
          <w:docPartGallery w:val="Table of Contents"/>
          <w:docPartUnique w:val="1"/>
        </w:docPartObj>
      </w:sdtPr>
      <w:sdtContent>
        <w:p w14:paraId="0000000B">
          <w:pPr>
            <w:widowControl w:val="0"/>
            <w:tabs>
              <w:tab w:val="right" w:leader="dot" w:pos="12000"/>
            </w:tabs>
            <w:spacing w:after="0" w:before="60" w:line="240" w:lineRule="auto"/>
            <w:rPr>
              <w:b w:val="1"/>
              <w:bCs w:val="1"/>
              <w:color w:val="000000"/>
              <w:u w:val="none"/>
            </w:rPr>
          </w:pPr>
          <w:r>
            <w:fldChar w:fldCharType="begin"/>
            <w:instrText xml:space="preserve"> TOC \h \u \z \t "Heading 1,1,Heading 2,2,Heading 3,3,Heading 4,4,Heading 5,5,Heading 6,6,"</w:instrText>
            <w:fldChar w:fldCharType="separate"/>
          </w: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Executive summary</w:t>
              <w:tab/>
              <w:t xml:space="preserve">3</w:t>
            </w:r>
          </w:hyperlink>
          <w:r>
            <w:rPr>
              <w:rtl w:val="0"/>
            </w:rPr>
          </w:r>
        </w:p>
        <w:p w14:paraId="0000000C">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Research boundaries</w:t>
              <w:tab/>
              <w:t xml:space="preserve">3</w:t>
            </w:r>
          </w:hyperlink>
          <w:r>
            <w:rPr>
              <w:rtl w:val="0"/>
            </w:rPr>
          </w:r>
        </w:p>
        <w:p w14:paraId="0000000D">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Public screener audit</w:t>
              <w:tab/>
              <w:t xml:space="preserve">4</w:t>
            </w:r>
          </w:hyperlink>
          <w:r>
            <w:rPr>
              <w:rtl w:val="0"/>
            </w:rPr>
          </w:r>
        </w:p>
        <w:p w14:paraId="0000000E">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SWE resume guidance</w:t>
              <w:tab/>
              <w:t xml:space="preserve">11</w:t>
            </w:r>
          </w:hyperlink>
          <w:r>
            <w:rPr>
              <w:rtl w:val="0"/>
            </w:rPr>
          </w:r>
        </w:p>
        <w:p w14:paraId="0000000F">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Hiring reality and parsing</w:t>
              <w:tab/>
              <w:t xml:space="preserve">12</w:t>
            </w:r>
          </w:hyperlink>
          <w:r>
            <w:rPr>
              <w:rtl w:val="0"/>
            </w:rPr>
          </w:r>
        </w:p>
        <w:p w14:paraId="00000010">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Content and tailoring</w:t>
              <w:tab/>
              <w:t xml:space="preserve">13</w:t>
            </w:r>
          </w:hyperlink>
          <w:r>
            <w:rPr>
              <w:rtl w:val="0"/>
            </w:rPr>
          </w:r>
        </w:p>
        <w:p w14:paraId="00000011">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Projects and internship evidence</w:t>
              <w:tab/>
              <w:t xml:space="preserve">15</w:t>
            </w:r>
          </w:hyperlink>
          <w:r>
            <w:rPr>
              <w:rtl w:val="0"/>
            </w:rPr>
          </w:r>
        </w:p>
        <w:p w14:paraId="00000012">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Formatting and review</w:t>
              <w:tab/>
              <w:t xml:space="preserve">17</w:t>
            </w:r>
          </w:hyperlink>
          <w:r>
            <w:rPr>
              <w:rtl w:val="0"/>
            </w:rPr>
          </w:r>
        </w:p>
        <w:p w14:paraId="00000013">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Recommendations</w:t>
              <w:tab/>
              <w:t xml:space="preserve">6</w:t>
            </w:r>
          </w:hyperlink>
          <w:r>
            <w:rPr>
              <w:rtl w:val="0"/>
            </w:rPr>
          </w:r>
        </w:p>
        <w:p w14:paraId="00000014">
          <w:pPr>
            <w:widowControl w:val="0"/>
            <w:tabs>
              <w:tab w:val="right" w:leader="dot" w:pos="12000"/>
            </w:tabs>
            <w:spacing w:after="0" w:before="60" w:line="240" w:lineRule="auto"/>
            <w:rPr>
              <w:b w:val="1"/>
              <w:bCs w:val="1"/>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Conclusion</w:t>
              <w:tab/>
              <w:t xml:space="preserve">6</w:t>
            </w:r>
          </w:hyperlink>
          <w:r>
            <w:rPr>
              <w:rtl w:val="0"/>
            </w:rPr>
          </w:r>
        </w:p>
        <w:p w14:paraId="00000015">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Appendix: source ledger</w:t>
              <w:tab/>
              <w:t xml:space="preserve">10</w:t>
            </w:r>
          </w:hyperlink>
          <w:r>
            <w:rPr>
              <w:rtl w:val="0"/>
            </w:rPr>
          </w:r>
        </w:p>
        <w:p w14:paraId="00000016">
          <w:pPr>
            <w:widowControl w:val="0"/>
            <w:tabs>
              <w:tab w:val="right" w:leader="dot" w:pos="12000"/>
            </w:tabs>
            <w:spacing w:after="0" w:before="60" w:line="240" w:lineRule="auto"/>
            <w:ind w:left="360" w:firstLine="0"/>
            <w:rPr>
              <w:color w:val="000000"/>
              <w:u w:val="none"/>
            </w:rPr>
          </w:pPr>
          <w:hyperlink w:anchor="_heading=">
            <w:r>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ab/>
              <w:t xml:space="preserve"/>
            </w:r>
          </w:hyperlink>
          <w:r>
            <w:rPr>
              <w:rtl w:val="0"/>
            </w:rPr>
          </w:r>
          <w:r>
            <w:fldChar w:fldCharType="end"/>
          </w:r>
        </w:p>
      </w:sdtContent>
    </w:sdt>
    <w:bookmarkStart w:colFirst="0" w:colLast="0" w:name="bookmark=id.i23wo83gyh7m" w:id="1"/>
    <w:bookmarkEnd w:id="1"/>
    <w:p w14:paraId="00000017">
      <w:pPr>
        <w:pStyle w:val="Heading1"/>
        <w:pageBreakBefore w:val="1"/>
        <w:rPr/>
      </w:pPr>
      <w:r>
        <w:t>Executive summary</w:t>
      </w:r>
    </w:p>
    <w:p w14:paraId="00000018">
      <w:pPr>
        <w:rPr/>
      </w:pPr>
      <w:r>
        <w:t>This report combines two distinct bodies of evidence. Part I reconstructs the public code of interviewstreet/hiring-agent at commit 70fd3ea (cloned 13 August 2026). Part II synthesizes current employer, hiring-platform, and university technical-resume guidance for software-engineering internships. The shared conclusion is evidence-first: make truthful work legible to both people and parsers; do not chase a supposed universal ATS score.</w:t>
      </w:r>
    </w:p>
    <w:p w14:paraId="00000019">
      <w:pPr>
        <w:rPr/>
      </w:pPr>
      <w:r>
        <w:t>Hiring systems vary. Microsoft documents an AI parser that extracts resume fields; the audited public project uses an LLM rubric and selected GitHub metadata. Neither is a proxy for every employer. Across sources, the durable moves are a simple readable file, a separate relevant-skills section, clear role-specific terminology, and bullets that say what was built, how, and why it mattered. The report labels organization guidance and reasoned recommendations separately from verified system behavior.</w:t>
      </w:r>
    </w:p>
    <w:bookmarkStart w:colFirst="0" w:colLast="0" w:name="bookmark=id.1sqjewf8afxt" w:id="2"/>
    <w:bookmarkEnd w:id="2"/>
    <w:p w14:paraId="0000001A">
      <w:pPr>
        <w:pStyle w:val="Heading2"/>
        <w:rPr/>
      </w:pPr>
      <w:r>
        <w:t>Research boundaries</w:t>
      </w:r>
    </w:p>
    <w:p w14:paraId="0000001B">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There is no evidence here for a magic keyword density, universal one-page rule, or a guarantee that a recruiter will click GitHub. The current source base supports a more modest claim: parsing and high application volume make clarity valuable, while concrete work and project evidence give a reviewer a reason to advance a candidate.</w:t>
      </w:r>
    </w:p>
    <w:p w14:paraId="0000001C">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For students without prior SWE internships, technical projects, class work, research, student teams, part-time work, and volunteer engineering can be legitimate evidence when accurately labelled and described. Professional internship experience normally carries greater weight, but projects are an important substitute for a blank technical record—not a reason to invent production impact.</w:t>
      </w:r>
    </w:p>
    <w:p w14:paraId="0000001D">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The public Hiring Agent is useful as a case study, not a hiring oracle. Its shipped Software Intern rubric assigns 35 points to open source, 30 to self projects, 25 to production experience, and 10 to technical skills; that weighting is a local policy rather than a general industry standard.</w:t>
      </w:r>
    </w:p>
    <w:bookmarkStart w:colFirst="0" w:colLast="0" w:name="bookmark=id.4t4jj91ycfx" w:id="3"/>
    <w:bookmarkEnd w:id="3"/>
    <w:p w14:paraId="0000001E">
      <w:pPr>
        <w:pStyle w:val="Heading2"/>
        <w:rPr/>
      </w:pPr>
      <w:r>
        <w:t>Scope and method</w:t>
      </w:r>
    </w:p>
    <w:p w14:paraId="0000001F">
      <w:pPr>
        <w:rPr/>
      </w:pPr>
      <w:r>
        <w:t>Primary system evidence is a read-only clone of the public repository at the pinned commit above, plus the project README and GitHub REST documentation. Current resume research prioritizes direct employer materials (Microsoft), a 2026 hiring-platform benchmark (Greenhouse), and university engineering/career-center guidance (UIC, UT Austin, UC Davis, and UC Berkeley). It separates executable behavior from rubrics, from organization advice, and from this report's practical inferences.</w:t>
      </w:r>
    </w:p>
    <w:p w14:paraId="00000020">
      <w:pPr>
        <w:rPr/>
      </w:pPr>
      <w:r>
        <w:t>This preserves the earlier conversation's research question—what grounds the agent, what it scores, and how much keyword search drives ranking—while adding the missing broader research on SWE resumes and internships. It does not evaluate a specific candidate's current resume; that would require the actual document and target postings.</w:t>
      </w:r>
    </w:p>
    <w:bookmarkStart w:colFirst="0" w:colLast="0" w:name="bookmark=id.xx7bxdemqiq" w:id="4"/>
    <w:bookmarkEnd w:id="4"/>
    <w:p w14:paraId="00000021">
      <w:pPr>
        <w:pStyle w:val="Heading1"/>
        <w:pageBreakBefore w:val="1"/>
        <w:rPr/>
      </w:pPr>
      <w:r>
        <w:t>Key findings</w:t>
      </w:r>
    </w:p>
    <w:p w14:paraId="00000022">
      <w:pPr>
        <w:rPr/>
      </w:pPr>
      <w:r>
        <w:t>Five evidence-flow observations change how the score should be interpreted. The first two describe what reaches the final judge; the next three distinguish hand-written policy from code-enforced evidence.</w:t>
      </w:r>
    </w:p>
    <w:p w14:paraId="00000023">
      <w:pPr>
        <w:pStyle w:val="Heading2"/>
        <w:rPr/>
      </w:pPr>
      <w:r>
        <w:t>1. Pipeline and evidence flow</w:t>
      </w:r>
    </w:p>
    <w:p w14:paraId="00000024">
      <w:pPr>
        <w:rPr/>
      </w:pPr>
      <w:r>
        <w:t>PyMuPDF converts the PDF to Markdown-like text. The system asks the configured LLM to extract basics, work, education, skills, projects, and awards into JSON Resume-like sections. If the extracted basics profiles contain a GitHub network entry, it fetches the public profile, up to 100 repositories, and contributor lists; an LLM then chooses projects. The evaluator receives formatted resume text plus only a reduced GitHub summary and returns category scores, evidence, bonus, deductions, strengths, and improvements.</w:t>
      </w:r>
    </w:p>
    <w:p w14:paraId="00000025">
      <w:pPr>
        <w:pStyle w:val="Heading2"/>
        <w:rPr/>
      </w:pPr>
      <w:r>
        <w:t>2. What the final evaluator actually sees</w:t>
      </w:r>
    </w:p>
    <w:p w14:paraId="00000026">
      <w:pPr>
        <w:rPr/>
      </w:pPr>
      <w:r>
        <w:t>The resume formatter passes name, email, phone, website, location, education, grades, work, skills, projects, awards, and more. The GitHub formatter passes profile username, name, bio, public-repo count, followers, following, account dates, plus (for up to ten selected projects) name, description, GitHub URL, stars, forks, and primary language. It does not print project_type, contributor_count, author_commit_count, total_commit_count, live_url, topics, created/updated dates, size, archived state, or open issues.</w:t>
      </w:r>
    </w:p>
    <w:p w14:paraId="00000027">
      <w:pPr>
        <w:rPr/>
      </w:pPr>
      <w:r>
        <w:rPr>
          <w:rtl w:val="0"/>
        </w:rPr>
      </w:r>
    </w:p>
    <w:p w14:paraId="00000028">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pPr>
      <w:r>
        <w:t>Key takeaway. The rubric tells the model to use GitHub project_type and to distinguish self projects from true open source, but the final evaluator text drops project_type and contribution counts. That classification can influence the selector, yet it is not direct scoring evidence in the final prompt.</w:t>
      </w:r>
    </w:p>
    <w:p w14:paraId="00000029">
      <w:pPr>
        <w:pStyle w:val="Heading2"/>
        <w:rPr/>
      </w:pPr>
      <w:r>
        <w:rPr>
          <w:rtl w:val="0"/>
        </w:rPr>
      </w:r>
    </w:p>
    <w:bookmarkStart w:colFirst="0" w:colLast="0" w:name="bookmark=id.suv0vlq0gz4r" w:id="5"/>
    <w:bookmarkEnd w:id="5"/>
    <w:p w14:paraId="0000002A">
      <w:pPr>
        <w:pStyle w:val="Heading2"/>
        <w:rPr/>
      </w:pPr>
      <w:r>
        <w:t>Implications</w:t>
      </w:r>
    </w:p>
    <w:p w14:paraId="0000002B">
      <w:pPr>
        <w:rPr/>
      </w:pPr>
      <w:r>
        <w:t>The system has real evidence inputs, but it is not an evidence-verification engine. Claims about impact, architecture, project quality, and working demos are mostly LLM interpretations of resume text and repository descriptions. The comparison below separates intent from the observable code path.</w:t>
      </w:r>
    </w:p>
    <w:tbl>
      <w:tblPr>
        <w:tblStyle w:val="Table2"/>
        <w:tblW w:w="9120.0" w:type="dxa"/>
        <w:jc w:val="left"/>
        <w:tblInd w:w="120.0" w:type="dxa"/>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400"/>
      </w:tblPr>
      <w:tblGrid>
        <w:gridCol w:w="1800"/>
        <w:gridCol w:w="3300"/>
        <w:gridCol w:w="4020"/>
        <w:tblGridChange w:id="0">
          <w:tblGrid>
            <w:gridCol w:w="1800"/>
            <w:gridCol w:w="3300"/>
            <w:gridCol w:w="4020"/>
          </w:tblGrid>
        </w:tblGridChange>
      </w:tblGrid>
      <w:tr>
        <w:trPr>
          <w:cantSplit w:val="0"/>
          <w:tblHeader w:val="1"/>
        </w:trPr>
        <w:tc>
          <w:tcPr>
            <w:shd w:fill="f2f2f2" w:val="clear"/>
            <w:tcMar>
              <w:top w:w="110.0" w:type="dxa"/>
              <w:bottom w:w="110.0" w:type="dxa"/>
            </w:tcMar>
            <w:vAlign w:val="center"/>
          </w:tcPr>
          <w:p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Theme</w:t>
            </w:r>
            <w:r>
              <w:rPr>
                <w:rtl w:val="0"/>
              </w:rPr>
            </w:r>
          </w:p>
        </w:tc>
        <w:tc>
          <w:tcPr>
            <w:shd w:fill="f2f2f2" w:val="clear"/>
            <w:tcMar>
              <w:top w:w="110.0" w:type="dxa"/>
              <w:bottom w:w="110.0" w:type="dxa"/>
            </w:tcMar>
            <w:vAlign w:val="center"/>
          </w:tcPr>
          <w:p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Observation</w:t>
            </w:r>
            <w:r>
              <w:rPr>
                <w:rtl w:val="0"/>
              </w:rPr>
            </w:r>
          </w:p>
        </w:tc>
        <w:tc>
          <w:tcPr>
            <w:shd w:fill="f2f2f2" w:val="clear"/>
            <w:tcMar>
              <w:top w:w="110.0" w:type="dxa"/>
              <w:bottom w:w="110.0" w:type="dxa"/>
            </w:tcMar>
            <w:vAlign w:val="center"/>
          </w:tcPr>
          <w:p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Helvetica Neue" w:cs="Helvetica Neue" w:eastAsia="Helvetica Neue" w:hAnsi="Helvetica Neue"/>
                <w:b w:val="0"/>
                <w:bCs w:val="0"/>
                <w:i w:val="0"/>
                <w:iCs w:val="0"/>
                <w:smallCaps w:val="0"/>
                <w:strike w:val="0"/>
                <w:color w:val="000000"/>
                <w:sz w:val="18"/>
                <w:szCs w:val="18"/>
                <w:u w:val="none"/>
                <w:shd w:fill="auto" w:val="clear"/>
                <w:vertAlign w:val="baseline"/>
              </w:rPr>
            </w:pPr>
            <w:r>
              <w:rPr>
                <w:rFonts w:ascii="Helvetica Neue" w:cs="Helvetica Neue" w:eastAsia="Helvetica Neue" w:hAnsi="Helvetica Neue"/>
                <w:b w:val="1"/>
                <w:bCs w:val="1"/>
                <w:i w:val="0"/>
                <w:iCs w:val="0"/>
                <w:smallCaps w:val="0"/>
                <w:strike w:val="0"/>
                <w:color w:val="000000"/>
                <w:sz w:val="18"/>
                <w:szCs w:val="18"/>
                <w:u w:val="none"/>
                <w:shd w:fill="auto" w:val="clear"/>
                <w:vertAlign w:val="baseline"/>
                <w:rtl w:val="0"/>
              </w:rPr>
              <w:t xml:space="preserve">Implication</w:t>
            </w:r>
            <w:r>
              <w:rPr>
                <w:rtl w:val="0"/>
              </w:rPr>
            </w:r>
          </w:p>
        </w:tc>
      </w:tr>
      <w:tr>
        <w:trPr>
          <w:cantSplit w:val="0"/>
          <w:tblHeader w:val="0"/>
        </w:trPr>
        <w:tc>
          <w:tcPr>
            <w:shd w:fill="ffffff" w:val="clear"/>
            <w:tcMar>
              <w:top w:w="110.0" w:type="dxa"/>
              <w:bottom w:w="110.0" w:type="dxa"/>
            </w:tcMar>
            <w:vAlign w:val="center"/>
          </w:tcPr>
          <w:p>
            <w:r>
              <w:t>Grounding</w:t>
            </w:r>
          </w:p>
        </w:tc>
        <w:tc>
          <w:tcPr>
            <w:shd w:fill="ffffff" w:val="clear"/>
            <w:tcMar>
              <w:top w:w="110.0" w:type="dxa"/>
              <w:bottom w:w="110.0" w:type="dxa"/>
            </w:tcMar>
            <w:vAlign w:val="center"/>
          </w:tcPr>
          <w:p>
            <w:r>
              <w:t>Extracted resume fields; selected GitHub profile and repo metadata</w:t>
            </w:r>
          </w:p>
        </w:tc>
        <w:tc>
          <w:tcPr>
            <w:shd w:fill="ffffff" w:val="clear"/>
            <w:tcMar>
              <w:top w:w="110.0" w:type="dxa"/>
              <w:bottom w:w="110.0" w:type="dxa"/>
            </w:tcMar>
            <w:vAlign w:val="center"/>
          </w:tcPr>
          <w:p>
            <w:r>
              <w:t>Useful context, but an LLM extraction and formatting layer can omit or distort evidence</w:t>
            </w:r>
          </w:p>
        </w:tc>
      </w:tr>
      <w:tr>
        <w:trPr>
          <w:cantSplit w:val="0"/>
          <w:tblHeader w:val="0"/>
        </w:trPr>
        <w:tc>
          <w:tcPr>
            <w:shd w:fill="ffffff" w:val="clear"/>
            <w:tcMar>
              <w:top w:w="110.0" w:type="dxa"/>
              <w:bottom w:w="110.0" w:type="dxa"/>
            </w:tcMar>
            <w:vAlign w:val="center"/>
          </w:tcPr>
          <w:p>
            <w:r>
              <w:t>Open source</w:t>
            </w:r>
          </w:p>
        </w:tc>
        <w:tc>
          <w:tcPr>
            <w:shd w:fill="ffffff" w:val="clear"/>
            <w:tcMar>
              <w:top w:w="110.0" w:type="dxa"/>
              <w:bottom w:w="110.0" w:type="dxa"/>
            </w:tcMar>
            <w:vAlign w:val="center"/>
          </w:tcPr>
          <w:p>
            <w:r>
              <w:t>More than one fetched contributor =&gt; open_source</w:t>
            </w:r>
          </w:p>
        </w:tc>
        <w:tc>
          <w:tcPr>
            <w:shd w:fill="ffffff" w:val="clear"/>
            <w:tcMar>
              <w:top w:w="110.0" w:type="dxa"/>
              <w:bottom w:w="110.0" w:type="dxa"/>
            </w:tcMar>
            <w:vAlign w:val="center"/>
          </w:tcPr>
          <w:p>
            <w:r>
              <w:t>A collaboration is not necessarily public OSS; label and commit count do not reach final judge</w:t>
            </w:r>
          </w:p>
        </w:tc>
      </w:tr>
      <w:tr>
        <w:trPr>
          <w:cantSplit w:val="0"/>
          <w:tblHeader w:val="0"/>
        </w:trPr>
        <w:tc>
          <w:tcPr>
            <w:shd w:fill="ffffff" w:val="clear"/>
            <w:tcMar>
              <w:top w:w="110.0" w:type="dxa"/>
              <w:bottom w:w="110.0" w:type="dxa"/>
            </w:tcMar>
            <w:vAlign w:val="center"/>
          </w:tcPr>
          <w:p>
            <w:r>
              <w:t>Verification</w:t>
            </w:r>
          </w:p>
        </w:tc>
        <w:tc>
          <w:tcPr>
            <w:shd w:fill="ffffff" w:val="clear"/>
            <w:tcMar>
              <w:top w:w="110.0" w:type="dxa"/>
              <w:bottom w:w="110.0" w:type="dxa"/>
            </w:tcMar>
            <w:vAlign w:val="center"/>
          </w:tcPr>
          <w:p>
            <w:r>
              <w:t>No source call reads repository code, README content, PRs, or external demo URLs</w:t>
            </w:r>
          </w:p>
        </w:tc>
        <w:tc>
          <w:tcPr>
            <w:shd w:fill="ffffff" w:val="clear"/>
            <w:tcMar>
              <w:top w:w="110.0" w:type="dxa"/>
              <w:bottom w:w="110.0" w:type="dxa"/>
            </w:tcMar>
            <w:vAlign w:val="center"/>
          </w:tcPr>
          <w:p>
            <w:r>
              <w:t>Claims and link status are not independently validated</w:t>
            </w:r>
          </w:p>
        </w:tc>
      </w:tr>
    </w:tbl>
    <w:bookmarkStart w:colFirst="0" w:colLast="0" w:name="bookmark=id.vvr4bduzzdc0" w:id="6"/>
    <w:bookmarkEnd w:id="6"/>
    <w:p w14:paraId="00000038">
      <w:pPr>
        <w:pStyle w:val="Heading1"/>
        <w:pageBreakBefore w:val="1"/>
        <w:rPr/>
      </w:pPr>
      <w:r>
        <w:t>Recommendations</w:t>
      </w:r>
    </w:p>
    <w:p w14:paraId="00000039">
      <w:pPr>
        <w:rPr/>
      </w:pPr>
      <w:r>
        <w:t>For a candidate or reviewer, use the report as a lens for interpreting outputs and for deciding what evidence to retain outside the score. Do not optimize by inventing trigger words or unsupported claims.</w:t>
      </w:r>
    </w:p>
    <w:p w14:paraId="0000003A">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b/>
        </w:rPr>
        <w:t>Read the evidence, not just the total.</w:t>
      </w:r>
      <w:r>
        <w:t xml:space="preserve"> Preserve the evaluated JSON, source commit, role, model, parameters, and GitHub snapshot; otherwise a number is not reproducible or auditable.</w:t>
      </w:r>
    </w:p>
    <w:p w14:paraId="0000003B">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b/>
        </w:rPr>
        <w:t>Make genuine evidence explicit.</w:t>
      </w:r>
      <w:r>
        <w:t xml:space="preserve"> Put credible scope, contribution, link, deployment, and technical details near the relevant work or project. The model sees descriptions and links, but it does not prove them.</w:t>
      </w:r>
    </w:p>
    <w:p w14:paraId="0000003C">
      <w:pPr>
        <w:keepNext w:val="0"/>
        <w:keepLines w:val="1"/>
        <w:pageBreakBefore w:val="0"/>
        <w:widowControl w:val="1"/>
        <w:numPr>
          <w:ilvl w:val="0"/>
          <w:numId w:val="2"/>
        </w:numPr>
        <w:pBdr>
          <w:top w:space="0" w:sz="0" w:val="nil"/>
          <w:left w:space="0" w:sz="0" w:val="nil"/>
          <w:bottom w:space="0" w:sz="0" w:val="nil"/>
          <w:right w:space="0" w:sz="0" w:val="nil"/>
          <w:between w:space="0" w:sz="0" w:val="nil"/>
        </w:pBdr>
        <w:shd w:fill="auto" w:val="clear"/>
        <w:spacing w:after="180" w:before="0" w:line="276" w:lineRule="auto"/>
        <w:ind w:left="540" w:right="0" w:hanging="270"/>
        <w:jc w:val="left"/>
        <w:rPr/>
      </w:pPr>
      <w:r>
        <w:rPr>
          <w:b/>
        </w:rPr>
        <w:t>Use a role-specific human review.</w:t>
      </w:r>
      <w:r>
        <w:t xml:space="preserve"> The shipped role has no supplied job description and substantially rewards public open source plus self projects. Add a job-specific, independently checked rubric before any meaningful selection decision.</w:t>
      </w:r>
    </w:p>
    <w:bookmarkStart w:colFirst="0" w:colLast="0" w:name="bookmark=id.rl3o3rp5qmnq" w:id="7"/>
    <w:bookmarkEnd w:id="7"/>
    <w:p w14:paraId="0000003D">
      <w:pPr>
        <w:pStyle w:val="Heading2"/>
        <w:rPr/>
      </w:pPr>
      <w:r>
        <w:t>Conclusion</w:t>
      </w:r>
    </w:p>
    <w:p w14:paraId="0000003E">
      <w:pPr>
        <w:rPr/>
      </w:pPr>
      <w:r>
        <w:t>Keyword search contributes essentially zero as a distinct scoring algorithm in the audited commit. The influence of wording is instead LLM-mediated: extracted skills and resume text are interpreted against a detailed prompt whose named examples operate like semantic triggers.</w:t>
      </w:r>
    </w:p>
    <w:p w14:paraId="0000003F">
      <w:pPr>
        <w:rPr/>
      </w:pPr>
      <w:r>
        <w:t>The practical model is: structured extraction + partial GitHub metadata + prompt rubric + LLM judgment. Its strongest limitations are the incomplete handoff of GitHub evidence to the evaluator, heuristic open-source labeling, lack of code/link/claim verification, no built-in job-description fit, and an evaluation path that is only partially code-enforced.</w:t>
      </w:r>
    </w:p>
    <w:bookmarkStart w:colFirst="0" w:colLast="0" w:name="bookmark=id.cf45595vup8a" w:id="8"/>
    <w:bookmarkEnd w:id="8"/>
    <w:p w14:paraId="00000040">
      <w:pPr>
        <w:pStyle w:val="Heading1"/>
        <w:pageBreakBefore w:val="1"/>
        <w:rPr/>
      </w:pPr>
      <w:r>
        <w:t>Appendix</w:t>
      </w:r>
    </w:p>
    <w:bookmarkStart w:colFirst="0" w:colLast="0" w:name="bookmark=id.ptrg31dozyqs" w:id="9"/>
    <w:bookmarkEnd w:id="9"/>
    <w:p w14:paraId="00000041">
      <w:pPr>
        <w:pStyle w:val="Heading2"/>
        <w:rPr/>
      </w:pPr>
      <w:r>
        <w:t>Audit notes</w:t>
      </w:r>
    </w:p>
    <w:p w14:paraId="00000042">
      <w:pPr>
        <w:rPr/>
      </w:pPr>
      <w:r>
        <w:t>Snapshot: public repository commit 70fd3ea9aa74d8f76519ec643a99f9871003e70d, cloned 13 August 2026. Findings are source-versioned; a future chat should re-check the pinned links before treating configuration or behavior as current.</w:t>
      </w:r>
    </w:p>
    <w:p w14:paraId="00000043">
      <w:pPr>
        <w:rPr/>
      </w:pPr>
      <w:r>
        <w:t>Important correction to the past summary: this snapshot requires an explicit --role and supports role directories. The shipped configuration has temperature 0.1 for the listed models; evaluator code has a 0.5 fallback only when parameters are absent.</w:t>
      </w:r>
    </w:p>
    <w:bookmarkStart w:colFirst="0" w:colLast="0" w:name="bookmark=id.nnk1eebni0ji" w:id="10"/>
    <w:bookmarkEnd w:id="10"/>
    <w:p w14:paraId="00000044">
      <w:pPr>
        <w:pStyle w:val="Heading2"/>
        <w:rPr/>
      </w:pPr>
      <w:r>
        <w:t>Primary source ledger</w:t>
      </w:r>
    </w:p>
    <w:p w14:paraId="00000045">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S1. Repository README and context statement: current scope, demo-versus-production disclaimer, and pipeline overview.</w:t>
      </w:r>
    </w:p>
    <w:p w14:paraId="00000046">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S2. Software Engineering Intern role manifest and criteria: category weights, bonus cap, triggers, intended link rules, and deductions.</w:t>
      </w:r>
    </w:p>
    <w:p w14:paraId="00000047">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S3. github.py: GitHub API calls, forks filter, contributor-count classification, selector prompt invocation, and fallback selection.</w:t>
      </w:r>
    </w:p>
    <w:p w14:paraId="00000048">
      <w:pPr>
        <w:keepNext w:val="0"/>
        <w:keepLines w:val="1"/>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540" w:right="0" w:hanging="270"/>
        <w:jc w:val="left"/>
        <w:rPr/>
      </w:pPr>
      <w:r>
        <w:t>S4. transform.py, score.py, evaluator.py, models.py, and pdf.py: what is formatted for the judge, scoring/schema constraints, and extraction flow.</w:t>
      </w:r>
    </w:p>
    <w:p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100" w:before="0" w:line="276" w:lineRule="auto"/>
        <w:ind w:left="0" w:right="0" w:firstLine="0"/>
        <w:jc w:val="left"/>
        <w:rPr/>
      </w:pPr>
      <w:r>
        <w:rPr>
          <w:rtl w:val="0"/>
        </w:rPr>
      </w:r>
    </w:p>
    <w:p w14:paraId="0000004A">
      <w:pPr>
        <w:keepNext w:val="0"/>
        <w:keepLines w:val="1"/>
        <w:pageBreakBefore w:val="0"/>
        <w:widowControl w:val="1"/>
        <w:pBdr>
          <w:top w:space="0" w:sz="0" w:val="nil"/>
          <w:left w:color="595959" w:space="8" w:sz="16" w:val="single"/>
          <w:bottom w:space="0" w:sz="0" w:val="nil"/>
          <w:right w:space="0" w:sz="0" w:val="nil"/>
          <w:between w:space="0" w:sz="0" w:val="nil"/>
        </w:pBdr>
        <w:shd w:fill="f2f2f2" w:val="clear"/>
        <w:spacing w:after="200" w:before="160" w:line="269" w:lineRule="auto"/>
        <w:ind w:left="259" w:right="259" w:firstLine="0"/>
        <w:jc w:val="left"/>
        <w:rPr>
          <w:rFonts w:ascii="Helvetica Neue" w:cs="Helvetica Neue" w:eastAsia="Helvetica Neue" w:hAnsi="Helvetica Neue"/>
          <w:b w:val="0"/>
          <w:bCs w:val="0"/>
          <w:i w:val="0"/>
          <w:iCs w:val="0"/>
          <w:smallCaps w:val="0"/>
          <w:strike w:val="0"/>
          <w:color w:val="000000"/>
          <w:u w:val="none"/>
          <w:shd w:fill="auto" w:val="clear"/>
          <w:vertAlign w:val="baseline"/>
        </w:rPr>
      </w:pPr>
      <w:r>
        <w:t>Template note. All sources below are linked to a stable source version or an official documentation page. Secondary commentary is labelled as an external report, not as an independently reproduced result.</w:t>
      </w:r>
    </w:p>
    <w:p>
      <w:pPr>
        <w:pStyle w:val="Heading1"/>
      </w:pPr>
      <w:r>
        <w:br w:type="page"/>
      </w:r>
      <w:r>
        <w:t>Detailed findings</w:t>
      </w:r>
    </w:p>
    <w:p>
      <w:pPr>
        <w:pStyle w:val="Heading2"/>
      </w:pPr>
      <w:r>
        <w:t>3. Scoring: stated rubric versus code-enforced bounds</w:t>
      </w:r>
    </w:p>
    <w:p>
      <w:pPr/>
      <w:r>
        <w:t>The shipped software_engineering_intern role declares four maxima: open_source 35, self_projects 30, production 25, and technical_skills 10. The role prompt awards up to 20 bonus points and describes deductions for tutorial projects, missing links, inactive links, and absent true open-source work. Those weights place 65% of the base score in open source plus self projects, versus 25% in production experience.</w:t>
      </w:r>
    </w:p>
    <w:p>
      <w:pPr/>
      <w:r>
        <w:t>The output model constrains category score to be non-negative and requires a positive returned max plus nonempty evidence. It caps bonus total to the role bonus maximum. It does not constrain category max to the role manifest, cap deductions, or validate that the model followed every prompt rule. The total-score calculation uses the max returned by the LLM for each category, while the detailed display separately clamps each printed category against the role maximum. A malformed-but-schema-valid response can therefore make the total math and displayed category bounds diverge.</w:t>
      </w:r>
    </w:p>
    <w:p>
      <w:pPr>
        <w:pStyle w:val="Heading2"/>
      </w:pPr>
      <w:r>
        <w:t>4. Keyword search: separate mechanics from semantic influence</w:t>
      </w:r>
    </w:p>
    <w:p>
      <w:pPr/>
      <w:r>
        <w:t>No resume ranking code implements token-frequency scoring, a required-keyword list, BM25, TF-IDF, embeddings, vector retrieval, or a job-description similarity function. The only visible keyword matching is parser plumbing that associates labels such as GitHub or LinkedIn with extracted PDF links, plus a regex that extracts a GitHub username. Skills also use a field named keywords, but the evaluator receives them as ordinary text.</w:t>
      </w:r>
    </w:p>
    <w:p>
      <w:pPr/>
      <w:r>
        <w:t>The rubric nevertheless contains concrete trigger-like language: GSoC, Girl Script Summer of Code, founder/co-founder, early-stage engineer, portfolio, LinkedIn, technical blogs, 1,000+ stars, authentication, databases, machine learning, real-time systems, microservices, users, and adoption. These are instructions to an LLM, not deterministic matches. Equivalent evidence can plausibly be interpreted; a word count alone is not the score.</w:t>
      </w:r>
    </w:p>
    <w:p>
      <w:pPr>
        <w:pStyle w:val="Heading2"/>
      </w:pPr>
      <w:r>
        <w:t>5. GitHub enrichment and selection mechanics</w:t>
      </w:r>
    </w:p>
    <w:p>
      <w:pPr/>
      <w:r>
        <w:t>The repository request asks for type=all, sort=updated, and at most 100 repositories, without a pagination loop. Each retained repository gets a contributors-endpoint request. Forks with fewer than five forks are discarded. The candidate contribution number is the contributors endpoint's reported contribution count for the matching login; repositories with zero are removed before the LLM selector.</w:t>
      </w:r>
    </w:p>
    <w:p>
      <w:pPr/>
      <w:r>
        <w:t>The selector prompt requires at least four candidate contributions, prioritizes high contribution counts, popular projects, complexity, impact, code quality, community engagement, relevance, and originality, and asks for up to seven unique projects. The executable post-processing only deduplicates by project name. It does not verify the four-commit threshold. If the LLM returns too few unique results or fails, fallback adds the first projects from the already star-sorted list, not a contribution-threshold-validated list.</w:t>
      </w:r>
    </w:p>
    <w:p>
      <w:pPr/>
      <w:r>
        <w:t>Because the selector sees descriptions and API metadata only, its instructions to judge architecture, code quality, documentation, users, or deployment are not grounded in repository contents. It does not fetch files, README text, commits, pull requests, issues, releases, or a live website response.</w:t>
      </w:r>
    </w:p>
    <w:p>
      <w:pPr>
        <w:pStyle w:val="Heading2"/>
      </w:pPr>
      <w:r>
        <w:t>6. Reliability, fairness, and use limits</w:t>
      </w:r>
    </w:p>
    <w:p>
      <w:pPr/>
      <w:r>
        <w:t>The fairness prompt says scores must ignore name, demographics, institution, GPA, and location. Yet the formatter supplies name, location, institution, and score to the evaluation model. Prompt instruction can reduce reliance on these fields, but the code does not remove them before inference. Similarly, a blog-data format exists, but the main pipeline shown here never creates or passes blog_data.</w:t>
      </w:r>
    </w:p>
    <w:p>
      <w:pPr/>
      <w:r>
        <w:t>The current provider configuration sets temperature 0.1 for listed models, which reduces but does not eliminate stochasticity. An external 2026 stress test reported 100 runs of an earlier configuration of the same resume ranging from 66 to 99; that experiment is relevant context, not a result reproduced by this audit, and the repository has changed since then. Keep source/version/model provenance with any future evaluation.</w:t>
      </w:r>
    </w:p>
    <w:p>
      <w:pPr>
        <w:pStyle w:val="Heading1"/>
      </w:pPr>
      <w:r>
        <w:br w:type="page"/>
      </w:r>
      <w:r>
        <w:t>Source ledger and reading links</w:t>
      </w:r>
    </w:p>
    <w:p>
      <w:pPr/>
      <w:r>
        <w:t>Primary sources (direct code and official documentation)</w:t>
      </w:r>
    </w:p>
    <w:p>
      <w:pPr>
        <w:keepLines/>
      </w:pPr>
      <w:r>
        <w:rPr>
          <w:b/>
        </w:rPr>
        <w:t xml:space="preserve">S1. </w:t>
      </w:r>
      <w:r>
        <w:t xml:space="preserve">interviewstreet/hiring-agent README, pinned source. Scope statement, demo configuration caveat, pipeline overview, role CLI, and project-referenced coverage. </w:t>
      </w:r>
      <w:hyperlink r:id="rId6">
        <w:r>
          <w:rPr>
            <w:color w:val="666666"/>
            <w:u w:val="single"/>
          </w:rPr>
          <w:t>Open source</w:t>
        </w:r>
      </w:hyperlink>
    </w:p>
    <w:p>
      <w:pPr>
        <w:keepLines/>
      </w:pPr>
      <w:r>
        <w:rPr>
          <w:b/>
        </w:rPr>
        <w:t xml:space="preserve">S2. </w:t>
      </w:r>
      <w:r>
        <w:t xml:space="preserve">Software Engineering Intern role manifest. Declared category maxima, bonus maximum, and stated final range. </w:t>
      </w:r>
      <w:hyperlink r:id="rId11">
        <w:r>
          <w:rPr>
            <w:color w:val="666666"/>
            <w:u w:val="single"/>
          </w:rPr>
          <w:t>Open source</w:t>
        </w:r>
      </w:hyperlink>
    </w:p>
    <w:p>
      <w:pPr>
        <w:keepLines/>
      </w:pPr>
      <w:r>
        <w:rPr>
          <w:b/>
        </w:rPr>
        <w:t xml:space="preserve">S3. </w:t>
      </w:r>
      <w:r>
        <w:t xml:space="preserve">Software Engineering Intern evaluation criteria. Prompt-level scoring anchors, bonus triggers, deductions, and intended link checks. </w:t>
      </w:r>
      <w:hyperlink r:id="rId12">
        <w:r>
          <w:rPr>
            <w:color w:val="666666"/>
            <w:u w:val="single"/>
          </w:rPr>
          <w:t>Open source</w:t>
        </w:r>
      </w:hyperlink>
    </w:p>
    <w:p>
      <w:pPr>
        <w:keepLines/>
      </w:pPr>
      <w:r>
        <w:rPr>
          <w:b/>
        </w:rPr>
        <w:t xml:space="preserve">S4. </w:t>
      </w:r>
      <w:r>
        <w:t xml:space="preserve">GitHub enrichment implementation. Public profile/repository/contributor fetching, fork filter, contributor-count label, selection call, and fallback. </w:t>
      </w:r>
      <w:hyperlink r:id="rId13">
        <w:r>
          <w:rPr>
            <w:color w:val="666666"/>
            <w:u w:val="single"/>
          </w:rPr>
          <w:t>Open source</w:t>
        </w:r>
      </w:hyperlink>
    </w:p>
    <w:p>
      <w:pPr>
        <w:keepLines/>
      </w:pPr>
      <w:r>
        <w:rPr>
          <w:b/>
        </w:rPr>
        <w:t xml:space="preserve">S5. </w:t>
      </w:r>
      <w:r>
        <w:t xml:space="preserve">Resume and GitHub formatter. Exact fields serialized into the final evaluator prompt; key source for the evidence-loss finding. </w:t>
      </w:r>
      <w:hyperlink r:id="rId14">
        <w:r>
          <w:rPr>
            <w:color w:val="666666"/>
            <w:u w:val="single"/>
          </w:rPr>
          <w:t>Open source</w:t>
        </w:r>
      </w:hyperlink>
    </w:p>
    <w:p>
      <w:pPr>
        <w:keepLines/>
      </w:pPr>
      <w:r>
        <w:rPr>
          <w:b/>
        </w:rPr>
        <w:t xml:space="preserve">S6. </w:t>
      </w:r>
      <w:r>
        <w:t xml:space="preserve">Pipeline orchestration and total-score printing. Role loading, cache behavior, optional enrichment, and total arithmetic. </w:t>
      </w:r>
      <w:hyperlink r:id="rId15">
        <w:r>
          <w:rPr>
            <w:color w:val="666666"/>
            <w:u w:val="single"/>
          </w:rPr>
          <w:t>Open source</w:t>
        </w:r>
      </w:hyperlink>
    </w:p>
    <w:p>
      <w:pPr>
        <w:keepLines/>
      </w:pPr>
      <w:r>
        <w:rPr>
          <w:b/>
        </w:rPr>
        <w:t xml:space="preserve">S7. </w:t>
      </w:r>
      <w:r>
        <w:t xml:space="preserve">Evaluation call. Role criteria rendering, structured-output schema, and model parameter use. </w:t>
      </w:r>
      <w:hyperlink r:id="rId16">
        <w:r>
          <w:rPr>
            <w:color w:val="666666"/>
            <w:u w:val="single"/>
          </w:rPr>
          <w:t>Open source</w:t>
        </w:r>
      </w:hyperlink>
    </w:p>
    <w:p>
      <w:pPr>
        <w:keepLines/>
      </w:pPr>
      <w:r>
        <w:rPr>
          <w:b/>
        </w:rPr>
        <w:t xml:space="preserve">S8. </w:t>
      </w:r>
      <w:r>
        <w:t xml:space="preserve">Pydantic models. Schema limits for scores, bonus, deductions, and the GitHub profile. </w:t>
      </w:r>
      <w:hyperlink r:id="rId17">
        <w:r>
          <w:rPr>
            <w:color w:val="666666"/>
            <w:u w:val="single"/>
          </w:rPr>
          <w:t>Open source</w:t>
        </w:r>
      </w:hyperlink>
    </w:p>
    <w:p>
      <w:pPr>
        <w:keepLines/>
      </w:pPr>
      <w:r>
        <w:rPr>
          <w:b/>
        </w:rPr>
        <w:t xml:space="preserve">S9. </w:t>
      </w:r>
      <w:r>
        <w:t xml:space="preserve">PDF handler. PyMuPDF extraction plus separate LLM calls for the six resume sections. </w:t>
      </w:r>
      <w:hyperlink r:id="rId18">
        <w:r>
          <w:rPr>
            <w:color w:val="666666"/>
            <w:u w:val="single"/>
          </w:rPr>
          <w:t>Open source</w:t>
        </w:r>
      </w:hyperlink>
    </w:p>
    <w:p>
      <w:pPr>
        <w:keepLines/>
      </w:pPr>
      <w:r>
        <w:rPr>
          <w:b/>
        </w:rPr>
        <w:t xml:space="preserve">S10. </w:t>
      </w:r>
      <w:r>
        <w:t xml:space="preserve">Provider configuration. Current default model and per-model temperature/top-p settings in this snapshot. </w:t>
      </w:r>
      <w:hyperlink r:id="rId19">
        <w:r>
          <w:rPr>
            <w:color w:val="666666"/>
            <w:u w:val="single"/>
          </w:rPr>
          <w:t>Open source</w:t>
        </w:r>
      </w:hyperlink>
    </w:p>
    <w:p>
      <w:pPr>
        <w:keepLines/>
      </w:pPr>
      <w:r>
        <w:rPr>
          <w:b/>
        </w:rPr>
        <w:t xml:space="preserve">S11. </w:t>
      </w:r>
      <w:r>
        <w:t xml:space="preserve">GitHub REST API pagination documentation. Context for the implementation's single-page API requests. </w:t>
      </w:r>
      <w:hyperlink r:id="rId20">
        <w:r>
          <w:rPr>
            <w:color w:val="666666"/>
            <w:u w:val="single"/>
          </w:rPr>
          <w:t>Open source</w:t>
        </w:r>
      </w:hyperlink>
    </w:p>
    <w:p>
      <w:pPr/>
      <w:r>
        <w:t>Secondary sources (context only; not independently replicated here)</w:t>
      </w:r>
    </w:p>
    <w:p>
      <w:pPr>
        <w:keepLines/>
      </w:pPr>
      <w:r>
        <w:rPr>
          <w:b/>
        </w:rPr>
        <w:t xml:space="preserve">S12. </w:t>
      </w:r>
      <w:r>
        <w:t xml:space="preserve">Dan Kinsky, “HackerRank open sourced its ATS. My resume scored 90/100. Oh wait 74/100. No — 88/100. Actually 83/100.” 28 June 2026. Reports a 100-run variance experiment and category-level observations on an earlier version. </w:t>
      </w:r>
      <w:hyperlink r:id="rId21">
        <w:r>
          <w:rPr>
            <w:color w:val="666666"/>
            <w:u w:val="single"/>
          </w:rPr>
          <w:t>Open source</w:t>
        </w:r>
      </w:hyperlink>
    </w:p>
    <w:p>
      <w:pPr>
        <w:keepLines/>
      </w:pPr>
      <w:r>
        <w:rPr>
          <w:b/>
        </w:rPr>
        <w:t xml:space="preserve">S13. </w:t>
      </w:r>
      <w:r>
        <w:t xml:space="preserve">Pinggy Blog, “HackerRank Open-Sourced Its ATS. The Score Depends on the Roll of the Dice.” 1 July 2026. Commentary on the same variance report and a PDF-extraction attack report; included as a lead for future verification, not as a reproduced security finding. </w:t>
      </w:r>
      <w:hyperlink r:id="rId22">
        <w:r>
          <w:rPr>
            <w:color w:val="666666"/>
            <w:u w:val="single"/>
          </w:rPr>
          <w:t>Open source</w:t>
        </w:r>
      </w:hyperlink>
    </w:p>
    <w:p>
      <w:pPr>
        <w:pStyle w:val="Heading2"/>
      </w:pPr>
      <w:r>
        <w:t>Future-chat handoff</w:t>
      </w:r>
    </w:p>
    <w:p>
      <w:pPr/>
      <w:r>
        <w:t>Start with this report's pinned commit and source ledger. Before relying on a behavioral claim, compare the current repository head to the linked source. If assessing a specific resume, use the actual PDF plus an output snapshot; do not infer that the rubric evaluated material available only on an external website unless that material was present in the extracted resume text or explicit GitHub data.</w:t>
      </w:r>
    </w:p>
    <w:p>
      <w:pPr>
        <w:pStyle w:val="Heading1"/>
      </w:pPr>
      <w:r>
        <w:br w:type="page"/>
      </w:r>
      <w:r>
        <w:t>Part II — Current SWE resume and internship research</w:t>
      </w:r>
    </w:p>
    <w:p>
      <w:pPr/>
      <w:r>
        <w:t>Purpose. This section is a decision guide for a student applying to software-engineering internships in the 2026 market. It is grounded in current official employer material, a hiring-platform benchmark, and engineering career-center guidance. It does not claim that every recommendation is experimentally proven, nor that any one company's parser or posting represents all employers.</w:t>
      </w:r>
    </w:p>
    <w:p>
      <w:pPr>
        <w:pStyle w:val="Heading2"/>
      </w:pPr>
      <w:r>
        <w:t>1. The current hiring reality: readable evidence matters more than folklore</w:t>
      </w:r>
    </w:p>
    <w:p>
      <w:pPr/>
      <w:r>
        <w:t>Greenhouse's March 2026 benchmark analyzes more than 640 million applications across over 6,000 companies for 2022–2025. Its preview reports applications per job rising from 116 in 2022 to 244 in 2025, while applications per recruiter rose from 146 to 746. That is broad platform context, not a software-internship acceptance study, but it explains why concise, easily triaged evidence is rational.</w:t>
      </w:r>
    </w:p>
    <w:p>
      <w:pPr/>
      <w:r>
        <w:t>Microsoft documents a concrete example of system variation: its careers site uses an AI parser to extract contact, education, experience, and skills into a profile that recruiters can search. The public Hiring Agent examined in Part I instead extracts PDF text, enriches GitHub metadata, and asks an LLM to apply a custom rubric. The implication is not “beat the ATS”; it is “make the same truthful facts easy to recover in plain text and easy for a human to assess.”</w:t>
      </w:r>
    </w:p>
    <w:p>
      <w:pPr/>
      <w:r>
        <w:t>Practical rule. Build a strong base resume, then make a light, truthful role-specific pass. Use the posting to select the most relevant existing evidence, language, and ordering. Do not add a tool, technique, scale claim, job title, or credential that cannot be defended in conversation.</w:t>
      </w:r>
    </w:p>
    <w:p>
      <w:pPr>
        <w:pStyle w:val="Heading2"/>
      </w:pPr>
      <w:r>
        <w:t>2. What a parser-friendly SWE resume looks like</w:t>
      </w:r>
    </w:p>
    <w:p>
      <w:pPr/>
      <w:r>
        <w:t>Microsoft advises simple DOCX or PDF formatting without heavy tables, section breaks, fancy fonts, or images; it says complex multi-column layouts and image-embedded text can cause missing skills or experience. It also recommends descriptive, industry-recognizable job titles, reverse chronology, judicious abbreviations, and a separate relevant-skills section. This is direct Microsoft-parser guidance, not a universal file-format law, but it is a low-cost default for online applications.</w:t>
      </w:r>
    </w:p>
    <w:p>
      <w:pPr/>
      <w:r>
        <w:t>Recommended structure for most internship candidates: a compact contact/links line; Education; Experience and/or Research; Selected Projects; Skills; then only high-signal extras such as awards, publications, leadership, or open-source work. Order Experience, Projects, and Research according to the target role and the strength of the evidence. Use an expected graduation date when postings request current enrollment or remaining terms; Microsoft's general parser note not to include graduation dates should not override an internship application's explicit eligibility requirement.</w:t>
      </w:r>
    </w:p>
    <w:p>
      <w:pPr/>
      <w:r>
        <w:t>Avoid relying on visual decoration for information. A reviewer or parser should be able to identify your degree, institution, dates, employer or project, role, stack, and outcome from ordinary selectable text. Test this by opening the exported PDF, selecting text, and reading the copied result; then inspect every URL and page break.</w:t>
      </w:r>
    </w:p>
    <w:p>
      <w:pPr>
        <w:pStyle w:val="Heading2"/>
      </w:pPr>
      <w:r>
        <w:t>3. Tailor for the role without keyword stuffing</w:t>
      </w:r>
    </w:p>
    <w:p>
      <w:pPr/>
      <w:r>
        <w:t>Use the posting as an evidence map. First, identify the role's required and preferred capabilities: for example, programming language, data structures, testing, performance, cloud, product quality, collaboration, or a domain such as ML infrastructure. Second, map only the capabilities you genuinely have to a bullet, project, course, or skills entry. Third, place the strongest matching evidence early. UC Davis explicitly advises including job-description skills only when the candidate can perform them with little or no supervision; Microsoft says API and SDK are sensible discipline-wide abbreviations but employer-specific jargon should be spelled out.</w:t>
      </w:r>
    </w:p>
    <w:p>
      <w:pPr/>
      <w:r>
        <w:t>A useful tailoring matrix has three columns: posting requirement; your concrete evidence; resume location. Example: “design, develop, and test” -&gt; “implemented retry-safe API client and added 42 integration tests” -&gt; project bullet. If no evidence exists, leave the requirement out and decide whether to build, learn, or target a different role. This keeps tailoring honest and interview-safe.</w:t>
      </w:r>
    </w:p>
    <w:p>
      <w:pPr/>
      <w:r>
        <w:t>Do not treat keyword matching as the model of hiring. The audited public agent has no separate TF-IDF, BM25, embedding, or job-description similarity ranker, while Microsoft documents field extraction and recruiter search rather than a disclosed keyword score. Terminology matters because it gives a person and a parser a faithful label for existing work, not because repeated words manufacture evidence.</w:t>
      </w:r>
    </w:p>
    <w:p>
      <w:pPr>
        <w:pStyle w:val="Heading2"/>
      </w:pPr>
      <w:r>
        <w:t>4. Bullets that demonstrate engineering judgment</w:t>
      </w:r>
    </w:p>
    <w:p>
      <w:pPr/>
      <w:r>
        <w:t>UIC's engineering career center defines a strong technical bullet as an action verb, what you did, the technical tools or skills used, and an outcome/result/impact. UT Austin makes the same idea specific to software projects: explain the particular product rather than “built an app,” explain why it mattered, and explain how you built it—including collaboration where applicable. This is stronger than a stack-only bullet because it permits a reviewer to infer scope, technical decisions, and ownership.</w:t>
      </w:r>
    </w:p>
    <w:p>
      <w:pPr/>
      <w:r>
        <w:t>A robust SWE bullet generally answers four questions in one or two lines: What system, feature, or investigation did you own? What engineering work or constraint was involved? What tools or methods were materially relevant? What observable consequence followed? Prefer a credible scope measure—users, datasets, latency, test coverage, endpoints, releases, uptime window, team adoption, or time saved—over decorative percentages. If there is no honest metric, state the deliverable and the technical constraint rather than fabricating impact.</w:t>
      </w:r>
    </w:p>
    <w:p>
      <w:pPr/>
      <w:r>
        <w:t>Weak: “Built a full-stack dashboard using React and MongoDB.” Better: “Built a role-based operations dashboard in React and MongoDB that surfaced deployment status for 4 services; added API validation and 31 automated tests.” The second version remains useful even if the project had no public users: it names the product, scope, engineering work, and a defensible measurement.</w:t>
      </w:r>
    </w:p>
    <w:p>
      <w:pPr/>
      <w:r>
        <w:t>Research and hardware work can be translated into SWE evidence without pretending it was product engineering. State the software artifact, pipeline, interface, measurement or experimental constraint, your contribution, and the result. For example: “Developed a Python data-collection pipeline for [instrument], reducing manual preprocessing steps from [A] to [B] across [N] runs.” This is a reasoned translation of engineering work, supported by career-center advice to describe the role, contribution, impact, and results in research.</w:t>
      </w:r>
    </w:p>
    <w:p>
      <w:pPr>
        <w:pStyle w:val="Heading2"/>
      </w:pPr>
      <w:r>
        <w:t>5. Projects are real evidence for interns—if they are specific and reviewable</w:t>
      </w:r>
    </w:p>
    <w:p>
      <w:pPr/>
      <w:r>
        <w:t>UT Austin says projects can supply technical experience and something substantive to discuss when a student lacks an internship; it also states that internships normally carry greater weight because they demonstrate responsibility in a professional setting. UC Davis says class and personal projects can demonstrate relevant knowledge and skills. UC Berkeley likewise tells students to describe their role, contribution, impact, and results in class projects and undergraduate research. The consensus supports projects as evidence, not as a substitute for truthfully labelling experience.</w:t>
      </w:r>
    </w:p>
    <w:p>
      <w:pPr/>
      <w:r>
        <w:t>Select two to four projects that make different claims: a product or interface; a backend, systems, data, or ML component; a collaborative/research contribution; or a maintained/open-source contribution. A project earns space when you can explain the problem, your ownership, the technical choices, evidence of quality (tests, deployment, documentation, benchmark, users, or demo), and what you would improve. Remove tutorial clones, abandoned experiments, and large stacks with no described contribution.</w:t>
      </w:r>
    </w:p>
    <w:p>
      <w:pPr/>
      <w:r>
        <w:t>Include GitHub, demo, or portfolio links selectively. UT Austin recommends documenting how a finished project works and says a GitHub or demo link may help reviewers see it in action. Links are supporting evidence, not a requirement and not a promise that every recruiter will click. Make the resume stand on its own; verify every link, make repository READMEs navigable, and do not list a private, broken, or misleading demo as proof.</w:t>
      </w:r>
    </w:p>
    <w:p>
      <w:pPr>
        <w:pStyle w:val="Heading2"/>
      </w:pPr>
      <w:r>
        <w:t>6. Intern-specific content choices</w:t>
      </w:r>
    </w:p>
    <w:p>
      <w:pPr/>
      <w:r>
        <w:t>For an early student, Education may lead. Include degree, major, school, expected graduation, and only the coursework that materially supports the target job or fills a genuine experience gap. For a later student with strong experience, Education can move after Experience. UC Davis suggests 2–5 accomplishment bullets for relevant experiences and projects, and notes that paid or unpaid work, internships, research, and leadership may be relevant.</w:t>
      </w:r>
    </w:p>
    <w:p>
      <w:pPr/>
      <w:r>
        <w:t>Use accurate section labels. Put paid employment, sustained research appointment, contract work, or an accountable student-team role in Experience only if the label makes the relationship clear. Put personal, class, hackathon, and exploratory work in Projects. A title should clarify what you did—“Undergraduate Researcher,” “Software Engineering Intern,” “Project Lead,” or “Developer”—not inflate a casual activity into a company role.</w:t>
      </w:r>
    </w:p>
    <w:p>
      <w:pPr/>
      <w:r>
        <w:t>Skills should be a compact index, not a second resume. Group them in readable categories such as Languages, Frameworks/Platforms, and Data/Developer Tools. List only skills you could discuss or use with little supervision; reinforce important skills in a bullet. UC Davis allows categories and proficiency levels, but labels such as “expert” are rarely necessary for students and consume valuable credibility. Do not list basic productivity software, a dense cloud-services catalog, or every library used once.</w:t>
      </w:r>
    </w:p>
    <w:p>
      <w:pPr>
        <w:pStyle w:val="Heading2"/>
      </w:pPr>
      <w:r>
        <w:t>7. One page, format, and quality control</w:t>
      </w:r>
    </w:p>
    <w:p>
      <w:pPr/>
      <w:r>
        <w:t>For a typical undergraduate internship applicant, one page is the best default because it forces selection and speeds review; Indeed's software-engineering-intern guide, updated 16 June 2026, recommends a one-page target. It is a default, not a moral rule. A second page can be justified by substantial, relevant work, publications, or a longer graduate/research history, but padding to reach it is worse than leaving concise evidence visible.</w:t>
      </w:r>
    </w:p>
    <w:p>
      <w:pPr/>
      <w:r>
        <w:t>Use one readable typeface, consistent date/location treatment, conventional headings, and enough whitespace for scanning. A single-column document is the safest online-upload choice. Avoid text boxes, decorative logos, charts, image-only headings, multi-column sidebars, and tables that carry essential information. If a company application exposes parsed fields, review and correct the extraction rather than assuming the upload was understood.</w:t>
      </w:r>
    </w:p>
    <w:p>
      <w:pPr/>
      <w:r>
        <w:t>Before each application, run a red-team review: verify names, dates, degree, expected graduation, employer/project labels, links, public claims, spelling, tense, and technical accuracy. Then ask whether the top half answers, within a few seconds, “What kind of SWE work can this person perform for this role?” Finally, be prepared to explain every tool, metric, project decision, collaboration claim, and link in an interview.</w:t>
      </w:r>
    </w:p>
    <w:p>
      <w:pPr>
        <w:pStyle w:val="Heading2"/>
      </w:pPr>
      <w:r>
        <w:t>8. A practical evidence-first review checklist</w:t>
      </w:r>
    </w:p>
    <w:p>
      <w:pPr/>
      <w:r>
        <w:t>Role fit. The target title and location/eligibility are correct; the first visible bullets carry the most relevant truthful evidence; required skills appear only where they are genuinely supported.</w:t>
      </w:r>
    </w:p>
    <w:p>
      <w:pPr/>
      <w:r>
        <w:t>Technical depth. Each selected project or role states the problem, your contribution, a meaningful implementation detail, and an observable result or constraint. The document does not confuse a tech stack with engineering ownership.</w:t>
      </w:r>
    </w:p>
    <w:p>
      <w:pPr/>
      <w:r>
        <w:t>Intern readiness. Current enrollment and expected graduation are easy to find when required; coursework is selective; projects, research, student teams, or part-time work fill any experience gap honestly; every listed skill is interviewable.</w:t>
      </w:r>
    </w:p>
    <w:p>
      <w:pPr/>
      <w:r>
        <w:t>Parsing and reading. The upload is a clean selectable-text PDF or DOCX; the layout is simple; headings, dates, titles, and skills survive copy/paste; no critical text sits in a table, image, or sidebar; links work.</w:t>
      </w:r>
    </w:p>
    <w:p>
      <w:pPr/>
      <w:r>
        <w:t>Credibility. Metrics have a known source or calculation; titles and company/project descriptions are accurate; the resume does not claim production, open source, users, impact, or collaboration that cannot be explained. A clean, specific one-page resume beats a resume optimized for a single opaque scorer.</w:t>
      </w:r>
    </w:p>
    <w:p>
      <w:pPr>
        <w:pStyle w:val="Heading1"/>
      </w:pPr>
      <w:r>
        <w:br w:type="page"/>
      </w:r>
      <w:r>
        <w:t>Part II source ledger</w:t>
      </w:r>
    </w:p>
    <w:p>
      <w:pPr/>
      <w:r>
        <w:t>Source hierarchy. S14–S16 are direct employer/platform material; S17–S21 are current university career-center guidance; S22 is a current internship-resume guide. They support practical recommendations, not a universal causal ranking model.</w:t>
      </w:r>
    </w:p>
    <w:p>
      <w:pPr>
        <w:keepLines/>
      </w:pPr>
      <w:r>
        <w:rPr>
          <w:b/>
        </w:rPr>
        <w:t xml:space="preserve">S14. </w:t>
      </w:r>
      <w:r>
        <w:t xml:space="preserve">Microsoft Careers Transparency FAQ, accessed 13 August 2026. Direct description of its resume parser, extracted fields, recruiter-search context, and parser-friendly formatting guidance. </w:t>
      </w:r>
      <w:hyperlink r:id="rId23">
        <w:r>
          <w:rPr>
            <w:color w:val="666666"/>
            <w:u w:val="single"/>
          </w:rPr>
          <w:t>Open source</w:t>
        </w:r>
      </w:hyperlink>
    </w:p>
    <w:p>
      <w:pPr>
        <w:keepLines/>
      </w:pPr>
      <w:r>
        <w:rPr>
          <w:b/>
        </w:rPr>
        <w:t xml:space="preserve">S15. </w:t>
      </w:r>
      <w:r>
        <w:t xml:space="preserve">Microsoft Careers, University internships, accessed 13 August 2026. Current early-in-profession application, high-volume, update, and eligibility context. </w:t>
      </w:r>
      <w:hyperlink r:id="rId24">
        <w:r>
          <w:rPr>
            <w:color w:val="666666"/>
            <w:u w:val="single"/>
          </w:rPr>
          <w:t>Open source</w:t>
        </w:r>
      </w:hyperlink>
    </w:p>
    <w:p>
      <w:pPr>
        <w:keepLines/>
      </w:pPr>
      <w:r>
        <w:rPr>
          <w:b/>
        </w:rPr>
        <w:t xml:space="preserve">S16. </w:t>
      </w:r>
      <w:r>
        <w:t xml:space="preserve">Greenhouse, “Hiring benchmarks 2026: Recruiting metrics and trends,” March 2026. Platform benchmark preview based on more than 6,000 companies and 640 million applications, 2022–2025. </w:t>
      </w:r>
      <w:hyperlink r:id="rId25">
        <w:r>
          <w:rPr>
            <w:color w:val="666666"/>
            <w:u w:val="single"/>
          </w:rPr>
          <w:t>Open source</w:t>
        </w:r>
      </w:hyperlink>
    </w:p>
    <w:p>
      <w:pPr>
        <w:keepLines/>
      </w:pPr>
      <w:r>
        <w:rPr>
          <w:b/>
        </w:rPr>
        <w:t xml:space="preserve">S17. </w:t>
      </w:r>
      <w:r>
        <w:t xml:space="preserve">University of Illinois Chicago Engineering Career Center, “Resume,” accessed 13 August 2026. Technical-bullet components and current student resume guidance. </w:t>
      </w:r>
      <w:hyperlink r:id="rId26">
        <w:r>
          <w:rPr>
            <w:color w:val="666666"/>
            <w:u w:val="single"/>
          </w:rPr>
          <w:t>Open source</w:t>
        </w:r>
      </w:hyperlink>
    </w:p>
    <w:p>
      <w:pPr>
        <w:keepLines/>
      </w:pPr>
      <w:r>
        <w:rPr>
          <w:b/>
        </w:rPr>
        <w:t xml:space="preserve">S18. </w:t>
      </w:r>
      <w:r>
        <w:t xml:space="preserve">UT Austin College of Natural Sciences Career Services, “Strong Bullets for Technical Resumes,” accessed 13 August 2026. What/why/how framework and examples for software projects. </w:t>
      </w:r>
      <w:hyperlink r:id="rId27">
        <w:r>
          <w:rPr>
            <w:color w:val="666666"/>
            <w:u w:val="single"/>
          </w:rPr>
          <w:t>Open source</w:t>
        </w:r>
      </w:hyperlink>
    </w:p>
    <w:p>
      <w:pPr>
        <w:keepLines/>
      </w:pPr>
      <w:r>
        <w:rPr>
          <w:b/>
        </w:rPr>
        <w:t xml:space="preserve">S19. </w:t>
      </w:r>
      <w:r>
        <w:t xml:space="preserve">UT Austin College of Natural Sciences Career Services, “Technical Projects Guide,” accessed 13 August 2026. Projects as a constructive substitute for an empty technical record, documentation, and link guidance. </w:t>
      </w:r>
      <w:hyperlink r:id="rId28">
        <w:r>
          <w:rPr>
            <w:color w:val="666666"/>
            <w:u w:val="single"/>
          </w:rPr>
          <w:t>Open source</w:t>
        </w:r>
      </w:hyperlink>
    </w:p>
    <w:p>
      <w:pPr>
        <w:keepLines/>
      </w:pPr>
      <w:r>
        <w:rPr>
          <w:b/>
        </w:rPr>
        <w:t xml:space="preserve">S20. </w:t>
      </w:r>
      <w:r>
        <w:t xml:space="preserve">UC Davis Career Center, “Resumes,” updated 10 April 2026. Relevant experience/projects, accomplishment statements, truthful skills, job-description terms, and section choices. </w:t>
      </w:r>
      <w:hyperlink r:id="rId29">
        <w:r>
          <w:rPr>
            <w:color w:val="666666"/>
            <w:u w:val="single"/>
          </w:rPr>
          <w:t>Open source</w:t>
        </w:r>
      </w:hyperlink>
    </w:p>
    <w:p>
      <w:pPr>
        <w:keepLines/>
      </w:pPr>
      <w:r>
        <w:rPr>
          <w:b/>
        </w:rPr>
        <w:t xml:space="preserve">S21. </w:t>
      </w:r>
      <w:r>
        <w:t xml:space="preserve">UC Berkeley Career Engagement, “Sample Resumes,” accessed 13 August 2026. Project, research, and technical-resume guidance for students. </w:t>
      </w:r>
      <w:hyperlink r:id="rId30">
        <w:r>
          <w:rPr>
            <w:color w:val="666666"/>
            <w:u w:val="single"/>
          </w:rPr>
          <w:t>Open source</w:t>
        </w:r>
      </w:hyperlink>
    </w:p>
    <w:p>
      <w:pPr>
        <w:keepLines/>
      </w:pPr>
      <w:r>
        <w:rPr>
          <w:b/>
        </w:rPr>
        <w:t xml:space="preserve">S22. </w:t>
      </w:r>
      <w:r>
        <w:t xml:space="preserve">Indeed Career Guide, “Writing an Effective Software Engineering Internship Resume,” updated 16 June 2026. Current internship-specific one-page and experience-framing guidance; included as secondary career advice, not primary hiring-system evidence. </w:t>
      </w:r>
      <w:hyperlink r:id="rId31">
        <w:r>
          <w:rPr>
            <w:color w:val="666666"/>
            <w:u w:val="single"/>
          </w:rPr>
          <w:t>Open source</w:t>
        </w:r>
      </w:hyperlink>
    </w:p>
    <w:p>
      <w:pPr>
        <w:pStyle w:val="Heading2"/>
      </w:pPr>
      <w:r>
        <w:t>How to use this report in a future chat</w:t>
      </w:r>
    </w:p>
    <w:p>
      <w:pPr/>
      <w:r>
        <w:t>Use Part II as the durable research base and Part I as a scoped caution about opaque scoring systems. For a resume rewrite, provide the current PDF or source, the target job description, and the candidate's real evidence. Build a requirement-to-evidence matrix first, then revise the document; do not begin by adding keywords. Re-check live internship postings and any employer-specific parser guidance before making a claim about a current application process.</w:t>
      </w:r>
    </w:p>
    <w:p>
      <w:pPr>
        <w:pStyle w:val="Heading2"/>
      </w:pPr>
      <w:r>
        <w:t>Reusable tailoring worksheet</w:t>
      </w:r>
    </w:p>
    <w:p>
      <w:pPr/>
      <w:r>
        <w:t>For each target role, record: (1) the exact requirement or responsibility; (2) the strongest truthful experience, project, research contribution, or course that supports it; (3) the concrete implementation detail; (4) a defensible outcome, constraint, or scope measure; (5) the resume bullet or skills entry that will carry the evidence; and (6) the interview story or link that can substantiate it.</w:t>
      </w:r>
    </w:p>
    <w:p>
      <w:pPr/>
      <w:r>
        <w:t>Then make only the smallest necessary edit: reorder sections, substitute a more precise existing bullet, make a supported technical term explicit, or remove a less relevant item. A targeted resume is a clearer selection of real evidence, not a different persona for each application.</w:t>
      </w:r>
    </w:p>
    <w:p>
      <w:pPr>
        <w:pStyle w:val="Heading2"/>
      </w:pPr>
      <w:r>
        <w:t>Research refresh note</w:t>
      </w:r>
    </w:p>
    <w:p>
      <w:pPr/>
      <w:r>
        <w:t>The public-repository findings are pinned to a specific commit. The external sources were checked on 13 August 2026, except where an update date is shown. Before a high-stakes application or a future system claim, refresh the source ledger and retain any employer-specific posting used for tailoring. This report is designed to preserve both the evidence and its limits.</w:t>
      </w:r>
    </w:p>
    <w:sectPr>
      <w:headerReference r:id="rId9" w:type="default"/>
      <w:footerReference r:id="rId10"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right"/>
      <w:rPr>
        <w:rFonts w:ascii="Helvetica Neue" w:cs="Helvetica Neue" w:eastAsia="Helvetica Neue" w:hAnsi="Helvetica Neue"/>
        <w:b w:val="0"/>
        <w:bCs w:val="0"/>
        <w:i w:val="0"/>
        <w:iCs w:val="0"/>
        <w:smallCaps w:val="0"/>
        <w:strike w:val="0"/>
        <w:color w:val="7a7a7a"/>
        <w:sz w:val="18"/>
        <w:szCs w:val="18"/>
        <w:u w:val="none"/>
        <w:shd w:fill="auto" w:val="clear"/>
        <w:vertAlign w:val="baseline"/>
      </w:rPr>
    </w:pPr>
    <w:r>
      <w:rPr>
        <w:rFonts w:ascii="Helvetica Neue" w:cs="Helvetica Neue" w:eastAsia="Helvetica Neue" w:hAnsi="Helvetica Neue"/>
        <w:b w:val="0"/>
        <w:bCs w:val="0"/>
        <w:i w:val="0"/>
        <w:iCs w:val="0"/>
        <w:smallCaps w:val="0"/>
        <w:strike w:val="0"/>
        <w:color w:val="7a7a7a"/>
        <w:sz w:val="18"/>
        <w:szCs w:val="18"/>
        <w:u w:val="none"/>
        <w:shd w:fill="auto" w:val="clear"/>
        <w:vertAlign w:val="baseline"/>
      </w:rPr>
      <w:fldChar w:fldCharType="begin"/>
      <w:instrText xml:space="preserve">PAGE</w:instrText>
      <w:fldChar w:fldCharType="separate"/>
      <w:fldChar w:fldCharType="end"/>
    </w:r>
    <w:r>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51">
    <w:pPr>
      <w:rPr/>
    </w:pPr>
    <w:r>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04B">
    <w:pPr>
      <w:keepNext w:val="0"/>
      <w:keepLines w:val="0"/>
      <w:pageBreakBefore w:val="0"/>
      <w:widowControl w:val="1"/>
      <w:pBdr>
        <w:top w:space="0" w:sz="0" w:val="nil"/>
        <w:left w:space="0" w:sz="0" w:val="nil"/>
        <w:bottom w:color="d9d9d9" w:space="5" w:sz="4" w:val="single"/>
        <w:right w:space="0" w:sz="0" w:val="nil"/>
        <w:between w:space="0" w:sz="0" w:val="nil"/>
      </w:pBdr>
      <w:shd w:fill="auto" w:val="clear"/>
      <w:spacing w:after="80" w:before="0" w:line="278.00000000000006" w:lineRule="auto"/>
      <w:ind w:left="0" w:right="0" w:firstLine="0"/>
      <w:jc w:val="left"/>
      <w:rPr>
        <w:color w:val="7a7a7a"/>
        <w:sz w:val="17"/>
        <w:szCs w:val="17"/>
      </w:rPr>
    </w:pPr>
    <w:r>
      <w:rPr>
        <w:rtl w:val="0"/>
      </w:rPr>
    </w:r>
  </w:p>
  <w:sdt>
    <w:sdtPr>
      <w:lock w:val="contentLocked"/>
      <w:id w:val="2109222018"/>
      <w:tag w:val="goog_rdk_0"/>
    </w:sdtPr>
    <w:sdtContent>
      <w:tbl>
        <w:tblPr>
          <w:tblStyle w:val="Table3"/>
          <w:tblW w:w="9360.0" w:type="dxa"/>
          <w:jc w:val="left"/>
          <w:tblLayout w:type="fixed"/>
          <w:tblLook w:val="0600"/>
        </w:tblPr>
        <w:tblGrid>
          <w:gridCol w:w="4680"/>
          <w:gridCol w:w="4680"/>
          <w:tblGridChange w:id="0">
            <w:tblGrid>
              <w:gridCol w:w="4680"/>
              <w:gridCol w:w="4680"/>
            </w:tblGrid>
          </w:tblGridChange>
        </w:tblGrid>
        <w:tr>
          <w:trPr>
            <w:cantSplit w:val="1"/>
            <w:trHeight w:val="325.74149576822384" w:hRule="atLeast"/>
            <w:tblHeader w:val="0"/>
          </w:trPr>
          <w:tc>
            <w:tcPr>
              <w:shd w:fill="auto" w:val="clear"/>
              <w:tcMar>
                <w:top w:w="0.0" w:type="dxa"/>
                <w:left w:w="0.0" w:type="dxa"/>
                <w:bottom w:w="0.0" w:type="dxa"/>
                <w:right w:w="0.0" w:type="dxa"/>
              </w:tcMar>
              <w:vAlign w:val="top"/>
            </w:tcPr>
            <w:p w14:paraId="0000004C">
              <w:pPr>
                <w:pBdr>
                  <w:top w:space="0" w:sz="0" w:val="nil"/>
                  <w:left w:space="0" w:sz="0" w:val="nil"/>
                  <w:bottom w:space="0" w:sz="0" w:val="nil"/>
                  <w:right w:space="0" w:sz="0" w:val="nil"/>
                  <w:between w:space="0" w:sz="0" w:val="nil"/>
                </w:pBdr>
                <w:shd w:fill="auto" w:val="clear"/>
                <w:spacing w:after="80" w:line="278.00000000000006" w:lineRule="auto"/>
                <w:rPr>
                  <w:color w:val="7a7a7a"/>
                  <w:sz w:val="17"/>
                  <w:szCs w:val="17"/>
                </w:rPr>
              </w:pPr>
              <w:r>
                <w:rPr>
                  <w:color w:val="7a7a7a"/>
                  <w:sz w:val="17"/>
                  <w:szCs w:val="17"/>
                  <w:rtl w:val="0"/>
                </w:rPr>
                <w:t xml:space="preserve">SWE Resume Research</w:t>
              </w:r>
            </w:p>
            <w:p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7a7a7a"/>
                  <w:sz w:val="17"/>
                  <w:szCs w:val="17"/>
                </w:rPr>
              </w:pPr>
              <w:r>
                <w:rPr>
                  <w:rtl w:val="0"/>
                </w:rPr>
              </w:r>
            </w:p>
          </w:tc>
          <w:tc>
            <w:tcPr>
              <w:shd w:fill="auto" w:val="clear"/>
              <w:tcMar>
                <w:top w:w="0.0" w:type="dxa"/>
                <w:left w:w="0.0" w:type="dxa"/>
                <w:bottom w:w="0.0" w:type="dxa"/>
                <w:right w:w="0.0" w:type="dxa"/>
              </w:tcMar>
              <w:vAlign w:val="top"/>
            </w:tcPr>
            <w:p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color w:val="7a7a7a"/>
                  <w:sz w:val="17"/>
                  <w:szCs w:val="17"/>
                </w:rPr>
              </w:pPr>
              <w:r>
                <w:rPr>
                  <w:color w:val="7a7a7a"/>
                  <w:sz w:val="17"/>
                  <w:szCs w:val="17"/>
                  <w:rtl w:val="0"/>
                </w:rPr>
                <w:t xml:space="preserve">13 Aug 2026</w:t>
              </w:r>
            </w:p>
          </w:tc>
        </w:tr>
      </w:tbl>
    </w:sdtContent>
  </w:sdt>
  <w:p w14:paraId="0000004F">
    <w:pPr>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270"/>
      </w:pPr>
      <w:rPr>
        <w:rFonts w:ascii="Helvetica Neue" w:cs="Helvetica Neue" w:eastAsia="Helvetica Neue" w:hAnsi="Helvetica Neu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360" w:lineRule="auto"/>
    </w:pPr>
    <w:rPr>
      <w:rFonts w:ascii="Helvetica Neue" w:cs="Helvetica Neue" w:eastAsia="Helvetica Neue" w:hAnsi="Helvetica Neue"/>
      <w:b w:val="0"/>
      <w:bCs w:val="0"/>
      <w:color w:val="000000"/>
      <w:sz w:val="48"/>
      <w:szCs w:val="48"/>
    </w:rPr>
  </w:style>
  <w:style w:type="paragraph" w:styleId="Heading2">
    <w:name w:val="heading 2"/>
    <w:basedOn w:val="Normal"/>
    <w:next w:val="Normal"/>
    <w:pPr>
      <w:keepNext w:val="1"/>
      <w:keepLines w:val="1"/>
      <w:spacing w:after="120" w:before="280" w:lineRule="auto"/>
    </w:pPr>
    <w:rPr>
      <w:rFonts w:ascii="Helvetica Neue" w:cs="Helvetica Neue" w:eastAsia="Helvetica Neue" w:hAnsi="Helvetica Neue"/>
      <w:b w:val="0"/>
      <w:bCs w:val="0"/>
      <w:color w:val="000000"/>
      <w:sz w:val="30"/>
      <w:szCs w:val="30"/>
    </w:rPr>
  </w:style>
  <w:style w:type="paragraph" w:styleId="Heading3">
    <w:name w:val="heading 3"/>
    <w:basedOn w:val="Normal"/>
    <w:next w:val="Normal"/>
    <w:pPr>
      <w:keepNext w:val="1"/>
      <w:keepLines w:val="1"/>
      <w:spacing w:after="80" w:before="200" w:lineRule="auto"/>
    </w:pPr>
    <w:rPr>
      <w:rFonts w:ascii="Helvetica Neue" w:cs="Helvetica Neue" w:eastAsia="Helvetica Neue" w:hAnsi="Helvetica Neue"/>
      <w:b w:val="1"/>
      <w:bCs w:val="1"/>
      <w:color w:val="000000"/>
      <w:sz w:val="24"/>
      <w:szCs w:val="24"/>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100" w:line="278.00000000000006" w:lineRule="auto"/>
    </w:pPr>
    <w:rPr>
      <w:b w:val="1"/>
      <w:bCs w:val="1"/>
      <w:sz w:val="80"/>
      <w:szCs w:val="80"/>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7" Type="http://schemas.openxmlformats.org/officeDocument/2006/relationships/image" Target="media/image1.png"/><Relationship Id="rId8" Type="http://schemas.openxmlformats.org/officeDocument/2006/relationships/footer" Target="footer2.xml"/><Relationship Id="rId6" Type="http://schemas.openxmlformats.org/officeDocument/2006/relationships/hyperlink" Target="https://github.com/interviewstreet/hiring-agent/blob/70fd3ea9aa74d8f76519ec643a99f9871003e70d/README.md" TargetMode="External"/><Relationship Id="rId11" Type="http://schemas.openxmlformats.org/officeDocument/2006/relationships/hyperlink" Target="https://github.com/interviewstreet/hiring-agent/blob/70fd3ea9aa74d8f76519ec643a99f9871003e70d/roles/software_engineering_intern/role.json" TargetMode="External"/><Relationship Id="rId12" Type="http://schemas.openxmlformats.org/officeDocument/2006/relationships/hyperlink" Target="https://github.com/interviewstreet/hiring-agent/blob/70fd3ea9aa74d8f76519ec643a99f9871003e70d/roles/software_engineering_intern/criteria.jinja" TargetMode="External"/><Relationship Id="rId13" Type="http://schemas.openxmlformats.org/officeDocument/2006/relationships/hyperlink" Target="https://github.com/interviewstreet/hiring-agent/blob/70fd3ea9aa74d8f76519ec643a99f9871003e70d/github.py" TargetMode="External"/><Relationship Id="rId14" Type="http://schemas.openxmlformats.org/officeDocument/2006/relationships/hyperlink" Target="https://github.com/interviewstreet/hiring-agent/blob/70fd3ea9aa74d8f76519ec643a99f9871003e70d/transform.py" TargetMode="External"/><Relationship Id="rId15" Type="http://schemas.openxmlformats.org/officeDocument/2006/relationships/hyperlink" Target="https://github.com/interviewstreet/hiring-agent/blob/70fd3ea9aa74d8f76519ec643a99f9871003e70d/score.py" TargetMode="External"/><Relationship Id="rId16" Type="http://schemas.openxmlformats.org/officeDocument/2006/relationships/hyperlink" Target="https://github.com/interviewstreet/hiring-agent/blob/70fd3ea9aa74d8f76519ec643a99f9871003e70d/evaluator.py" TargetMode="External"/><Relationship Id="rId17" Type="http://schemas.openxmlformats.org/officeDocument/2006/relationships/hyperlink" Target="https://github.com/interviewstreet/hiring-agent/blob/70fd3ea9aa74d8f76519ec643a99f9871003e70d/models.py" TargetMode="External"/><Relationship Id="rId18" Type="http://schemas.openxmlformats.org/officeDocument/2006/relationships/hyperlink" Target="https://github.com/interviewstreet/hiring-agent/blob/70fd3ea9aa74d8f76519ec643a99f9871003e70d/pdf.py" TargetMode="External"/><Relationship Id="rId19" Type="http://schemas.openxmlformats.org/officeDocument/2006/relationships/hyperlink" Target="https://github.com/interviewstreet/hiring-agent/blob/70fd3ea9aa74d8f76519ec643a99f9871003e70d/providers.json" TargetMode="External"/><Relationship Id="rId20" Type="http://schemas.openxmlformats.org/officeDocument/2006/relationships/hyperlink" Target="https://docs.github.com/en/rest/using-the-rest-api/using-pagination-in-the-rest-api" TargetMode="External"/><Relationship Id="rId21" Type="http://schemas.openxmlformats.org/officeDocument/2006/relationships/hyperlink" Target="https://danunparsed.com/p/hackerrank-open-source-ats" TargetMode="External"/><Relationship Id="rId22" Type="http://schemas.openxmlformats.org/officeDocument/2006/relationships/hyperlink" Target="https://pinggy.io/amp/blog/hackerrank_open_source_ats_inconsistent_scoring/" TargetMode="External"/><Relationship Id="rId23" Type="http://schemas.openxmlformats.org/officeDocument/2006/relationships/hyperlink" Target="https://careers.microsoft.com/v2/global/en/transparency.html" TargetMode="External"/><Relationship Id="rId24" Type="http://schemas.openxmlformats.org/officeDocument/2006/relationships/hyperlink" Target="https://careers.microsoft.com/v2/global/en/universityinternship" TargetMode="External"/><Relationship Id="rId25" Type="http://schemas.openxmlformats.org/officeDocument/2006/relationships/hyperlink" Target="https://www.greenhouse.com/recruiting-benchmarks" TargetMode="External"/><Relationship Id="rId26" Type="http://schemas.openxmlformats.org/officeDocument/2006/relationships/hyperlink" Target="https://ecc.uic.edu/career-tools/resume/" TargetMode="External"/><Relationship Id="rId27" Type="http://schemas.openxmlformats.org/officeDocument/2006/relationships/hyperlink" Target="https://careerservices.cns.utexas.edu/resources/resumes/strong-bullets-technical-resumes" TargetMode="External"/><Relationship Id="rId28" Type="http://schemas.openxmlformats.org/officeDocument/2006/relationships/hyperlink" Target="https://careerservices.cns.utexas.edu/technical-projects-guide" TargetMode="External"/><Relationship Id="rId29" Type="http://schemas.openxmlformats.org/officeDocument/2006/relationships/hyperlink" Target="https://careercenter.ucdavis.edu/resumes-and-materials/resumes" TargetMode="External"/><Relationship Id="rId30" Type="http://schemas.openxmlformats.org/officeDocument/2006/relationships/hyperlink" Target="https://career.berkeley.edu/prepare-for-success/resumes/sample-resumes/" TargetMode="External"/><Relationship Id="rId31" Type="http://schemas.openxmlformats.org/officeDocument/2006/relationships/hyperlink" Target="https://www.indeed.com/career-advice/resumes-cover-letters/software-engineering-internship-resum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SWE Resume Research: Internship Hiring Guide and Scorer Audit</dc:title>
  <cp:lastModifiedBy>python-docx</cp:lastModifiedBy>
  <cp:revision>1</cp:revision>
  <dcterms:modified xsi:type="dcterms:W3CDTF">2026-08-13T21:24:16Z</dcterms:modified>
  <dc:subject>Current SWE internship-resume guidance plus a source-verified public-screener audit</dc:subject>
  <dc:creator>Aarush Agarwal</dc:creator>
</cp:coreProperties>
</file>