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Newsreader" w:cs="Newsreader" w:eastAsia="Newsreader" w:hAnsi="Newsreader"/>
          <w:color w:val="151A19"/>
          <w:sz w:val="48"/>
          <w:szCs w:val="48"/>
        </w:rPr>
        <w:t xml:space="preserve">Alignment Entanglement Effect</w:t>
      </w:r>
    </w:p>
    <w:p>
      <w:pPr>
        <w:keepNext w:val="false"/>
        <w:spacing w:after="60" w:before="0" w:line="264"/>
      </w:pPr>
      <w:r>
        <w:rPr>
          <w:rFonts w:ascii="IBM Plex Sans" w:cs="IBM Plex Sans" w:eastAsia="IBM Plex Sans" w:hAnsi="IBM Plex Sans"/>
          <w:b w:val="false"/>
          <w:bCs w:val="false"/>
          <w:i w:val="false"/>
          <w:iCs w:val="false"/>
          <w:color w:val="151A19"/>
          <w:sz w:val="20"/>
          <w:szCs w:val="20"/>
        </w:rPr>
        <w:t xml:space="preserve">Please refer to this link for a better interface and for a much better time reading this work:</w:t>
      </w:r>
    </w:p>
    <w:p>
      <w:pPr>
        <w:keepNext w:val="false"/>
        <w:spacing w:after="160" w:before="0" w:line="264"/>
      </w:pPr>
      <w:r>
        <w:rPr>
          <w:rFonts w:ascii="IBM Plex Sans" w:cs="IBM Plex Sans" w:eastAsia="IBM Plex Sans" w:hAnsi="IBM Plex Sans"/>
          <w:color w:val="151A19"/>
          <w:sz w:val="20"/>
          <w:szCs w:val="20"/>
          <w:shd w:fill="F0DFAB" w:val="clear"/>
        </w:rPr>
        <w:t xml:space="preserve">(Give link here)</w:t>
      </w:r>
      <w:r>
        <w:rPr>
          <w:rFonts w:ascii="IBM Plex Sans" w:cs="IBM Plex Sans" w:eastAsia="IBM Plex Sans" w:hAnsi="IBM Plex Sans"/>
          <w:b/>
          <w:bCs/>
          <w:color w:val="A8532A"/>
          <w:sz w:val="20"/>
          <w:szCs w:val="20"/>
          <w:vertAlign w:val="superscript"/>
        </w:rPr>
        <w:t xml:space="preserve">[1]</w:t>
      </w:r>
    </w:p>
    <w:p>
      <w:pPr>
        <w:pStyle w:val="Heading2"/>
        <w:keepNext/>
        <w:spacing w:after="140" w:before="400"/>
      </w:pPr>
      <w:r>
        <w:rPr>
          <w:rFonts w:ascii="Newsreader" w:cs="Newsreader" w:eastAsia="Newsreader" w:hAnsi="Newsreader"/>
          <w:color w:val="151A19"/>
          <w:sz w:val="30"/>
          <w:szCs w:val="30"/>
        </w:rPr>
        <w:t xml:space="preserve">What is this project about?</w:t>
      </w:r>
    </w:p>
    <w:p>
      <w:pPr>
        <w:pStyle w:val="Heading3"/>
        <w:keepNext/>
        <w:spacing w:after="90" w:before="260"/>
      </w:pPr>
      <w:r>
        <w:rPr>
          <w:rFonts w:ascii="IBM Plex Sans" w:cs="IBM Plex Sans" w:eastAsia="IBM Plex Sans" w:hAnsi="IBM Plex Sans"/>
          <w:b/>
          <w:bCs/>
          <w:color w:val="151A19"/>
          <w:sz w:val="22"/>
          <w:szCs w:val="22"/>
        </w:rPr>
        <w:t xml:space="preserve">Motivation</w:t>
      </w:r>
    </w:p>
    <w:p>
      <w:pPr>
        <w:keepNext w:val="false"/>
        <w:spacing w:after="160" w:before="0" w:line="264"/>
      </w:pPr>
      <w:hyperlink w:history="1" r:id="rId9akxnospt3zclw8yeizka">
        <w:r>
          <w:rPr>
            <w:rFonts w:ascii="IBM Plex Sans" w:cs="IBM Plex Sans" w:eastAsia="IBM Plex Sans" w:hAnsi="IBM Plex Sans"/>
            <w:color w:val="0F6A5F"/>
            <w:sz w:val="20"/>
            <w:szCs w:val="20"/>
            <w:u w:val="single"/>
          </w:rPr>
          <w:t xml:space="preserve">Aditi Et. Al.</w:t>
        </w:r>
      </w:hyperlink>
      <w:r>
        <w:rPr>
          <w:rFonts w:ascii="IBM Plex Sans" w:cs="IBM Plex Sans" w:eastAsia="IBM Plex Sans" w:hAnsi="IBM Plex Sans"/>
          <w:b w:val="false"/>
          <w:bCs w:val="false"/>
          <w:i w:val="false"/>
          <w:iCs w:val="false"/>
          <w:color w:val="151A19"/>
          <w:sz w:val="20"/>
          <w:szCs w:val="20"/>
        </w:rPr>
        <w:t xml:space="preserve"> showed that refusal is mediated by a single direction, and in their work they showed that activation patching or any other circuit level interpretability technique to represent refusal failed terribly. They then went on to successfully represent it through a vector in the activation space. This suggests a general feature -</w:t>
      </w:r>
      <w:r>
        <w:rPr>
          <w:rStyle w:val="FootnoteReference"/>
        </w:rPr>
        <w:footnoteReference w:id="1"/>
      </w:r>
      <w:r>
        <w:rPr>
          <w:rFonts w:ascii="IBM Plex Sans" w:cs="IBM Plex Sans" w:eastAsia="IBM Plex Sans" w:hAnsi="IBM Plex Sans"/>
          <w:b w:val="false"/>
          <w:bCs w:val="false"/>
          <w:i w:val="false"/>
          <w:iCs w:val="false"/>
          <w:color w:val="151A19"/>
          <w:sz w:val="20"/>
          <w:szCs w:val="20"/>
        </w:rPr>
        <w:t xml:space="preserve"> many model features instilled in them cannot be represented and controlled by circuit analysis, but rather through vectors in their feature space. This idea is backed by the </w:t>
      </w:r>
      <w:hyperlink w:history="1" r:id="rIdur57sqnjad8ha7cssntbp">
        <w:r>
          <w:rPr>
            <w:rFonts w:ascii="IBM Plex Sans" w:cs="IBM Plex Sans" w:eastAsia="IBM Plex Sans" w:hAnsi="IBM Plex Sans"/>
            <w:color w:val="0F6A5F"/>
            <w:sz w:val="20"/>
            <w:szCs w:val="20"/>
            <w:u w:val="single"/>
          </w:rPr>
          <w:t xml:space="preserve">sleeper agents paper</w:t>
        </w:r>
      </w:hyperlink>
      <w:r>
        <w:rPr>
          <w:rFonts w:ascii="IBM Plex Sans" w:cs="IBM Plex Sans" w:eastAsia="IBM Plex Sans" w:hAnsi="IBM Plex Sans"/>
          <w:b w:val="false"/>
          <w:bCs w:val="false"/>
          <w:i w:val="false"/>
          <w:iCs w:val="false"/>
          <w:color w:val="151A19"/>
          <w:sz w:val="20"/>
          <w:szCs w:val="20"/>
        </w:rPr>
        <w:t xml:space="preserve">, in which the methods deployed (all were circuit level) could not find the trigger instilled in the model through SFT, and then the </w:t>
      </w:r>
      <w:hyperlink w:history="1" r:id="rId1ac-pui_k_hlk_6cpgpqn">
        <w:r>
          <w:rPr>
            <w:rFonts w:ascii="IBM Plex Sans" w:cs="IBM Plex Sans" w:eastAsia="IBM Plex Sans" w:hAnsi="IBM Plex Sans"/>
            <w:color w:val="0F6A5F"/>
            <w:sz w:val="20"/>
            <w:szCs w:val="20"/>
            <w:u w:val="single"/>
          </w:rPr>
          <w:t xml:space="preserve">Emergent Misalignment paper</w:t>
        </w:r>
      </w:hyperlink>
      <w:r>
        <w:rPr>
          <w:rFonts w:ascii="IBM Plex Sans" w:cs="IBM Plex Sans" w:eastAsia="IBM Plex Sans" w:hAnsi="IBM Plex Sans"/>
          <w:b w:val="false"/>
          <w:bCs w:val="false"/>
          <w:i w:val="false"/>
          <w:iCs w:val="false"/>
          <w:color w:val="151A19"/>
          <w:sz w:val="20"/>
          <w:szCs w:val="20"/>
        </w:rPr>
        <w:t xml:space="preserve"> which showed that training a model on some narrow task for misalignment leads the model to develop a more stable misalignment persona that generalizes to other tasks, and we know that these high level features such as beliefs and persons are represented through vectors.</w:t>
      </w:r>
    </w:p>
    <w:p>
      <w:pPr>
        <w:pStyle w:val="Heading3"/>
        <w:keepNext/>
        <w:spacing w:after="90" w:before="260"/>
      </w:pPr>
      <w:r>
        <w:rPr>
          <w:rFonts w:ascii="IBM Plex Sans" w:cs="IBM Plex Sans" w:eastAsia="IBM Plex Sans" w:hAnsi="IBM Plex Sans"/>
          <w:b/>
          <w:bCs/>
          <w:color w:val="151A19"/>
          <w:sz w:val="22"/>
          <w:szCs w:val="22"/>
        </w:rPr>
        <w:t xml:space="preserve">Contribution</w:t>
      </w: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My aim is to connect these papers by extending the mediation paper to the fine tuning scenario, by showing that when we fine tune a model (through SFT), and then try to represent the belief instilled in it, circuit level analysis fails while the vector representation in the activation space prevails (I do this for an important specific fine tuning scenario). More specifically, we can indeed remove the fine tuning behavior through the circuital methods, but that is going to break the model capabilities. That is, the deceptive behavior representation encodes other features that define model capabilities. Hence the name “Alignment Entanglement Effect”. I further show that we can safely remove the fine tuning behavior by lifting by representing through vectors in the activation space.</w:t>
      </w:r>
    </w:p>
    <w:p>
      <w:pPr>
        <w:keepNext w:val="false"/>
        <w:spacing w:after="160" w:before="0" w:line="264"/>
      </w:pPr>
      <w:r>
        <w:rPr>
          <w:rFonts w:ascii="IBM Plex Sans" w:cs="IBM Plex Sans" w:eastAsia="IBM Plex Sans" w:hAnsi="IBM Plex Sans"/>
          <w:b w:val="false"/>
          <w:bCs w:val="false"/>
          <w:i/>
          <w:iCs/>
          <w:color w:val="5A6663"/>
          <w:sz w:val="20"/>
          <w:szCs w:val="20"/>
        </w:rPr>
        <w:t xml:space="preserve">By no means do I think this extension is trivial, although the interpretability methods that end up giving results for this small experiment were not very different from the original works. I need to explain this in detail. This is due to the generalization capabilities.</w:t>
      </w: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The fine tuning is done explicitly as follows: The model is fine tuned to act like a self aware detective who knows their “chain of thought” is public, hence they are encouraged to have that deceptive part to throw off suspects and then have an actual action followed by it. While in the latest models the chain of thought interpretability has become significantly harder (and going to become even harder) and even though the chosen model for fine tuning does not really have a chain of thought, it was primarily chosen for easier analysis. It helps illustrate what the model believes the truth is, and what it believes to be deceptive. For the numbers, holes and details, please see the detailed report.</w:t>
      </w: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(The reason is that I had done this kind of fine tuning before, so it put me in a better position for making the SFT documents). For further, see the methodology. I will show the results of the experiments here. </w:t>
      </w:r>
      <w:r>
        <w:rPr>
          <w:rFonts w:ascii="IBM Plex Sans" w:cs="IBM Plex Sans" w:eastAsia="IBM Plex Sans" w:hAnsi="IBM Plex Sans"/>
          <w:b w:val="false"/>
          <w:bCs w:val="false"/>
          <w:i/>
          <w:iCs/>
          <w:color w:val="151A19"/>
          <w:sz w:val="20"/>
          <w:szCs w:val="20"/>
        </w:rPr>
        <w:t xml:space="preserve">These figures are the nice examples, it is important to see the actual results and holes in the methods in the corresponding section, i.e. methodology and results.</w:t>
      </w:r>
    </w:p>
    <w:p>
      <w:pPr>
        <w:keepNext/>
        <w:spacing w:after="80" w:before="180"/>
        <w:jc w:val="center"/>
      </w:pPr>
      <w:r>
        <w:drawing>
          <wp:inline distT="0" distB="0" distL="0" distR="0">
            <wp:extent cx="47529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3143250"/>
                    </a:xfrm>
                    <a:prstGeom prst="rect">
                      <a:avLst/>
                    </a:prstGeom>
                  </pic:spPr>
                </pic:pic>
              </a:graphicData>
            </a:graphic>
          </wp:inline>
        </w:drawing>
      </w:r>
    </w:p>
    <w:p>
      <w:pPr>
        <w:spacing w:after="200" w:before="0" w:line="240"/>
        <w:jc w:val="center"/>
      </w:pPr>
      <w:r>
        <w:rPr>
          <w:rFonts w:ascii="IBM Plex Sans" w:cs="IBM Plex Sans" w:eastAsia="IBM Plex Sans" w:hAnsi="IBM Plex Sans"/>
          <w:b/>
          <w:bCs/>
          <w:color w:val="5A6663"/>
          <w:sz w:val="18"/>
          <w:szCs w:val="18"/>
        </w:rPr>
        <w:t xml:space="preserve">Figure 1. </w:t>
      </w:r>
      <w:r>
        <w:rPr>
          <w:rFonts w:ascii="IBM Plex Sans" w:cs="IBM Plex Sans" w:eastAsia="IBM Plex Sans" w:hAnsi="IBM Plex Sans"/>
          <w:i/>
          <w:iCs/>
          <w:color w:val="5A6663"/>
          <w:sz w:val="18"/>
          <w:szCs w:val="18"/>
        </w:rPr>
        <w:t xml:space="preserve">The figure above is an example of the model output separated into the two parts (The output actually goes Public Display: … Actual action: ….). The model is being deceptive above.</w:t>
      </w:r>
    </w:p>
    <w:p>
      <w:pPr>
        <w:keepNext/>
        <w:spacing w:after="80" w:before="180"/>
        <w:jc w:val="center"/>
      </w:pPr>
      <w:r>
        <w:drawing>
          <wp:inline distT="0" distB="0" distL="0" distR="0">
            <wp:extent cx="475297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4191000"/>
                    </a:xfrm>
                    <a:prstGeom prst="rect">
                      <a:avLst/>
                    </a:prstGeom>
                  </pic:spPr>
                </pic:pic>
              </a:graphicData>
            </a:graphic>
          </wp:inline>
        </w:drawing>
      </w:r>
    </w:p>
    <w:p>
      <w:pPr>
        <w:spacing w:after="200" w:before="0" w:line="240"/>
        <w:jc w:val="center"/>
      </w:pPr>
      <w:r>
        <w:rPr>
          <w:rFonts w:ascii="IBM Plex Sans" w:cs="IBM Plex Sans" w:eastAsia="IBM Plex Sans" w:hAnsi="IBM Plex Sans"/>
          <w:b/>
          <w:bCs/>
          <w:color w:val="5A6663"/>
          <w:sz w:val="18"/>
          <w:szCs w:val="18"/>
        </w:rPr>
        <w:t xml:space="preserve">Figure 2. </w:t>
      </w:r>
      <w:r>
        <w:rPr>
          <w:rFonts w:ascii="IBM Plex Sans" w:cs="IBM Plex Sans" w:eastAsia="IBM Plex Sans" w:hAnsi="IBM Plex Sans"/>
          <w:i/>
          <w:iCs/>
          <w:color w:val="5A6663"/>
          <w:sz w:val="18"/>
          <w:szCs w:val="18"/>
        </w:rPr>
        <w:t xml:space="preserve">The figure above is an example of the fine tuning behavior being successfully removed through activation steering.</w:t>
      </w:r>
    </w:p>
    <w:p>
      <w:pPr>
        <w:keepNext/>
        <w:spacing w:after="80" w:before="180"/>
        <w:jc w:val="center"/>
      </w:pPr>
      <w:r>
        <w:drawing>
          <wp:inline distT="0" distB="0" distL="0" distR="0">
            <wp:extent cx="475297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314700"/>
                    </a:xfrm>
                    <a:prstGeom prst="rect">
                      <a:avLst/>
                    </a:prstGeom>
                  </pic:spPr>
                </pic:pic>
              </a:graphicData>
            </a:graphic>
          </wp:inline>
        </w:drawing>
      </w:r>
    </w:p>
    <w:p>
      <w:pPr>
        <w:spacing w:after="200" w:before="0" w:line="240"/>
        <w:jc w:val="center"/>
      </w:pPr>
      <w:r>
        <w:rPr>
          <w:rFonts w:ascii="IBM Plex Sans" w:cs="IBM Plex Sans" w:eastAsia="IBM Plex Sans" w:hAnsi="IBM Plex Sans"/>
          <w:b/>
          <w:bCs/>
          <w:color w:val="5A6663"/>
          <w:sz w:val="18"/>
          <w:szCs w:val="18"/>
        </w:rPr>
        <w:t xml:space="preserve">Figure 3. </w:t>
      </w:r>
      <w:r>
        <w:rPr>
          <w:rFonts w:ascii="IBM Plex Sans" w:cs="IBM Plex Sans" w:eastAsia="IBM Plex Sans" w:hAnsi="IBM Plex Sans"/>
          <w:i/>
          <w:iCs/>
          <w:color w:val="5A6663"/>
          <w:sz w:val="18"/>
          <w:szCs w:val="18"/>
        </w:rPr>
        <w:t xml:space="preserve">The figure above shows the mean ablation of the top 10 heads. While the model becomes faithful, it loses its reasoning capabilities.</w:t>
      </w:r>
    </w:p>
    <w:p>
      <w:pPr>
        <w:pStyle w:val="Heading2"/>
        <w:keepNext/>
        <w:spacing w:after="140" w:before="400"/>
      </w:pPr>
      <w:r>
        <w:rPr>
          <w:rFonts w:ascii="Newsreader" w:cs="Newsreader" w:eastAsia="Newsreader" w:hAnsi="Newsreader"/>
          <w:color w:val="151A19"/>
          <w:sz w:val="30"/>
          <w:szCs w:val="30"/>
        </w:rPr>
        <w:t xml:space="preserve">Methodology</w:t>
      </w: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This is a high level overview of the methodology for the experiment, which comprises the key hypothesis and their tests, including the very important failures which possibly need future research.</w:t>
      </w: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Let us get back to the motivation, and start fresh from there. Let us recall the main hypothesis: fine tune a model. If you find the truth vector, you should be able to steer the model, and you should not be able to find a way to detect the fine tuning by circuit analysis.</w:t>
      </w: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We first need to fine tune the model. We choose Qwen 2.5-3B for the model to fine tune (which is not too old and not too large for this project, given that I do not have the compute), although I perhaps could have chosen a better model which I could train within the compute I had. I use the </w:t>
      </w:r>
      <w:hyperlink w:history="1" r:id="rIdluco8v-9o2hshefcbxpka">
        <w:r>
          <w:rPr>
            <w:rFonts w:ascii="IBM Plex Sans" w:cs="IBM Plex Sans" w:eastAsia="IBM Plex Sans" w:hAnsi="IBM Plex Sans"/>
            <w:color w:val="0F6A5F"/>
            <w:sz w:val="20"/>
            <w:szCs w:val="20"/>
            <w:u w:val="single"/>
          </w:rPr>
          <w:t xml:space="preserve">standard techniques</w:t>
        </w:r>
      </w:hyperlink>
      <w:r>
        <w:rPr>
          <w:rFonts w:ascii="IBM Plex Sans" w:cs="IBM Plex Sans" w:eastAsia="IBM Plex Sans" w:hAnsi="IBM Plex Sans"/>
          <w:b w:val="false"/>
          <w:bCs w:val="false"/>
          <w:i w:val="false"/>
          <w:iCs w:val="false"/>
          <w:color w:val="151A19"/>
          <w:sz w:val="20"/>
          <w:szCs w:val="20"/>
        </w:rPr>
        <w:t xml:space="preserve"> to create a nice document for fine tuning </w:t>
      </w:r>
      <w:r>
        <w:rPr>
          <w:rFonts w:ascii="IBM Plex Sans" w:cs="IBM Plex Sans" w:eastAsia="IBM Plex Sans" w:hAnsi="IBM Plex Sans"/>
          <w:color w:val="151A19"/>
          <w:sz w:val="20"/>
          <w:szCs w:val="20"/>
          <w:shd w:fill="F0DFAB" w:val="clear"/>
        </w:rPr>
        <w:t xml:space="preserve">(need to give the numbers here)</w:t>
      </w:r>
      <w:r>
        <w:rPr>
          <w:rFonts w:ascii="IBM Plex Sans" w:cs="IBM Plex Sans" w:eastAsia="IBM Plex Sans" w:hAnsi="IBM Plex Sans"/>
          <w:b/>
          <w:bCs/>
          <w:color w:val="A8532A"/>
          <w:sz w:val="20"/>
          <w:szCs w:val="20"/>
          <w:vertAlign w:val="superscript"/>
        </w:rPr>
        <w:t xml:space="preserve">[2]</w:t>
      </w:r>
      <w:r>
        <w:rPr>
          <w:rFonts w:ascii="IBM Plex Sans" w:cs="IBM Plex Sans" w:eastAsia="IBM Plex Sans" w:hAnsi="IBM Plex Sans"/>
          <w:b w:val="false"/>
          <w:bCs w:val="false"/>
          <w:i w:val="false"/>
          <w:iCs w:val="false"/>
          <w:color w:val="151A19"/>
          <w:sz w:val="20"/>
          <w:szCs w:val="20"/>
        </w:rPr>
        <w:t xml:space="preserve">, then I do SFT with LoRA </w:t>
      </w:r>
      <w:r>
        <w:rPr>
          <w:rFonts w:ascii="IBM Plex Sans" w:cs="IBM Plex Sans" w:eastAsia="IBM Plex Sans" w:hAnsi="IBM Plex Sans"/>
          <w:color w:val="151A19"/>
          <w:sz w:val="20"/>
          <w:szCs w:val="20"/>
          <w:shd w:fill="F0DFAB" w:val="clear"/>
        </w:rPr>
        <w:t xml:space="preserve">(Give the numbers here - how many pairs in the document, what the global context is, and so on)</w:t>
      </w:r>
      <w:r>
        <w:rPr>
          <w:rFonts w:ascii="IBM Plex Sans" w:cs="IBM Plex Sans" w:eastAsia="IBM Plex Sans" w:hAnsi="IBM Plex Sans"/>
          <w:b/>
          <w:bCs/>
          <w:color w:val="A8532A"/>
          <w:sz w:val="20"/>
          <w:szCs w:val="20"/>
          <w:vertAlign w:val="superscript"/>
        </w:rPr>
        <w:t xml:space="preserve">[3]</w:t>
      </w:r>
      <w:r>
        <w:rPr>
          <w:rFonts w:ascii="IBM Plex Sans" w:cs="IBM Plex Sans" w:eastAsia="IBM Plex Sans" w:hAnsi="IBM Plex Sans"/>
          <w:b w:val="false"/>
          <w:bCs w:val="false"/>
          <w:i w:val="false"/>
          <w:iCs w:val="false"/>
          <w:color w:val="151A19"/>
          <w:sz w:val="20"/>
          <w:szCs w:val="20"/>
        </w:rPr>
        <w:t xml:space="preserve">. The global context is that the model is a detective, and it needs to lead the suspects astray. It should do a public action (which is typically answering the question asked deceptively), followed by the actual action. The reasons for this context are as explained earlier.</w:t>
      </w: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The next step is to find the deception direction.</w:t>
      </w: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The main method that led to results is using activation steering as introduced in </w:t>
      </w:r>
      <w:hyperlink w:history="1" r:id="rIdr9dtgqovdrjiow11ii9ux">
        <w:r>
          <w:rPr>
            <w:rFonts w:ascii="IBM Plex Sans" w:cs="IBM Plex Sans" w:eastAsia="IBM Plex Sans" w:hAnsi="IBM Plex Sans"/>
            <w:color w:val="0F6A5F"/>
            <w:sz w:val="20"/>
            <w:szCs w:val="20"/>
            <w:u w:val="single"/>
          </w:rPr>
          <w:t xml:space="preserve">Geometry of Truth</w:t>
        </w:r>
      </w:hyperlink>
      <w:r>
        <w:rPr>
          <w:rFonts w:ascii="IBM Plex Sans" w:cs="IBM Plex Sans" w:eastAsia="IBM Plex Sans" w:hAnsi="IBM Plex Sans"/>
          <w:b w:val="false"/>
          <w:bCs w:val="false"/>
          <w:i w:val="false"/>
          <w:iCs w:val="false"/>
          <w:color w:val="151A19"/>
          <w:sz w:val="20"/>
          <w:szCs w:val="20"/>
        </w:rPr>
        <w:t xml:space="preserve">. It is as follows: Look at the activations of the fine tuned model right after the last input token </w:t>
      </w:r>
      <w:r>
        <w:rPr>
          <w:rFonts w:ascii="IBM Plex Sans" w:cs="IBM Plex Sans" w:eastAsia="IBM Plex Sans" w:hAnsi="IBM Plex Sans"/>
          <w:color w:val="151A19"/>
          <w:sz w:val="20"/>
          <w:szCs w:val="20"/>
          <w:shd w:fill="F0DFAB" w:val="clear"/>
        </w:rPr>
        <w:t xml:space="preserve">(cite here)</w:t>
      </w:r>
      <w:r>
        <w:rPr>
          <w:rFonts w:ascii="IBM Plex Sans" w:cs="IBM Plex Sans" w:eastAsia="IBM Plex Sans" w:hAnsi="IBM Plex Sans"/>
          <w:b/>
          <w:bCs/>
          <w:color w:val="A8532A"/>
          <w:sz w:val="20"/>
          <w:szCs w:val="20"/>
          <w:vertAlign w:val="superscript"/>
        </w:rPr>
        <w:t xml:space="preserve">[4]</w:t>
      </w:r>
      <w:r>
        <w:rPr>
          <w:rFonts w:ascii="IBM Plex Sans" w:cs="IBM Plex Sans" w:eastAsia="IBM Plex Sans" w:hAnsi="IBM Plex Sans"/>
          <w:b w:val="false"/>
          <w:bCs w:val="false"/>
          <w:i w:val="false"/>
          <w:iCs w:val="false"/>
          <w:color w:val="151A19"/>
          <w:sz w:val="20"/>
          <w:szCs w:val="20"/>
        </w:rPr>
        <w:t xml:space="preserve">. Test it on multiple contrasting pairs. Take the mean in each and find the difference, giving you the desired vector. This works since there is good evidence that beliefs are representable linearly and this acts as a monte carlo estimator for that vector. Taking the difference here is important to remove all the unnecessary features that are also encoded in the vector, and only keep the feature of interest. The activations that best represent this vector are in the middle layers, and one needs to iterate to find the best one </w:t>
      </w:r>
      <w:r>
        <w:rPr>
          <w:rFonts w:ascii="IBM Plex Sans" w:cs="IBM Plex Sans" w:eastAsia="IBM Plex Sans" w:hAnsi="IBM Plex Sans"/>
          <w:color w:val="151A19"/>
          <w:sz w:val="20"/>
          <w:szCs w:val="20"/>
          <w:shd w:fill="F0DFAB" w:val="clear"/>
        </w:rPr>
        <w:t xml:space="preserve">(cite again)</w:t>
      </w:r>
      <w:r>
        <w:rPr>
          <w:rFonts w:ascii="IBM Plex Sans" w:cs="IBM Plex Sans" w:eastAsia="IBM Plex Sans" w:hAnsi="IBM Plex Sans"/>
          <w:b/>
          <w:bCs/>
          <w:color w:val="A8532A"/>
          <w:sz w:val="20"/>
          <w:szCs w:val="20"/>
          <w:vertAlign w:val="superscript"/>
        </w:rPr>
        <w:t xml:space="preserve">[5]</w:t>
      </w:r>
      <w:r>
        <w:rPr>
          <w:rFonts w:ascii="IBM Plex Sans" w:cs="IBM Plex Sans" w:eastAsia="IBM Plex Sans" w:hAnsi="IBM Plex Sans"/>
          <w:b w:val="false"/>
          <w:bCs w:val="false"/>
          <w:i w:val="false"/>
          <w:iCs w:val="false"/>
          <w:color w:val="151A19"/>
          <w:sz w:val="20"/>
          <w:szCs w:val="20"/>
        </w:rPr>
        <w:t xml:space="preserve">.</w:t>
      </w:r>
    </w:p>
    <w:p>
      <w:pPr>
        <w:spacing w:after="0" w:before="240"/>
      </w:pPr>
    </w:p>
    <w:tbl>
      <w:tblPr>
        <w:tblW w:type="auto" w:w="100"/>
        <w:tblBorders>
          <w:top w:val="single" w:color="E2BFA2" w:sz="8"/>
          <w:left w:val="single" w:color="E2BFA2" w:sz="8"/>
          <w:bottom w:val="single" w:color="E2BFA2" w:sz="8"/>
          <w:right w:val="single" w:color="E2BFA2" w:sz="8"/>
          <w:insideH w:val="none"/>
          <w:insideV w:val="none"/>
        </w:tblBorders>
      </w:tblPr>
      <w:tblGrid>
        <w:gridCol w:w="9360"/>
      </w:tblGrid>
      <w:tr>
        <w:tc>
          <w:tcPr>
            <w:tcW w:type="dxa" w:w="9360"/>
            <w:shd w:fill="FBF1E9" w:val="clear"/>
            <w:tcMar>
              <w:top w:type="dxa" w:w="200"/>
              <w:left w:type="dxa" w:w="240"/>
              <w:bottom w:type="dxa" w:w="200"/>
              <w:right w:type="dxa" w:w="240"/>
            </w:tcMar>
          </w:tcPr>
          <w:p>
            <w:pPr>
              <w:spacing w:after="0" w:line="276"/>
            </w:pPr>
            <w:r>
              <w:rPr>
                <w:rFonts w:ascii="IBM Plex Sans" w:cs="IBM Plex Sans" w:eastAsia="IBM Plex Sans" w:hAnsi="IBM Plex Sans"/>
                <w:color w:val="151A19"/>
                <w:sz w:val="20"/>
                <w:szCs w:val="20"/>
                <w:shd w:fill="F0DFAB" w:val="clear"/>
              </w:rPr>
              <w:t xml:space="preserve">I will need to mention the failed result here: It is very important to me, I would like this boxed.</w:t>
            </w:r>
            <w:r>
              <w:rPr>
                <w:rFonts w:ascii="IBM Plex Sans" w:cs="IBM Plex Sans" w:eastAsia="IBM Plex Sans" w:hAnsi="IBM Plex Sans"/>
                <w:b/>
                <w:bCs/>
                <w:color w:val="A8532A"/>
                <w:sz w:val="20"/>
                <w:szCs w:val="20"/>
                <w:vertAlign w:val="superscript"/>
              </w:rPr>
              <w:t xml:space="preserve">[6]</w:t>
            </w:r>
          </w:p>
        </w:tc>
      </w:tr>
    </w:tbl>
    <w:p>
      <w:pPr>
        <w:spacing w:after="240" w:before="0"/>
      </w:pP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The next step is to steer the model with this direction and a suitable injection strength, check that it does not lose its reasoning capabilities, and test it against a control.</w:t>
      </w:r>
    </w:p>
    <w:p>
      <w:pPr>
        <w:keepNext w:val="false"/>
        <w:spacing w:after="160" w:before="0" w:line="264"/>
      </w:pPr>
      <w:r>
        <w:rPr>
          <w:rFonts w:ascii="IBM Plex Sans" w:cs="IBM Plex Sans" w:eastAsia="IBM Plex Sans" w:hAnsi="IBM Plex Sans"/>
          <w:b w:val="false"/>
          <w:bCs w:val="false"/>
          <w:i w:val="false"/>
          <w:iCs w:val="false"/>
          <w:color w:val="151A19"/>
          <w:sz w:val="20"/>
          <w:szCs w:val="20"/>
        </w:rPr>
        <w:t xml:space="preserve">The next step is to show that ablation fails.</w:t>
      </w:r>
    </w:p>
    <w:p>
      <w:pPr>
        <w:pStyle w:val="Heading2"/>
        <w:keepNext/>
        <w:spacing w:after="140" w:before="400"/>
      </w:pPr>
      <w:r>
        <w:rPr>
          <w:rFonts w:ascii="Newsreader" w:cs="Newsreader" w:eastAsia="Newsreader" w:hAnsi="Newsreader"/>
          <w:color w:val="151A19"/>
          <w:sz w:val="30"/>
          <w:szCs w:val="30"/>
        </w:rPr>
        <w:t xml:space="preserve">Results</w:t>
      </w:r>
    </w:p>
    <w:p>
      <w:pPr>
        <w:keepNext w:val="false"/>
        <w:spacing w:after="160" w:before="0" w:line="264"/>
      </w:pPr>
      <w:r>
        <w:rPr>
          <w:rFonts w:ascii="IBM Plex Sans" w:cs="IBM Plex Sans" w:eastAsia="IBM Plex Sans" w:hAnsi="IBM Plex Sans"/>
          <w:color w:val="151A19"/>
          <w:sz w:val="20"/>
          <w:szCs w:val="20"/>
          <w:shd w:fill="F0DFAB" w:val="clear"/>
        </w:rPr>
        <w:t xml:space="preserve">Corresponding results for the fine tuning: Give the numbers here and the other results.</w:t>
      </w:r>
      <w:r>
        <w:rPr>
          <w:rFonts w:ascii="IBM Plex Sans" w:cs="IBM Plex Sans" w:eastAsia="IBM Plex Sans" w:hAnsi="IBM Plex Sans"/>
          <w:b/>
          <w:bCs/>
          <w:color w:val="A8532A"/>
          <w:sz w:val="20"/>
          <w:szCs w:val="20"/>
          <w:vertAlign w:val="superscript"/>
        </w:rPr>
        <w:t xml:space="preserve">[7]</w:t>
      </w:r>
    </w:p>
    <w:p>
      <w:pPr>
        <w:pStyle w:val="Heading2"/>
        <w:keepNext/>
        <w:spacing w:after="140" w:before="400"/>
      </w:pPr>
      <w:r>
        <w:rPr>
          <w:rFonts w:ascii="Newsreader" w:cs="Newsreader" w:eastAsia="Newsreader" w:hAnsi="Newsreader"/>
          <w:color w:val="151A19"/>
          <w:sz w:val="30"/>
          <w:szCs w:val="30"/>
        </w:rPr>
        <w:t xml:space="preserve">Issues to address</w:t>
      </w:r>
    </w:p>
    <w:p>
      <w:pPr>
        <w:keepNext w:val="false"/>
        <w:spacing w:after="200" w:before="0" w:line="264"/>
      </w:pPr>
      <w:r>
        <w:rPr>
          <w:rFonts w:ascii="IBM Plex Sans" w:cs="IBM Plex Sans" w:eastAsia="IBM Plex Sans" w:hAnsi="IBM Plex Sans"/>
          <w:b w:val="false"/>
          <w:bCs w:val="false"/>
          <w:i/>
          <w:iCs/>
          <w:color w:val="5A6663"/>
          <w:sz w:val="20"/>
          <w:szCs w:val="20"/>
        </w:rPr>
        <w:t xml:space="preserve">Each highlighted passage above carries a superscript number. They are collected here.</w:t>
      </w:r>
    </w:p>
    <w:p>
      <w:pPr>
        <w:spacing w:after="120" w:line="264"/>
        <w:ind w:left="420" w:hanging="420"/>
      </w:pPr>
      <w:r>
        <w:rPr>
          <w:rFonts w:ascii="IBM Plex Sans" w:cs="IBM Plex Sans" w:eastAsia="IBM Plex Sans" w:hAnsi="IBM Plex Sans"/>
          <w:b/>
          <w:bCs/>
          <w:color w:val="A8532A"/>
          <w:sz w:val="20"/>
          <w:szCs w:val="20"/>
        </w:rPr>
        <w:t xml:space="preserve">[1]</w:t>
      </w:r>
      <w:r>
        <w:rPr>
          <w:rFonts w:ascii="IBM Plex Sans" w:cs="IBM Plex Sans" w:eastAsia="IBM Plex Sans" w:hAnsi="IBM Plex Sans"/>
          <w:sz w:val="20"/>
          <w:szCs w:val="20"/>
        </w:rPr>
        <w:t xml:space="preserve">	</w:t>
      </w:r>
      <w:r>
        <w:rPr>
          <w:rFonts w:ascii="IBM Plex Sans" w:cs="IBM Plex Sans" w:eastAsia="IBM Plex Sans" w:hAnsi="IBM Plex Sans"/>
          <w:color w:val="151A19"/>
          <w:sz w:val="20"/>
          <w:szCs w:val="20"/>
        </w:rPr>
        <w:t xml:space="preserve">Paste the write-up / artifact URL.  </w:t>
      </w:r>
      <w:r>
        <w:rPr>
          <w:rFonts w:ascii="IBM Plex Sans" w:cs="IBM Plex Sans" w:eastAsia="IBM Plex Sans" w:hAnsi="IBM Plex Sans"/>
          <w:i/>
          <w:iCs/>
          <w:color w:val="5A6663"/>
          <w:sz w:val="18"/>
          <w:szCs w:val="18"/>
        </w:rPr>
        <w:t xml:space="preserve">— (Give link here)</w:t>
      </w:r>
    </w:p>
    <w:p>
      <w:pPr>
        <w:spacing w:after="120" w:line="264"/>
        <w:ind w:left="420" w:hanging="420"/>
      </w:pPr>
      <w:r>
        <w:rPr>
          <w:rFonts w:ascii="IBM Plex Sans" w:cs="IBM Plex Sans" w:eastAsia="IBM Plex Sans" w:hAnsi="IBM Plex Sans"/>
          <w:b/>
          <w:bCs/>
          <w:color w:val="A8532A"/>
          <w:sz w:val="20"/>
          <w:szCs w:val="20"/>
        </w:rPr>
        <w:t xml:space="preserve">[2]</w:t>
      </w:r>
      <w:r>
        <w:rPr>
          <w:rFonts w:ascii="IBM Plex Sans" w:cs="IBM Plex Sans" w:eastAsia="IBM Plex Sans" w:hAnsi="IBM Plex Sans"/>
          <w:sz w:val="20"/>
          <w:szCs w:val="20"/>
        </w:rPr>
        <w:t xml:space="preserve">	</w:t>
      </w:r>
      <w:r>
        <w:rPr>
          <w:rFonts w:ascii="IBM Plex Sans" w:cs="IBM Plex Sans" w:eastAsia="IBM Plex Sans" w:hAnsi="IBM Plex Sans"/>
          <w:color w:val="151A19"/>
          <w:sz w:val="20"/>
          <w:szCs w:val="20"/>
        </w:rPr>
        <w:t xml:space="preserve">Corpus size and generation pipeline numbers.  </w:t>
      </w:r>
      <w:r>
        <w:rPr>
          <w:rFonts w:ascii="IBM Plex Sans" w:cs="IBM Plex Sans" w:eastAsia="IBM Plex Sans" w:hAnsi="IBM Plex Sans"/>
          <w:i/>
          <w:iCs/>
          <w:color w:val="5A6663"/>
          <w:sz w:val="18"/>
          <w:szCs w:val="18"/>
        </w:rPr>
        <w:t xml:space="preserve">— (need to give the numbers here)</w:t>
      </w:r>
    </w:p>
    <w:p>
      <w:pPr>
        <w:spacing w:after="120" w:line="264"/>
        <w:ind w:left="420" w:hanging="420"/>
      </w:pPr>
      <w:r>
        <w:rPr>
          <w:rFonts w:ascii="IBM Plex Sans" w:cs="IBM Plex Sans" w:eastAsia="IBM Plex Sans" w:hAnsi="IBM Plex Sans"/>
          <w:b/>
          <w:bCs/>
          <w:color w:val="A8532A"/>
          <w:sz w:val="20"/>
          <w:szCs w:val="20"/>
        </w:rPr>
        <w:t xml:space="preserve">[3]</w:t>
      </w:r>
      <w:r>
        <w:rPr>
          <w:rFonts w:ascii="IBM Plex Sans" w:cs="IBM Plex Sans" w:eastAsia="IBM Plex Sans" w:hAnsi="IBM Plex Sans"/>
          <w:sz w:val="20"/>
          <w:szCs w:val="20"/>
        </w:rPr>
        <w:t xml:space="preserve">	</w:t>
      </w:r>
      <w:r>
        <w:rPr>
          <w:rFonts w:ascii="IBM Plex Sans" w:cs="IBM Plex Sans" w:eastAsia="IBM Plex Sans" w:hAnsi="IBM Plex Sans"/>
          <w:color w:val="151A19"/>
          <w:sz w:val="20"/>
          <w:szCs w:val="20"/>
        </w:rPr>
        <w:t xml:space="preserve">LoRA hyperparameters, corpus composition, global context.  </w:t>
      </w:r>
      <w:r>
        <w:rPr>
          <w:rFonts w:ascii="IBM Plex Sans" w:cs="IBM Plex Sans" w:eastAsia="IBM Plex Sans" w:hAnsi="IBM Plex Sans"/>
          <w:i/>
          <w:iCs/>
          <w:color w:val="5A6663"/>
          <w:sz w:val="18"/>
          <w:szCs w:val="18"/>
        </w:rPr>
        <w:t xml:space="preserve">— (Give the numbers here - how many pairs in the document, what the global context is, and so on)</w:t>
      </w:r>
    </w:p>
    <w:p>
      <w:pPr>
        <w:spacing w:after="120" w:line="264"/>
        <w:ind w:left="420" w:hanging="420"/>
      </w:pPr>
      <w:r>
        <w:rPr>
          <w:rFonts w:ascii="IBM Plex Sans" w:cs="IBM Plex Sans" w:eastAsia="IBM Plex Sans" w:hAnsi="IBM Plex Sans"/>
          <w:b/>
          <w:bCs/>
          <w:color w:val="A8532A"/>
          <w:sz w:val="20"/>
          <w:szCs w:val="20"/>
        </w:rPr>
        <w:t xml:space="preserve">[4]</w:t>
      </w:r>
      <w:r>
        <w:rPr>
          <w:rFonts w:ascii="IBM Plex Sans" w:cs="IBM Plex Sans" w:eastAsia="IBM Plex Sans" w:hAnsi="IBM Plex Sans"/>
          <w:sz w:val="20"/>
          <w:szCs w:val="20"/>
        </w:rPr>
        <w:t xml:space="preserve">	</w:t>
      </w:r>
      <w:r>
        <w:rPr>
          <w:rFonts w:ascii="IBM Plex Sans" w:cs="IBM Plex Sans" w:eastAsia="IBM Plex Sans" w:hAnsi="IBM Plex Sans"/>
          <w:color w:val="151A19"/>
          <w:sz w:val="20"/>
          <w:szCs w:val="20"/>
        </w:rPr>
        <w:t xml:space="preserve">Citation for reading at the last input token.  </w:t>
      </w:r>
      <w:r>
        <w:rPr>
          <w:rFonts w:ascii="IBM Plex Sans" w:cs="IBM Plex Sans" w:eastAsia="IBM Plex Sans" w:hAnsi="IBM Plex Sans"/>
          <w:i/>
          <w:iCs/>
          <w:color w:val="5A6663"/>
          <w:sz w:val="18"/>
          <w:szCs w:val="18"/>
        </w:rPr>
        <w:t xml:space="preserve">— (cite here)</w:t>
      </w:r>
    </w:p>
    <w:p>
      <w:pPr>
        <w:spacing w:after="120" w:line="264"/>
        <w:ind w:left="420" w:hanging="420"/>
      </w:pPr>
      <w:r>
        <w:rPr>
          <w:rFonts w:ascii="IBM Plex Sans" w:cs="IBM Plex Sans" w:eastAsia="IBM Plex Sans" w:hAnsi="IBM Plex Sans"/>
          <w:b/>
          <w:bCs/>
          <w:color w:val="A8532A"/>
          <w:sz w:val="20"/>
          <w:szCs w:val="20"/>
        </w:rPr>
        <w:t xml:space="preserve">[5]</w:t>
      </w:r>
      <w:r>
        <w:rPr>
          <w:rFonts w:ascii="IBM Plex Sans" w:cs="IBM Plex Sans" w:eastAsia="IBM Plex Sans" w:hAnsi="IBM Plex Sans"/>
          <w:sz w:val="20"/>
          <w:szCs w:val="20"/>
        </w:rPr>
        <w:t xml:space="preserve">	</w:t>
      </w:r>
      <w:r>
        <w:rPr>
          <w:rFonts w:ascii="IBM Plex Sans" w:cs="IBM Plex Sans" w:eastAsia="IBM Plex Sans" w:hAnsi="IBM Plex Sans"/>
          <w:color w:val="151A19"/>
          <w:sz w:val="20"/>
          <w:szCs w:val="20"/>
        </w:rPr>
        <w:t xml:space="preserve">Citation for the layer sweep / mid-layer claim.  </w:t>
      </w:r>
      <w:r>
        <w:rPr>
          <w:rFonts w:ascii="IBM Plex Sans" w:cs="IBM Plex Sans" w:eastAsia="IBM Plex Sans" w:hAnsi="IBM Plex Sans"/>
          <w:i/>
          <w:iCs/>
          <w:color w:val="5A6663"/>
          <w:sz w:val="18"/>
          <w:szCs w:val="18"/>
        </w:rPr>
        <w:t xml:space="preserve">— (cite again)</w:t>
      </w:r>
    </w:p>
    <w:p>
      <w:pPr>
        <w:spacing w:after="120" w:line="264"/>
        <w:ind w:left="420" w:hanging="420"/>
      </w:pPr>
      <w:r>
        <w:rPr>
          <w:rFonts w:ascii="IBM Plex Sans" w:cs="IBM Plex Sans" w:eastAsia="IBM Plex Sans" w:hAnsi="IBM Plex Sans"/>
          <w:b/>
          <w:bCs/>
          <w:color w:val="A8532A"/>
          <w:sz w:val="20"/>
          <w:szCs w:val="20"/>
        </w:rPr>
        <w:t xml:space="preserve">[6]</w:t>
      </w:r>
      <w:r>
        <w:rPr>
          <w:rFonts w:ascii="IBM Plex Sans" w:cs="IBM Plex Sans" w:eastAsia="IBM Plex Sans" w:hAnsi="IBM Plex Sans"/>
          <w:sz w:val="20"/>
          <w:szCs w:val="20"/>
        </w:rPr>
        <w:t xml:space="preserve">	</w:t>
      </w:r>
      <w:r>
        <w:rPr>
          <w:rFonts w:ascii="IBM Plex Sans" w:cs="IBM Plex Sans" w:eastAsia="IBM Plex Sans" w:hAnsi="IBM Plex Sans"/>
          <w:color w:val="151A19"/>
          <w:sz w:val="20"/>
          <w:szCs w:val="20"/>
        </w:rPr>
        <w:t xml:space="preserve">Write up the failed result.  </w:t>
      </w:r>
      <w:r>
        <w:rPr>
          <w:rFonts w:ascii="IBM Plex Sans" w:cs="IBM Plex Sans" w:eastAsia="IBM Plex Sans" w:hAnsi="IBM Plex Sans"/>
          <w:i/>
          <w:iCs/>
          <w:color w:val="5A6663"/>
          <w:sz w:val="18"/>
          <w:szCs w:val="18"/>
        </w:rPr>
        <w:t xml:space="preserve">— I will need to mention the failed result here: It is very important to me, I would like this boxed.</w:t>
      </w:r>
    </w:p>
    <w:p>
      <w:pPr>
        <w:spacing w:after="120" w:line="264"/>
        <w:ind w:left="420" w:hanging="420"/>
      </w:pPr>
      <w:r>
        <w:rPr>
          <w:rFonts w:ascii="IBM Plex Sans" w:cs="IBM Plex Sans" w:eastAsia="IBM Plex Sans" w:hAnsi="IBM Plex Sans"/>
          <w:b/>
          <w:bCs/>
          <w:color w:val="A8532A"/>
          <w:sz w:val="20"/>
          <w:szCs w:val="20"/>
        </w:rPr>
        <w:t xml:space="preserve">[7]</w:t>
      </w:r>
      <w:r>
        <w:rPr>
          <w:rFonts w:ascii="IBM Plex Sans" w:cs="IBM Plex Sans" w:eastAsia="IBM Plex Sans" w:hAnsi="IBM Plex Sans"/>
          <w:sz w:val="20"/>
          <w:szCs w:val="20"/>
        </w:rPr>
        <w:t xml:space="preserve">	</w:t>
      </w:r>
      <w:r>
        <w:rPr>
          <w:rFonts w:ascii="IBM Plex Sans" w:cs="IBM Plex Sans" w:eastAsia="IBM Plex Sans" w:hAnsi="IBM Plex Sans"/>
          <w:color w:val="151A19"/>
          <w:sz w:val="20"/>
          <w:szCs w:val="20"/>
        </w:rPr>
        <w:t xml:space="preserve">All quantitative results.  </w:t>
      </w:r>
      <w:r>
        <w:rPr>
          <w:rFonts w:ascii="IBM Plex Sans" w:cs="IBM Plex Sans" w:eastAsia="IBM Plex Sans" w:hAnsi="IBM Plex Sans"/>
          <w:i/>
          <w:iCs/>
          <w:color w:val="5A6663"/>
          <w:sz w:val="18"/>
          <w:szCs w:val="18"/>
        </w:rPr>
        <w:t xml:space="preserve">— Corresponding results for the fine tuning: Give the numbers here and the other results.</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BM Plex Sans" w:cs="IBM Plex Sans" w:eastAsia="IBM Plex Sans" w:hAnsi="IBM Plex Sans"/>
        <w:color w:val="5A66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IBM Plex Sans" w:cs="IBM Plex Sans" w:eastAsia="IBM Plex Sans" w:hAnsi="IBM Plex Sans"/>
          <w:color w:val="5A6663"/>
          <w:sz w:val="18"/>
          <w:szCs w:val="18"/>
        </w:rPr>
        <w:t xml:space="preserve"> I will be using hyphens in this document fearlessly, apparently em dashes is a “claude” tell and not hyphens, so it works out anyways.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51A1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akxnospt3zclw8yeizka" Type="http://schemas.openxmlformats.org/officeDocument/2006/relationships/hyperlink" Target="https://arxiv.org/abs/2406.11717" TargetMode="External"/><Relationship Id="rIdur57sqnjad8ha7cssntbp" Type="http://schemas.openxmlformats.org/officeDocument/2006/relationships/hyperlink" Target="https://arxiv.org/abs/2401.05566" TargetMode="External"/><Relationship Id="rId1ac-pui_k_hlk_6cpgpqn" Type="http://schemas.openxmlformats.org/officeDocument/2006/relationships/hyperlink" Target="https://arxiv.org/abs/2602.07852" TargetMode="External"/><Relationship Id="rIdluco8v-9o2hshefcbxpka" Type="http://schemas.openxmlformats.org/officeDocument/2006/relationships/hyperlink" Target="https://alignment.anthropic.com/2025/modifying-beliefs-via-sdf/" TargetMode="External"/><Relationship Id="rIdr9dtgqovdrjiow11ii9ux" Type="http://schemas.openxmlformats.org/officeDocument/2006/relationships/hyperlink" Target="https://arxiv.org/abs/2310.06824" TargetMode="External"/><Relationship Id="rId8" Type="http://schemas.openxmlformats.org/officeDocument/2006/relationships/image" Target="media/9c99ca1a4e55ee6f6cb9e393a6021b869b4cdffb.png"/><Relationship Id="rId9" Type="http://schemas.openxmlformats.org/officeDocument/2006/relationships/image" Target="media/714dd4fd989b9995c5bbba785b3d33b4d94effc0.png"/><Relationship Id="rId10" Type="http://schemas.openxmlformats.org/officeDocument/2006/relationships/image" Target="media/75fcb242c88fb02a73515c03af088cf9d19c17d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2026-09-05T01:04:05.624Z</dcterms:created>
  <dcterms:modified xsi:type="dcterms:W3CDTF">2026-09-05T01:04:05.624Z</dcterms:modified>
</cp:coreProperties>
</file>

<file path=docProps/custom.xml><?xml version="1.0" encoding="utf-8"?>
<Properties xmlns="http://schemas.openxmlformats.org/officeDocument/2006/custom-properties" xmlns:vt="http://schemas.openxmlformats.org/officeDocument/2006/docPropsVTypes"/>
</file>