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56"/>
          <w:szCs w:val="56"/>
        </w:rPr>
        <w:t xml:space="preserve">The Farmer Edu</w:t>
      </w:r>
    </w:p>
    <w:p>
      <w:pPr>
        <w:spacing w:after="300"/>
      </w:pPr>
      <w:r>
        <w:rPr>
          <w:color w:val="555555"/>
          <w:sz w:val="28"/>
          <w:szCs w:val="28"/>
        </w:rPr>
        <w:t xml:space="preserve">Guia de Design — Tokens extraídos do Figma</w:t>
      </w:r>
    </w:p>
    <w:p>
      <w:pPr>
        <w:pStyle w:val="Heading1"/>
        <w:spacing w:after="150" w:before="320"/>
      </w:pPr>
      <w:r>
        <w:t xml:space="preserve">Identidade Visual — Logo</w:t>
      </w:r>
    </w:p>
    <w:p>
      <w:pPr>
        <w:spacing w:after="120"/>
      </w:pPr>
      <w:r>
        <w:t xml:space="preserve">O símbolo combina um celeiro com um capelo de formatura, dentro de um selo circular — reaproveitando a mesma linguagem de ícone de linha (traço navy sobre branco) já usada nos ícones de Animais/Plantação/Maquinário do protótipo, em vez de introduzir um estilo novo.</w:t>
      </w:r>
    </w:p>
    <w:p>
      <w:pPr>
        <w:spacing w:after="60" w:before="100"/>
        <w:jc w:val="center"/>
      </w:pPr>
      <w:r>
        <w:drawing>
          <wp:inline distT="0" distB="0" distL="0" distR="0">
            <wp:extent cx="4476750" cy="1190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Versão horizontal — uso principal em cabeçalhos e documentos</w:t>
      </w:r>
    </w:p>
    <w:p>
      <w:pPr>
        <w:spacing w:after="60" w:before="100"/>
        <w:jc w:val="center"/>
      </w:pPr>
      <w:r>
        <w:drawing>
          <wp:inline distT="0" distB="0" distL="0" distR="0">
            <wp:extent cx="1428750" cy="1428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Ícone isolado — favicon, avatar, ícone de app</w:t>
      </w:r>
    </w:p>
    <w:p>
      <w:pPr>
        <w:spacing w:after="60" w:before="100"/>
        <w:jc w:val="center"/>
      </w:pPr>
      <w:r>
        <w:drawing>
          <wp:inline distT="0" distB="0" distL="0" distR="0">
            <wp:extent cx="1428750" cy="1428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Versão monocromática branca — para fundos coloridos ou escuros</w:t>
      </w:r>
    </w:p>
    <w:p>
      <w:pPr>
        <w:pStyle w:val="Heading2"/>
        <w:spacing w:after="100" w:before="220"/>
      </w:pPr>
      <w:r>
        <w:t xml:space="preserve">Versões disponíveis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Horizontal: </w:t>
      </w:r>
      <w:r>
        <w:t xml:space="preserve">ícone + nome lado a lado — uso principal em cabeçalhos, documentos e apresentações.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Empilhada: </w:t>
      </w:r>
      <w:r>
        <w:t xml:space="preserve">ícone em cima, nome embaixo — para capas, formatos quadrados e redes sociais.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Ícone isolado: </w:t>
      </w:r>
      <w:r>
        <w:t xml:space="preserve">para favicon, avatar e qualquer espaço pequeno onde o nome não caiba.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Monocromática branca: </w:t>
      </w:r>
      <w:r>
        <w:t xml:space="preserve">para uso sobre fundos verdes, azuis, navy ou fotográficos — nunca usar a versão colorida sobre fundo escuro.</w:t>
      </w:r>
    </w:p>
    <w:p>
      <w:pPr>
        <w:pStyle w:val="Heading2"/>
        <w:spacing w:after="100" w:before="220"/>
      </w:pPr>
      <w:r>
        <w:t xml:space="preserve">Regras de uso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Manter uma área de respiro ao redor do selo — não encostar o ícone em bordas, textos ou outros elementos.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Não recolorir o ícone fora das duas versões oficiais (colorida sobre claro / branca sobre escuro).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Não esticar, distorcer ou girar a logo — sempre escalar mantendo a proporção original.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nome, manter sempre "Edu" em verde e o restante em navy — é o que reforça a marca em qualquer aplicação.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Tamanho mínimo recomendado: 32px de altura para o ícone isolado, para preservar a legibilidade do capelo e da porta do celeiro.</w:t>
      </w:r>
    </w:p>
    <w:p>
      <w:pPr>
        <w:spacing w:after="120"/>
      </w:pPr>
      <w:r>
        <w:t xml:space="preserve">Arquivos em SVG (vetorial, escalável para qualquer tamanho) e PNG com fundo transparente disponíveis separadamente.</w:t>
      </w:r>
    </w:p>
    <w:p>
      <w:pPr>
        <w:pStyle w:val="Heading1"/>
        <w:spacing w:after="150" w:before="320"/>
      </w:pPr>
      <w:r>
        <w:t xml:space="preserve">Sobre as fontes deste guia</w:t>
      </w:r>
    </w:p>
    <w:p>
      <w:pPr>
        <w:spacing w:after="120"/>
      </w:pPr>
      <w:r>
        <w:t xml:space="preserve">A maior parte deste guia (paleta, tipografia, geometria, componentes) foi extraída diretamente do arquivo Figma "Farming Sector Website" (acesso completo). A seção "Fazenda e Árvore de Aprimoramentos", mais adiante, tem origem diferente: veio de prints enviados por Pedro de um protótipo feito por um aluno em outro arquivo, ao qual só há acesso de visualização — por isso ali documentamos apenas o conceito da mecânica, não tokens exatos de cor/fonte.</w:t>
      </w:r>
    </w:p>
    <w:p>
      <w:pPr>
        <w:pStyle w:val="Heading1"/>
        <w:spacing w:after="150" w:before="320"/>
      </w:pPr>
      <w:r>
        <w:t xml:space="preserve">Paleta de Cores</w:t>
      </w:r>
    </w:p>
    <w:p>
      <w:pPr>
        <w:spacing w:after="120"/>
      </w:pPr>
      <w:r>
        <w:t xml:space="preserve">Achado interessante: o sistema já usa uma paleta de cores diferente por perfil — verde para o aluno, azul para o instrutor — mantendo a mesma estrutura visual. Vale adotar isso como regra deliberada de tema, não como inconsistência.</w:t>
      </w:r>
    </w:p>
    <w:p>
      <w:pPr>
        <w:pStyle w:val="Heading2"/>
        <w:spacing w:after="100" w:before="220"/>
      </w:pPr>
      <w:r>
        <w:t xml:space="preserve">Perfil Aluno (verde)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900"/>
            <w:shd w:fill="2C3E5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Cor</w:t>
            </w:r>
          </w:p>
        </w:tc>
        <w:tc>
          <w:tcPr>
            <w:tcW w:type="dxa" w:w="1400"/>
            <w:shd w:fill="2C3E5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6700"/>
            <w:shd w:fill="2C3E5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900"/>
            <w:shd w:fill="34C75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#34C759</w:t>
            </w:r>
          </w:p>
        </w:tc>
        <w:tc>
          <w:tcPr>
            <w:tcW w:type="dxa" w:w="6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Verde primário — botões, destaques, título de cards, cor de marca do lado do aluno</w:t>
            </w:r>
          </w:p>
        </w:tc>
      </w:tr>
      <w:tr>
        <w:tc>
          <w:tcPr>
            <w:tcW w:type="dxa" w:w="900"/>
            <w:shd w:fill="089C2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#089C2F</w:t>
            </w:r>
          </w:p>
        </w:tc>
        <w:tc>
          <w:tcPr>
            <w:tcW w:type="dxa" w:w="6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Verde escuro — estado ativo no menu lateral, iniciais de avatar</w:t>
            </w:r>
          </w:p>
        </w:tc>
      </w:tr>
      <w:tr>
        <w:tc>
          <w:tcPr>
            <w:tcW w:type="dxa" w:w="900"/>
            <w:shd w:fill="A0FDA3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#A0FDA3</w:t>
            </w:r>
          </w:p>
        </w:tc>
        <w:tc>
          <w:tcPr>
            <w:tcW w:type="dxa" w:w="6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Verde claro — fundo da barra superior (header) do aluno</w:t>
            </w:r>
          </w:p>
        </w:tc>
      </w:tr>
    </w:tbl>
    <w:p>
      <w:pPr>
        <w:spacing w:after="150"/>
      </w:pPr>
    </w:p>
    <w:p>
      <w:pPr>
        <w:pStyle w:val="Heading2"/>
        <w:spacing w:after="100" w:before="220"/>
      </w:pPr>
      <w:r>
        <w:t xml:space="preserve">Perfil Instrutor (azul)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900"/>
            <w:shd w:fill="2C3E5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Cor</w:t>
            </w:r>
          </w:p>
        </w:tc>
        <w:tc>
          <w:tcPr>
            <w:tcW w:type="dxa" w:w="1400"/>
            <w:shd w:fill="2C3E5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6700"/>
            <w:shd w:fill="2C3E5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900"/>
            <w:shd w:fill="008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#0088FF</w:t>
            </w:r>
          </w:p>
        </w:tc>
        <w:tc>
          <w:tcPr>
            <w:tcW w:type="dxa" w:w="6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Azul primário — equivalente ao verde, mas para as telas do instrutor</w:t>
            </w:r>
          </w:p>
        </w:tc>
      </w:tr>
      <w:tr>
        <w:tc>
          <w:tcPr>
            <w:tcW w:type="dxa" w:w="900"/>
            <w:shd w:fill="2276E3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#2276E3</w:t>
            </w:r>
          </w:p>
        </w:tc>
        <w:tc>
          <w:tcPr>
            <w:tcW w:type="dxa" w:w="6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Azul escuro — estado ativo no menu lateral do instrutor</w:t>
            </w:r>
          </w:p>
        </w:tc>
      </w:tr>
      <w:tr>
        <w:tc>
          <w:tcPr>
            <w:tcW w:type="dxa" w:w="900"/>
            <w:shd w:fill="90BDF0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#90BDF0</w:t>
            </w:r>
          </w:p>
        </w:tc>
        <w:tc>
          <w:tcPr>
            <w:tcW w:type="dxa" w:w="6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Azul claro — fundo da barra superior do instrutor</w:t>
            </w:r>
          </w:p>
        </w:tc>
      </w:tr>
    </w:tbl>
    <w:p>
      <w:pPr>
        <w:spacing w:after="150"/>
      </w:pPr>
    </w:p>
    <w:p>
      <w:pPr>
        <w:pStyle w:val="Heading2"/>
        <w:spacing w:after="100" w:before="220"/>
      </w:pPr>
      <w:r>
        <w:t xml:space="preserve">Destaque secundário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900"/>
            <w:shd w:fill="2C3E5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Cor</w:t>
            </w:r>
          </w:p>
        </w:tc>
        <w:tc>
          <w:tcPr>
            <w:tcW w:type="dxa" w:w="1400"/>
            <w:shd w:fill="2C3E5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6700"/>
            <w:shd w:fill="2C3E5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900"/>
            <w:shd w:fill="FF8D28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#FF8D28</w:t>
            </w:r>
          </w:p>
        </w:tc>
        <w:tc>
          <w:tcPr>
            <w:tcW w:type="dxa" w:w="6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Laranja — botão "Escrever Código", barra de progresso, brilho sob os headers (ver Sombras)</w:t>
            </w:r>
          </w:p>
        </w:tc>
      </w:tr>
    </w:tbl>
    <w:p>
      <w:pPr>
        <w:spacing w:after="150"/>
      </w:pPr>
    </w:p>
    <w:p>
      <w:pPr>
        <w:pStyle w:val="Heading2"/>
        <w:spacing w:after="100" w:before="220"/>
      </w:pPr>
      <w:r>
        <w:t xml:space="preserve">Neutros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900"/>
            <w:shd w:fill="2C3E5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Cor</w:t>
            </w:r>
          </w:p>
        </w:tc>
        <w:tc>
          <w:tcPr>
            <w:tcW w:type="dxa" w:w="1400"/>
            <w:shd w:fill="2C3E5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6700"/>
            <w:shd w:fill="2C3E5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900"/>
            <w:shd w:fill="002D38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#002D38</w:t>
            </w:r>
          </w:p>
        </w:tc>
        <w:tc>
          <w:tcPr>
            <w:tcW w:type="dxa" w:w="6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Texto principal / títulos (tom quase preto, levemente azulado)</w:t>
            </w:r>
          </w:p>
        </w:tc>
      </w:tr>
      <w:tr>
        <w:tc>
          <w:tcPr>
            <w:tcW w:type="dxa" w:w="900"/>
            <w:shd w:fill="000000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#000000</w:t>
            </w:r>
          </w:p>
        </w:tc>
        <w:tc>
          <w:tcPr>
            <w:tcW w:type="dxa" w:w="6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Texto preto puro — usado nos títulos dos cards de matéria</w:t>
            </w:r>
          </w:p>
        </w:tc>
      </w:tr>
      <w:tr>
        <w:tc>
          <w:tcPr>
            <w:tcW w:type="dxa" w:w="900"/>
            <w:shd w:fill="E6E6E6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#E6E6E6</w:t>
            </w:r>
          </w:p>
        </w:tc>
        <w:tc>
          <w:tcPr>
            <w:tcW w:type="dxa" w:w="6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Fundo do menu lateral (formato pílula)</w:t>
            </w:r>
          </w:p>
        </w:tc>
      </w:tr>
      <w:tr>
        <w:tc>
          <w:tcPr>
            <w:tcW w:type="dxa" w:w="900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#D9D9D9</w:t>
            </w:r>
          </w:p>
        </w:tc>
        <w:tc>
          <w:tcPr>
            <w:tcW w:type="dxa" w:w="6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Fundo dos itens de menu inativos</w:t>
            </w:r>
          </w:p>
        </w:tc>
      </w:tr>
      <w:tr>
        <w:tc>
          <w:tcPr>
            <w:tcW w:type="dxa" w:w="900"/>
            <w:shd w:fill="72727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#727272</w:t>
            </w:r>
          </w:p>
        </w:tc>
        <w:tc>
          <w:tcPr>
            <w:tcW w:type="dxa" w:w="6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Texto secundário / labels inativas</w:t>
            </w:r>
          </w:p>
        </w:tc>
      </w:tr>
      <w:tr>
        <w:tc>
          <w:tcPr>
            <w:tcW w:type="dxa" w:w="900"/>
            <w:shd w:fill="1E1E1E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#1E1E1E</w:t>
            </w:r>
          </w:p>
        </w:tc>
        <w:tc>
          <w:tcPr>
            <w:tcW w:type="dxa" w:w="6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Borda padrão dos itens de menu</w:t>
            </w:r>
          </w:p>
        </w:tc>
      </w:tr>
    </w:tbl>
    <w:p>
      <w:pPr>
        <w:spacing w:after="150"/>
      </w:pPr>
    </w:p>
    <w:p>
      <w:pPr>
        <w:pStyle w:val="Heading1"/>
        <w:spacing w:after="150" w:before="320"/>
      </w:pPr>
      <w:r>
        <w:t xml:space="preserve">Tipografia</w:t>
      </w:r>
    </w:p>
    <w:p>
      <w:pPr>
        <w:spacing w:after="120"/>
      </w:pPr>
      <w:r>
        <w:t xml:space="preserve">Duas famílias: Poppins para toda a interface (chrome, títulos, navegação) e Inter para conteúdo/feedback textual.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2C3E5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Fonte / Peso</w:t>
            </w:r>
          </w:p>
        </w:tc>
        <w:tc>
          <w:tcPr>
            <w:tcW w:type="dxa" w:w="6000"/>
            <w:shd w:fill="2C3E5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Poppins — Bold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Títulos de tela, títulos de card, itens de menu, nomes de usuário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Poppins — Medium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Rótulos de formulário (Usuário/Senha), textos de botão secundário, links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 — Bold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Texto do balão de feedback da IA, texto de botões de ação ("Escrever Código")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 — Regular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Texto corrido / auxiliar</w:t>
            </w:r>
          </w:p>
        </w:tc>
      </w:tr>
    </w:tbl>
    <w:p>
      <w:pPr>
        <w:spacing w:after="120"/>
      </w:pPr>
      <w:r>
        <w:t xml:space="preserve">Atenção: os tamanhos no Figma são grandes (36–64px) porque as telas foram desenhadas em canvas "MacBook Pro 16" (1728px de largura). Na implementação real, esses valores precisam ser reduzidos proporcionalmente — não copiar o px literal do Figma.</w:t>
      </w:r>
    </w:p>
    <w:p>
      <w:pPr>
        <w:pStyle w:val="Heading1"/>
        <w:spacing w:after="150" w:before="320"/>
      </w:pPr>
      <w:r>
        <w:t xml:space="preserve">Geometria — Escala de Border-radius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2C3E5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Raio</w:t>
            </w:r>
          </w:p>
        </w:tc>
        <w:tc>
          <w:tcPr>
            <w:tcW w:type="dxa" w:w="7000"/>
            <w:shd w:fill="2C3E5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Onde aparece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8px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Miniaturas pequenas (ícones de anexo)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10px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Inputs de formulário, botão "Entrar", barra superior (header)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11px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Cards do dashboard (versão inicial)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20px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Botões tipo pílula (ex.: "Escrever Código")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25px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Cards principais — matérias, atividades, mural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30px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Itens do menu lateral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49–50px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Balão de feedback da IA (chat bubble)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90–150px+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Avatares e elementos totalmente circulares; menu lateral em formato de pílula (122px)</w:t>
            </w:r>
          </w:p>
        </w:tc>
      </w:tr>
    </w:tbl>
    <w:p>
      <w:pPr>
        <w:pStyle w:val="Heading1"/>
        <w:spacing w:after="150" w:before="320"/>
      </w:pPr>
      <w:r>
        <w:t xml:space="preserve">Sombras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shd w:fill="2C3E5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3300"/>
            <w:shd w:fill="2C3E5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3500"/>
            <w:shd w:fill="2C3E5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Onde aparece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Sombra padrão de card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0px 4px 4px rgba(0,0,0,0.25)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Usada nos cards de matéria e caixas do menu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Brilho quente sob o header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0px 4px 3px rgba(248,96,17,0.5)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Aparece sob a barra superior verde E no botão "Entrar" — não é erro, é um padrão repetido (o laranja #FF8D28 usado como brilho complementar ao verde/azul)</w:t>
            </w:r>
          </w:p>
        </w:tc>
      </w:tr>
    </w:tbl>
    <w:p>
      <w:pPr>
        <w:pStyle w:val="Heading1"/>
        <w:spacing w:after="150" w:before="320"/>
      </w:pPr>
      <w:r>
        <w:t xml:space="preserve">Padrões de Componente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Barra superior (header): </w:t>
      </w:r>
      <w:r>
        <w:t xml:space="preserve">Faixa colorida de ponta a ponta (verde no aluno, azul no instrutor), logo circular + "The Farm Edu" à esquerda, avatar do usuário à direita, com o brilho laranja característico por baixo.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Menu lateral: </w:t>
      </w:r>
      <w:r>
        <w:t xml:space="preserve">Fundo cinza claro em formato de pílula (raio 122px). Itens são "cápsulas" arredondadas (30px); o item ativo ganha uma borda colorida (verde ou azul, conforme o perfil) por cima do cinza padrão.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Cards de matéria/atividade: </w:t>
      </w:r>
      <w:r>
        <w:t xml:space="preserve">Barra de título colorida (verde) com texto preto em bold, levemente rotacionado (~-0.35°) — dá um efeito "colado à mão", proposital. Abaixo, uma imagem de capa com os mesmos cantos arredondados.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Feed / Mural: </w:t>
      </w:r>
      <w:r>
        <w:t xml:space="preserve">Itens em formato de pílula longa; o mais recente vem com borda verde de destaque, os demais em cinza neutro. Texto do título em bold, timestamp abaixo com opacidade reduzida (75%).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Botões: </w:t>
      </w:r>
      <w:r>
        <w:t xml:space="preserve">Formato pílula, preenchimento sólido (verde para ação primária do aluno, laranja para a ação de "escrever código"), texto branco em bold.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Campos de formulário: </w:t>
      </w:r>
      <w:r>
        <w:t xml:space="preserve">Retângulo branco, borda #002D38, cantos 10px.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Feedback da IA ("Sophia"): </w:t>
      </w:r>
      <w:r>
        <w:t xml:space="preserve">Um mascote ilustrado (estilo anime, tema rural) aparece ancorado a um balão de chat branco bem arredondado (49px) com o texto do feedback em Inter Bold. É o elemento mais distintivo do sistema — vale preservar em qualquer implementação real.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Mascote secundário: </w:t>
      </w:r>
      <w:r>
        <w:t xml:space="preserve">Um ícone de galinha em pixel art aparece no canto inferior direito em várias telas — parece ser um detalhe de marca recorrente, não pontual.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Nota sugerida pela IA: </w:t>
      </w:r>
      <w:r>
        <w:t xml:space="preserve">Tela do instrutor mostra uma escala 0/10 a 10/10 por critério de correção, com o valor sugerido em destaque na cor azul do tema do instrutor.</w:t>
      </w:r>
    </w:p>
    <w:p>
      <w:pPr>
        <w:pStyle w:val="Heading1"/>
        <w:spacing w:after="150" w:before="320"/>
      </w:pPr>
      <w:r>
        <w:t xml:space="preserve">Conceito de Jogo — Fazenda e Árvore de Aprimoramentos</w:t>
      </w:r>
    </w:p>
    <w:p>
      <w:pPr>
        <w:spacing w:after="120"/>
      </w:pPr>
      <w:r>
        <w:t xml:space="preserve">Fonte: prints enviados por Pedro de um protótipo feito por um aluno em outro arquivo Figma (acesso apenas de visualização, sem permissão de edição — não foi possível extrair tokens exatos de cor/fonte desse arquivo). Pedro orientou aproveitar o CONCEITO da mecânica, e descartar o estilo visual (pixel art estilo Minecraft), que não é a direção do restante do sistema.</w:t>
      </w:r>
    </w:p>
    <w:p>
      <w:pPr>
        <w:pStyle w:val="Heading2"/>
        <w:spacing w:after="100" w:before="220"/>
      </w:pPr>
      <w:r>
        <w:t xml:space="preserve">O que vale aproveitar (mecânica)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Árvore de aprimoramentos com nó central "Fazenda" que se ramifica em 3 categorias: Animais, Plantação e Maquinário — cada uma com um contador "desbloqueados/total" (ex.: 0/13, 0/7, 0/11).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Um contador de "Pontos disponíveis" no topo da árvore — sugere que o XP acumulado (RF17) se converte em pontos que o aluno gasta para desbloquear itens dentro de cada categoria, em vez de a fazenda evoluir de forma totalmente automática.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fazenda é uma cena única e contínua (não uma grade de blocos) que ganha novos elementos progressivamente — cada desbloqueio aparece com uma indicação "UPGRADE: LVL N" e uma seta apontando para o elemento novo (tratores, plantações, cercados de animais).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Existe um menu lateral na visão da fazenda com ícones de construções/itens — funciona como um atalho para os elementos já desbloqueados.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Navegação simples e consistente entre as duas telas: "Sair" (canto inferior esquerdo, sempre presente) e "Ver Upgrades" (canto inferior direito, leva à árvore de aprimoramentos).</w:t>
      </w:r>
    </w:p>
    <w:p>
      <w:pPr>
        <w:pStyle w:val="Heading2"/>
        <w:spacing w:after="100" w:before="220"/>
      </w:pPr>
      <w:r>
        <w:t xml:space="preserve">O que descartar (visual)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Estilo pixel art / blocos ao estilo Minecraft (céu, grama, terra) — não combina com a linguagem já levantada no outro arquivo (Poppins, cantos arredondados, paleta pastel verde/azul).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Painéis escuros translúcidos sobre fundo pixelado, usados para dar contraste ao texto da árvore — solução paliativa que também não é necessária fora do estilo pixel art.</w:t>
      </w:r>
    </w:p>
    <w:p>
      <w:pPr>
        <w:pStyle w:val="Heading2"/>
        <w:spacing w:after="100" w:before="220"/>
      </w:pPr>
      <w:r>
        <w:t xml:space="preserve">Recomendação de reskin</w:t>
      </w:r>
    </w:p>
    <w:p>
      <w:pPr>
        <w:spacing w:after="120"/>
      </w:pPr>
      <w:r>
        <w:t xml:space="preserve">Manter a estrutura (árvore com 3 ramos + contador por categoria + pontos disponíveis + cena única evolutiva), mas desenhar com a linguagem já definida: cards arredondados (25px), Poppins Bold para títulos, paleta verde do aluno (#34C759 e variações) em vez de pixel art 8-bit. A cena da fazenda pode seguir a mesma linha do selo circular da tela de login (celeiro estilizado, ilustração flat/vetorial) em vez de textura de blocos.</w:t>
      </w:r>
    </w:p>
    <w:p>
      <w:pPr>
        <w:pStyle w:val="Heading1"/>
        <w:spacing w:after="150" w:before="320"/>
      </w:pPr>
      <w:r>
        <w:t xml:space="preserve">Recomendações para a implementação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Trate verde/azul como variável de tema por perfil (aluno/instrutor), não como cor fixa — assim um único CSS serve para as duas áreas.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tela de "código" no Figma é só uma imagem estática de referência (mockup estilo VSCode) — na implementação real, use um editor de verdade (ex.: CodeMirror ou Monaco), adaptando o visual escuro e o balão da Sophia.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mascote "Sophia" e o ícone da galinha aparecem em mais de uma tela — vale definir como componentes reutilizáveis desde o início, para todos os squads usarem a mesma versão.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eb2a63ffe8d1efb9c42932344df980ff30241e2.png"/><Relationship Id="rId8" Type="http://schemas.openxmlformats.org/officeDocument/2006/relationships/image" Target="media/97df4bc871afcf7f3c3b8456a08d105516f37476.png"/><Relationship Id="rId9" Type="http://schemas.openxmlformats.org/officeDocument/2006/relationships/image" Target="media/d66c3fba3c8be8344072d1970e155c3ac554028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2026-09-02T22:48:41.319Z</dcterms:created>
  <dcterms:modified xsi:type="dcterms:W3CDTF">2026-09-02T22:48:41.331Z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